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5"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u w:val="none"/>
          <w:shd w:val="clear" w:fill="FFFFFF"/>
        </w:rPr>
      </w:pPr>
      <w:r>
        <w:rPr>
          <w:rFonts w:hint="eastAsia" w:ascii="微软雅黑" w:hAnsi="微软雅黑" w:eastAsia="微软雅黑" w:cs="微软雅黑"/>
          <w:i w:val="0"/>
          <w:iCs w:val="0"/>
          <w:caps w:val="0"/>
          <w:color w:val="333333"/>
          <w:spacing w:val="0"/>
          <w:sz w:val="32"/>
          <w:szCs w:val="32"/>
          <w:u w:val="none"/>
          <w:shd w:val="clear" w:fill="FFFFFF"/>
          <w:lang w:val="en-US" w:eastAsia="zh-CN"/>
        </w:rPr>
        <w:t>投资者保护在身边，保障权益防风险——</w:t>
      </w:r>
      <w:r>
        <w:rPr>
          <w:rFonts w:hint="eastAsia" w:ascii="微软雅黑" w:hAnsi="微软雅黑" w:eastAsia="微软雅黑" w:cs="微软雅黑"/>
          <w:i w:val="0"/>
          <w:iCs w:val="0"/>
          <w:caps w:val="0"/>
          <w:color w:val="333333"/>
          <w:spacing w:val="0"/>
          <w:sz w:val="32"/>
          <w:szCs w:val="32"/>
          <w:u w:val="none"/>
          <w:shd w:val="clear" w:fill="FFFFFF"/>
        </w:rPr>
        <w:t>新《证券法》全文及修订要点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u w:val="none"/>
          <w:shd w:val="clear" w:fill="FFFFFF"/>
          <w:lang w:val="en-US" w:eastAsia="zh-CN"/>
        </w:rPr>
      </w:pPr>
      <w:bookmarkStart w:id="0" w:name="_GoBack"/>
      <w:bookmarkEnd w:id="0"/>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2019年12月28日，第十三届全国人大常委会第十五次会议审议通过了修订后的《中华人民共和国证券法》（以下简称新证券法），已于2020年3月1日起施行。本次证券法修订，按照顶层制度设计要求，进一步完善了证券市场基础制度，体现了市场化、法治化、国际化方向，为证券市场全面深化改革落实落地，有效防控市场风险，提高上市公司质量，切实维护投资者合法权益，促进证券市场服务实体经济功能发挥，打造一个规范、透明、开放、有活力、有韧性的资本市场，提供了坚强的法治保障，具有非常重要而深远的意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本次证券法修订，系统总结了多年来我国证券市场改革发展、监管执法、风险防控的实践经验，在深入分析证券市场运行规律和发展阶段性特点的基础上，作出了一系列新的制度改革完善：</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一是全面推行证券发行注册制度。在总结上海证券交易所设立科创板并试点注册制的经验基础上，新证券法贯彻落实十八届三中全会关于注册制改革的有关要求和十九届四中全会完善资本市场基础制度要求，按照全面推行注册制的基本定位，对证券发行制度做了系统的修改完善，充分体现了注册制改革的决心与方向。同时，考虑到注册制改革是一个渐进的过程，新证券法也授权国务院对证券发行注册制的具体范围、实施步骤进行规定，为有关板块和证券品种分步实施注册制留出了必要的法律空间。</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二是显著提高证券违法违规成本。新证券法大幅提高对证券违法行为的处罚力度。如对于欺诈发行行为，从原来最高可处募集资金百分之五的罚款，提高至募集资金的一倍；对于上市公司信息披露违法行为，从原来最高可处以六十万元罚款，提高至一千万元；对于发行人的控股股东、实际控制人组织、指使从事虚假陈述行为，或者隐瞒相关事项导致虚假陈述的，规定最高可处以一千万元罚款等。同时，新证券法对证券违法民事赔偿责任也做了完善。如规定了发行人等不履行公开承诺的民事赔偿责任，明确了发行人的控股股东、实际控制人在欺诈发行、信息披露违法中的过错推定、连带赔偿责任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三是完善投资者保护制度。新证券法设专章规定投资者保护制度，作出了许多颇有亮点的安排。包括区分普通投资者和专业投资者，有针对性的做出投资者权益保护安排；建立上市公司股东权利代为行使征集制度；规定债券持有人会议和债券受托管理人制度；建立普通投资者与证券公司纠纷的强制调解制度；完善上市公司现金分红制度。尤其值得关注的是，为适应证券发行注册制改革的需要，新证券法探索了适应我国国情的证券民事诉讼制度，规定投资者保护机构可以作为诉讼代表人，按照“明示退出”“默示加入”的诉讼原则，依法为受害投资者提起民事损害赔偿诉讼。</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四是进一步强化信息披露要求。新证券法设专章规定信息披露制度，系统完善了信息披露制度。包括扩大信息披露义务人的范围；完善信息披露的内容；强调应当充分披露投资者作出价值判断和投资决策所必需的信息；规范信息披露义务人的自愿披露行为；明确上市公司收购人应当披露增持股份的资金来源；确立发行人及其控股股东、实际控制人、董事、监事、高级管理人员公开承诺的信息披露制度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五是完善证券交易制度。优化有关上市条件和退市情形的规定；完善有关内幕交易、操纵市场、利用未公开信息的法律禁止性规定；强化证券交易实名制要求，任何单位和个人不得违反规定，出借证券账户或者借用他人证券账户从事证券交易；完善上市公司股东减持制度；规定证券交易停复牌制度和程序化交易制度；完善证券交易所防控市场风险、维护交易秩序的手段措施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六是落实“放管服”要求取消相关行政许可。包括取消证券公司董事、监事、高级管理人员任职资格核准；调整会计师事务所等证券服务机构从事证券业务的监管方式，将资格审批改为备案；将协议收购下的要约收购义务豁免由经证监会免除，调整为按照证监会的规定免除发出要约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七是压实中介机构市场“看门人”法律职责。规定证券公司不得允许他人以其名义直接参与证券的集中交易；明确保荐人、承销的证券公司及其直接责任人员未履行职责时对受害投资者所应承担的过错推定、连带赔偿责任；提高证券服务机构未履行勤勉尽责义务的违法处罚幅度，由原来最高可处以业务收入五倍的罚款，提高到十倍，情节严重的，并处暂停或者禁止从事证券服务业务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八是建立健全多层次资本市场体系。将证券交易场所划分为证券交易所、国务院批准的其他全国性证券交易场所、按照国务院规定设立的区域性股权市场等三个层次；规定证券交易所、国务院批准的其他全国性证券交易场所可以依法设立不同的市场层次；明确非公开发行的证券，可以在上述证券交易场所转让；授权国务院制定有关全国性证券交易场所、区域性股权市场的管理办法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九是强化监管执法和风险防控。明确了证监会依法监测并防范、处置证券市场风险的职责；延长了证监会在执法中对违法资金、证券的冻结、查封期限；规定了证监会为防范市场风险、维护市场秩序采取监管措施的制度；增加了行政和解制度，证券市场诚信档案制度；完善了证券市场禁入制度，规定被市场禁入的主体，在一定期限内不得从事证券交易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十是扩大证券法的适用范围。将存托凭证明确规定为法定证券；将资产支持证券和资产管理产品写入证券法，授权国务院按照证券法的原则规定资产支持证券、资产管理产品发行、交易的管理办法。同时，考虑到证券领域跨境监管的现实需要，明确在我国境外的证券发行和交易活动，扰乱我国境内市场秩序，损害境内投资者合法权益的，依照证券法追究法律责任等。</w:t>
      </w:r>
    </w:p>
    <w:p>
      <w:pPr>
        <w:widowControl w:val="0"/>
        <w:numPr>
          <w:ilvl w:val="0"/>
          <w:numId w:val="0"/>
        </w:numPr>
        <w:kinsoku/>
        <w:autoSpaceDE w:val="0"/>
        <w:autoSpaceDN w:val="0"/>
        <w:adjustRightInd w:val="0"/>
        <w:snapToGrid/>
        <w:spacing w:line="360" w:lineRule="auto"/>
        <w:ind w:firstLine="480" w:firstLineChars="200"/>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此外，此次证券法修订还对上市公司收购制度、证券公司业务管理制度、证券登记结算制度、跨境监管协作制度等作了完善。</w:t>
      </w:r>
    </w:p>
    <w:p>
      <w:pPr>
        <w:widowControl w:val="0"/>
        <w:numPr>
          <w:ilvl w:val="0"/>
          <w:numId w:val="0"/>
        </w:numPr>
        <w:kinsoku/>
        <w:autoSpaceDE w:val="0"/>
        <w:autoSpaceDN w:val="0"/>
        <w:adjustRightInd w:val="0"/>
        <w:snapToGrid/>
        <w:spacing w:line="360" w:lineRule="auto"/>
        <w:jc w:val="left"/>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修订详情对照如下：</w:t>
      </w:r>
    </w:p>
    <w:p>
      <w:pPr>
        <w:widowControl w:val="0"/>
        <w:numPr>
          <w:ilvl w:val="0"/>
          <w:numId w:val="0"/>
        </w:numPr>
        <w:kinsoku/>
        <w:autoSpaceDE w:val="0"/>
        <w:autoSpaceDN w:val="0"/>
        <w:adjustRightInd w:val="0"/>
        <w:snapToGrid/>
        <w:spacing w:line="360" w:lineRule="auto"/>
        <w:jc w:val="left"/>
        <w:textAlignment w:val="auto"/>
        <w:rPr>
          <w:rFonts w:hint="eastAsia" w:ascii="宋体" w:hAnsi="宋体" w:eastAsia="宋体" w:cs="宋体"/>
          <w:b/>
          <w:bCs/>
          <w:snapToGrid/>
          <w:color w:val="000000"/>
          <w:kern w:val="0"/>
          <w:sz w:val="18"/>
          <w:szCs w:val="18"/>
          <w:lang w:val="en-US" w:eastAsia="zh-CN"/>
        </w:rPr>
      </w:pPr>
      <w:r>
        <w:rPr>
          <w:rFonts w:hint="eastAsia" w:ascii="宋体" w:hAnsi="宋体" w:eastAsia="宋体" w:cs="宋体"/>
          <w:b/>
          <w:bCs/>
          <w:snapToGrid/>
          <w:color w:val="000000"/>
          <w:kern w:val="0"/>
          <w:sz w:val="18"/>
          <w:szCs w:val="18"/>
          <w:lang w:val="en-US" w:eastAsia="zh-CN"/>
        </w:rPr>
        <w:t>表格说明：阴影加框</w:t>
      </w:r>
      <w:r>
        <w:rPr>
          <w:rFonts w:hint="eastAsia" w:ascii="宋体" w:hAnsi="宋体" w:eastAsia="宋体" w:cs="宋体"/>
          <w:b/>
          <w:bCs/>
          <w:snapToGrid/>
          <w:color w:val="000000"/>
          <w:kern w:val="0"/>
          <w:sz w:val="18"/>
          <w:szCs w:val="18"/>
          <w:lang w:val="en-US" w:eastAsia="zh-CN"/>
        </w:rPr>
        <w:drawing>
          <wp:inline distT="0" distB="0" distL="0" distR="0">
            <wp:extent cx="635" cy="233045"/>
            <wp:effectExtent l="0" t="0" r="18415" b="14605"/>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69"/>
                    <a:stretch>
                      <a:fillRect/>
                    </a:stretch>
                  </pic:blipFill>
                  <pic:spPr>
                    <a:xfrm>
                      <a:off x="0" y="0"/>
                      <a:ext cx="956" cy="233171"/>
                    </a:xfrm>
                    <a:prstGeom prst="rect">
                      <a:avLst/>
                    </a:prstGeom>
                  </pic:spPr>
                </pic:pic>
              </a:graphicData>
            </a:graphic>
          </wp:inline>
        </w:drawing>
      </w:r>
      <w:r>
        <w:rPr>
          <w:rFonts w:hint="eastAsia" w:ascii="宋体" w:hAnsi="宋体" w:eastAsia="宋体" w:cs="宋体"/>
          <w:b/>
          <w:bCs/>
          <w:snapToGrid/>
          <w:color w:val="000000"/>
          <w:kern w:val="0"/>
          <w:sz w:val="18"/>
          <w:szCs w:val="18"/>
          <w:lang w:val="en-US" w:eastAsia="zh-CN"/>
        </w:rPr>
        <w:t>部分表示删除或者修改，黑体字部分表示新增或修改</w:t>
      </w:r>
    </w:p>
    <w:tbl>
      <w:tblPr>
        <w:tblStyle w:val="7"/>
        <w:tblpPr w:leftFromText="180" w:rightFromText="180" w:vertAnchor="text" w:horzAnchor="page" w:tblpX="1422" w:tblpY="102"/>
        <w:tblOverlap w:val="never"/>
        <w:tblW w:w="139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0"/>
        <w:gridCol w:w="2400"/>
        <w:gridCol w:w="372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7100" w:type="dxa"/>
            <w:gridSpan w:val="3"/>
            <w:vAlign w:val="top"/>
          </w:tcPr>
          <w:p>
            <w:pPr>
              <w:spacing w:before="39" w:line="222" w:lineRule="auto"/>
              <w:ind w:left="3071"/>
              <w:rPr>
                <w:rFonts w:hint="eastAsia" w:ascii="黑体" w:hAnsi="黑体" w:eastAsia="黑体" w:cs="黑体"/>
                <w:sz w:val="24"/>
                <w:szCs w:val="24"/>
                <w:lang w:eastAsia="zh-CN"/>
              </w:rPr>
            </w:pPr>
            <w:r>
              <w:rPr>
                <w:rFonts w:hint="eastAsia" w:ascii="黑体" w:hAnsi="黑体" w:eastAsia="黑体" w:cs="黑体"/>
                <w:spacing w:val="-2"/>
                <w:sz w:val="24"/>
                <w:szCs w:val="24"/>
                <w:lang w:val="en-US" w:eastAsia="zh-CN"/>
              </w:rPr>
              <w:t>旧《证券法》</w:t>
            </w:r>
          </w:p>
        </w:tc>
        <w:tc>
          <w:tcPr>
            <w:tcW w:w="6807" w:type="dxa"/>
            <w:vAlign w:val="top"/>
          </w:tcPr>
          <w:p>
            <w:pPr>
              <w:spacing w:before="40" w:line="221" w:lineRule="auto"/>
              <w:ind w:left="2086"/>
              <w:rPr>
                <w:rFonts w:hint="eastAsia" w:ascii="黑体" w:hAnsi="黑体" w:eastAsia="黑体" w:cs="黑体"/>
                <w:sz w:val="24"/>
                <w:szCs w:val="24"/>
                <w:lang w:eastAsia="zh-CN"/>
              </w:rPr>
            </w:pPr>
            <w:r>
              <w:rPr>
                <w:rFonts w:hint="eastAsia" w:ascii="黑体" w:hAnsi="黑体" w:eastAsia="黑体" w:cs="黑体"/>
                <w:spacing w:val="-2"/>
                <w:sz w:val="24"/>
                <w:szCs w:val="24"/>
                <w:lang w:val="en-US" w:eastAsia="zh-CN"/>
              </w:rPr>
              <w:t>新《证券法》（2020年）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7100" w:type="dxa"/>
            <w:gridSpan w:val="3"/>
            <w:vAlign w:val="top"/>
          </w:tcPr>
          <w:p>
            <w:pPr>
              <w:spacing w:before="31" w:line="222" w:lineRule="auto"/>
              <w:ind w:left="3341"/>
              <w:rPr>
                <w:rFonts w:ascii="黑体" w:hAnsi="黑体" w:eastAsia="黑体" w:cs="黑体"/>
                <w:sz w:val="24"/>
                <w:szCs w:val="24"/>
              </w:rPr>
            </w:pPr>
            <w:r>
              <w:rPr>
                <w:rFonts w:ascii="黑体" w:hAnsi="黑体" w:eastAsia="黑体" w:cs="黑体"/>
                <w:spacing w:val="-10"/>
                <w:sz w:val="24"/>
                <w:szCs w:val="24"/>
              </w:rPr>
              <w:t>目录</w:t>
            </w:r>
          </w:p>
        </w:tc>
        <w:tc>
          <w:tcPr>
            <w:tcW w:w="6807" w:type="dxa"/>
            <w:vAlign w:val="top"/>
          </w:tcPr>
          <w:p>
            <w:pPr>
              <w:spacing w:before="31" w:line="222" w:lineRule="auto"/>
              <w:ind w:left="3193"/>
              <w:rPr>
                <w:rFonts w:ascii="黑体" w:hAnsi="黑体" w:eastAsia="黑体" w:cs="黑体"/>
                <w:sz w:val="24"/>
                <w:szCs w:val="24"/>
              </w:rPr>
            </w:pPr>
            <w:r>
              <w:rPr>
                <w:rFonts w:ascii="黑体" w:hAnsi="黑体" w:eastAsia="黑体" w:cs="黑体"/>
                <w:spacing w:val="-10"/>
                <w:sz w:val="24"/>
                <w:szCs w:val="24"/>
              </w:rPr>
              <w:t>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100" w:type="dxa"/>
            <w:gridSpan w:val="3"/>
            <w:vAlign w:val="top"/>
          </w:tcPr>
          <w:p>
            <w:pPr>
              <w:pStyle w:val="8"/>
              <w:spacing w:before="35" w:line="217" w:lineRule="auto"/>
              <w:ind w:left="506"/>
            </w:pPr>
            <w:r>
              <w:rPr>
                <w:spacing w:val="-7"/>
              </w:rPr>
              <w:t>第一章</w:t>
            </w:r>
            <w:r>
              <w:rPr>
                <w:spacing w:val="12"/>
              </w:rPr>
              <w:t xml:space="preserve">  </w:t>
            </w:r>
            <w:r>
              <w:rPr>
                <w:spacing w:val="-7"/>
              </w:rPr>
              <w:t>总则</w:t>
            </w:r>
          </w:p>
        </w:tc>
        <w:tc>
          <w:tcPr>
            <w:tcW w:w="6807" w:type="dxa"/>
            <w:vAlign w:val="top"/>
          </w:tcPr>
          <w:p>
            <w:pPr>
              <w:pStyle w:val="8"/>
              <w:spacing w:before="35" w:line="217" w:lineRule="auto"/>
              <w:ind w:left="503"/>
            </w:pPr>
            <w:r>
              <w:rPr>
                <w:spacing w:val="-7"/>
              </w:rPr>
              <w:t>第一章</w:t>
            </w:r>
            <w:r>
              <w:rPr>
                <w:spacing w:val="12"/>
              </w:rPr>
              <w:t xml:space="preserve">  </w:t>
            </w:r>
            <w:r>
              <w:rPr>
                <w:spacing w:val="-7"/>
              </w:rPr>
              <w:t>总则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7100" w:type="dxa"/>
            <w:gridSpan w:val="3"/>
            <w:vAlign w:val="top"/>
          </w:tcPr>
          <w:p>
            <w:pPr>
              <w:pStyle w:val="8"/>
              <w:spacing w:before="33" w:line="216" w:lineRule="auto"/>
              <w:ind w:left="506"/>
            </w:pPr>
            <w:r>
              <w:rPr>
                <w:spacing w:val="-5"/>
              </w:rPr>
              <w:t>第二章</w:t>
            </w:r>
            <w:r>
              <w:rPr>
                <w:spacing w:val="8"/>
              </w:rPr>
              <w:t xml:space="preserve">  </w:t>
            </w:r>
            <w:r>
              <w:rPr>
                <w:spacing w:val="-5"/>
              </w:rPr>
              <w:t>证券发行</w:t>
            </w:r>
          </w:p>
        </w:tc>
        <w:tc>
          <w:tcPr>
            <w:tcW w:w="6807" w:type="dxa"/>
            <w:vAlign w:val="top"/>
          </w:tcPr>
          <w:p>
            <w:pPr>
              <w:pStyle w:val="8"/>
              <w:spacing w:before="33" w:line="216" w:lineRule="auto"/>
              <w:ind w:left="503"/>
            </w:pPr>
            <w:r>
              <w:rPr>
                <w:spacing w:val="-5"/>
              </w:rPr>
              <w:t>第二章</w:t>
            </w:r>
            <w:r>
              <w:rPr>
                <w:spacing w:val="8"/>
              </w:rPr>
              <w:t xml:space="preserve">  </w:t>
            </w:r>
            <w:r>
              <w:rPr>
                <w:spacing w:val="-5"/>
              </w:rPr>
              <w:t>证券发行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7100" w:type="dxa"/>
            <w:gridSpan w:val="3"/>
            <w:vAlign w:val="top"/>
          </w:tcPr>
          <w:p>
            <w:pPr>
              <w:pStyle w:val="8"/>
              <w:spacing w:before="35" w:line="217" w:lineRule="auto"/>
              <w:ind w:left="506"/>
            </w:pPr>
            <w:r>
              <w:rPr>
                <w:spacing w:val="-5"/>
              </w:rPr>
              <w:t>第三章</w:t>
            </w:r>
            <w:r>
              <w:rPr>
                <w:spacing w:val="8"/>
              </w:rPr>
              <w:t xml:space="preserve">  </w:t>
            </w:r>
            <w:r>
              <w:rPr>
                <w:spacing w:val="-5"/>
              </w:rPr>
              <w:t>证券交易</w:t>
            </w:r>
          </w:p>
        </w:tc>
        <w:tc>
          <w:tcPr>
            <w:tcW w:w="6807" w:type="dxa"/>
            <w:vAlign w:val="top"/>
          </w:tcPr>
          <w:p>
            <w:pPr>
              <w:pStyle w:val="8"/>
              <w:spacing w:before="35" w:line="217" w:lineRule="auto"/>
              <w:ind w:left="503"/>
            </w:pPr>
            <w:r>
              <w:rPr>
                <w:spacing w:val="-5"/>
              </w:rPr>
              <w:t>第三章</w:t>
            </w:r>
            <w:r>
              <w:rPr>
                <w:spacing w:val="8"/>
              </w:rPr>
              <w:t xml:space="preserve">  </w:t>
            </w:r>
            <w:r>
              <w:rPr>
                <w:spacing w:val="-5"/>
              </w:rPr>
              <w:t>证券交易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100" w:type="dxa"/>
            <w:gridSpan w:val="3"/>
            <w:vAlign w:val="top"/>
          </w:tcPr>
          <w:p>
            <w:pPr>
              <w:pStyle w:val="8"/>
              <w:spacing w:before="37" w:line="217" w:lineRule="auto"/>
              <w:ind w:left="986"/>
            </w:pPr>
            <w:r>
              <w:rPr>
                <w:spacing w:val="-7"/>
              </w:rPr>
              <w:t>第一节</w:t>
            </w:r>
            <w:r>
              <w:rPr>
                <w:spacing w:val="13"/>
              </w:rPr>
              <w:t xml:space="preserve">  </w:t>
            </w:r>
            <w:r>
              <w:rPr>
                <w:spacing w:val="-7"/>
              </w:rPr>
              <w:t>一般规定</w:t>
            </w:r>
          </w:p>
        </w:tc>
        <w:tc>
          <w:tcPr>
            <w:tcW w:w="6807" w:type="dxa"/>
            <w:vAlign w:val="top"/>
          </w:tcPr>
          <w:p>
            <w:pPr>
              <w:pStyle w:val="8"/>
              <w:spacing w:before="37" w:line="217" w:lineRule="auto"/>
              <w:ind w:left="983"/>
            </w:pPr>
            <w:r>
              <w:rPr>
                <w:spacing w:val="-7"/>
              </w:rPr>
              <w:t>第一节</w:t>
            </w:r>
            <w:r>
              <w:rPr>
                <w:spacing w:val="13"/>
              </w:rPr>
              <w:t xml:space="preserve">  </w:t>
            </w:r>
            <w:r>
              <w:rPr>
                <w:spacing w:val="-7"/>
              </w:rPr>
              <w:t>一般规定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7100" w:type="dxa"/>
            <w:gridSpan w:val="3"/>
            <w:vAlign w:val="top"/>
          </w:tcPr>
          <w:p>
            <w:pPr>
              <w:pStyle w:val="8"/>
              <w:spacing w:before="35" w:line="217" w:lineRule="auto"/>
              <w:ind w:left="986"/>
            </w:pPr>
            <w:r>
              <w:rPr>
                <w:spacing w:val="-5"/>
              </w:rPr>
              <w:t>第二节</w:t>
            </w:r>
            <w:r>
              <w:rPr>
                <w:spacing w:val="8"/>
              </w:rPr>
              <w:t xml:space="preserve">  </w:t>
            </w:r>
            <w:r>
              <w:rPr>
                <w:spacing w:val="-5"/>
              </w:rPr>
              <w:t>证券上市</w:t>
            </w:r>
          </w:p>
        </w:tc>
        <w:tc>
          <w:tcPr>
            <w:tcW w:w="6807" w:type="dxa"/>
            <w:vAlign w:val="top"/>
          </w:tcPr>
          <w:p>
            <w:pPr>
              <w:pStyle w:val="8"/>
              <w:spacing w:before="35" w:line="217" w:lineRule="auto"/>
              <w:ind w:left="983"/>
            </w:pPr>
            <w:r>
              <w:rPr>
                <w:spacing w:val="-5"/>
              </w:rPr>
              <w:t>第二节</w:t>
            </w:r>
            <w:r>
              <w:rPr>
                <w:spacing w:val="8"/>
              </w:rPr>
              <w:t xml:space="preserve">  </w:t>
            </w:r>
            <w:r>
              <w:rPr>
                <w:spacing w:val="-5"/>
              </w:rPr>
              <w:t>证券上市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980" w:type="dxa"/>
            <w:vMerge w:val="restart"/>
            <w:tcBorders>
              <w:bottom w:val="nil"/>
              <w:right w:val="single" w:color="000000" w:sz="2" w:space="0"/>
            </w:tcBorders>
            <w:vAlign w:val="top"/>
          </w:tcPr>
          <w:p>
            <w:pPr>
              <w:rPr>
                <w:rFonts w:ascii="Arial"/>
                <w:sz w:val="21"/>
              </w:rPr>
            </w:pPr>
          </w:p>
        </w:tc>
        <w:tc>
          <w:tcPr>
            <w:tcW w:w="2400" w:type="dxa"/>
            <w:tcBorders>
              <w:left w:val="single" w:color="000000" w:sz="2" w:space="0"/>
              <w:bottom w:val="single" w:color="000000" w:sz="2" w:space="0"/>
              <w:right w:val="single" w:color="000000" w:sz="2" w:space="0"/>
            </w:tcBorders>
            <w:shd w:val="clear" w:color="auto" w:fill="D9D9D9"/>
            <w:vAlign w:val="top"/>
          </w:tcPr>
          <w:p>
            <w:pPr>
              <w:pStyle w:val="8"/>
              <w:spacing w:before="35" w:line="189" w:lineRule="auto"/>
              <w:jc w:val="right"/>
            </w:pPr>
            <w:r>
              <w:rPr>
                <w:spacing w:val="-2"/>
              </w:rPr>
              <w:t>第三节  持续信息公开</w:t>
            </w:r>
          </w:p>
        </w:tc>
        <w:tc>
          <w:tcPr>
            <w:tcW w:w="3720" w:type="dxa"/>
            <w:vMerge w:val="restart"/>
            <w:tcBorders>
              <w:left w:val="single" w:color="000000" w:sz="2" w:space="0"/>
              <w:bottom w:val="nil"/>
            </w:tcBorders>
            <w:vAlign w:val="top"/>
          </w:tcPr>
          <w:p>
            <w:pPr>
              <w:rPr>
                <w:rFonts w:ascii="Arial"/>
                <w:sz w:val="21"/>
              </w:rPr>
            </w:pPr>
          </w:p>
        </w:tc>
        <w:tc>
          <w:tcPr>
            <w:tcW w:w="6807" w:type="dxa"/>
            <w:vMerge w:val="restart"/>
            <w:tcBorders>
              <w:bottom w:val="nil"/>
            </w:tcBorders>
            <w:vAlign w:val="top"/>
          </w:tcPr>
          <w:p>
            <w:pPr>
              <w:spacing w:before="36" w:line="222" w:lineRule="auto"/>
              <w:ind w:left="987"/>
              <w:rPr>
                <w:rFonts w:ascii="黑体" w:hAnsi="黑体" w:eastAsia="黑体" w:cs="黑体"/>
                <w:sz w:val="24"/>
                <w:szCs w:val="24"/>
              </w:rPr>
            </w:pPr>
            <w:r>
              <w:rPr>
                <w:rFonts w:ascii="黑体" w:hAnsi="黑体" w:eastAsia="黑体" w:cs="黑体"/>
                <w:spacing w:val="-7"/>
                <w:sz w:val="24"/>
                <w:szCs w:val="24"/>
              </w:rPr>
              <w:t>（移至第五章）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 w:hRule="atLeast"/>
        </w:trPr>
        <w:tc>
          <w:tcPr>
            <w:tcW w:w="980" w:type="dxa"/>
            <w:vMerge w:val="continue"/>
            <w:tcBorders>
              <w:top w:val="nil"/>
              <w:right w:val="single" w:color="000000" w:sz="2" w:space="0"/>
            </w:tcBorders>
            <w:vAlign w:val="top"/>
          </w:tcPr>
          <w:p>
            <w:pPr>
              <w:rPr>
                <w:rFonts w:ascii="Arial"/>
                <w:sz w:val="21"/>
              </w:rPr>
            </w:pPr>
          </w:p>
        </w:tc>
        <w:tc>
          <w:tcPr>
            <w:tcW w:w="2400" w:type="dxa"/>
            <w:tcBorders>
              <w:top w:val="single" w:color="000000" w:sz="2" w:space="0"/>
              <w:left w:val="nil"/>
              <w:right w:val="nil"/>
            </w:tcBorders>
            <w:vAlign w:val="top"/>
          </w:tcPr>
          <w:p>
            <w:pPr>
              <w:spacing w:line="61" w:lineRule="exact"/>
              <w:rPr>
                <w:rFonts w:ascii="Arial"/>
                <w:sz w:val="5"/>
              </w:rPr>
            </w:pPr>
          </w:p>
        </w:tc>
        <w:tc>
          <w:tcPr>
            <w:tcW w:w="3720" w:type="dxa"/>
            <w:vMerge w:val="continue"/>
            <w:tcBorders>
              <w:top w:val="nil"/>
              <w:left w:val="single" w:color="000000" w:sz="2" w:space="0"/>
            </w:tcBorders>
            <w:vAlign w:val="top"/>
          </w:tcPr>
          <w:p>
            <w:pPr>
              <w:rPr>
                <w:rFonts w:ascii="Arial"/>
                <w:sz w:val="21"/>
              </w:rPr>
            </w:pPr>
          </w:p>
        </w:tc>
        <w:tc>
          <w:tcPr>
            <w:tcW w:w="68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100" w:type="dxa"/>
            <w:gridSpan w:val="3"/>
            <w:vAlign w:val="top"/>
          </w:tcPr>
          <w:p>
            <w:pPr>
              <w:pStyle w:val="8"/>
              <w:spacing w:before="44" w:line="216" w:lineRule="auto"/>
              <w:ind w:left="986"/>
            </w:pPr>
            <w:r>
              <w:rPr>
                <w:spacing w:val="-2"/>
              </w:rPr>
              <w:t>第四节  禁止的交易行为</w:t>
            </w:r>
          </w:p>
        </w:tc>
        <w:tc>
          <w:tcPr>
            <w:tcW w:w="6807" w:type="dxa"/>
            <w:vAlign w:val="top"/>
          </w:tcPr>
          <w:p>
            <w:pPr>
              <w:pStyle w:val="8"/>
              <w:spacing w:before="44" w:line="216" w:lineRule="auto"/>
              <w:ind w:left="983"/>
            </w:pPr>
            <w:r>
              <w:rPr>
                <w:spacing w:val="-2"/>
              </w:rPr>
              <w:t>第三节  禁止的交易行为</w:t>
            </w:r>
          </w:p>
        </w:tc>
      </w:tr>
    </w:tbl>
    <w:p>
      <w:pPr>
        <w:spacing w:line="276" w:lineRule="auto"/>
        <w:rPr>
          <w:rFonts w:ascii="Arial"/>
          <w:sz w:val="21"/>
        </w:rPr>
      </w:pPr>
    </w:p>
    <w:p>
      <w:pPr>
        <w:spacing w:line="121" w:lineRule="exact"/>
      </w:pPr>
    </w:p>
    <w:p>
      <w:pPr>
        <w:spacing w:line="48" w:lineRule="exact"/>
        <w:rPr>
          <w:rFonts w:ascii="Arial"/>
          <w:sz w:val="4"/>
        </w:rPr>
      </w:pPr>
    </w:p>
    <w:p>
      <w:pPr>
        <w:spacing w:line="48" w:lineRule="exact"/>
        <w:rPr>
          <w:rFonts w:ascii="Arial" w:hAnsi="Arial" w:eastAsia="Arial" w:cs="Arial"/>
          <w:sz w:val="4"/>
          <w:szCs w:val="4"/>
        </w:rPr>
        <w:sectPr>
          <w:footerReference r:id="rId5"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4"/>
        <w:gridCol w:w="489"/>
        <w:gridCol w:w="6105"/>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098" w:type="dxa"/>
            <w:gridSpan w:val="3"/>
            <w:vAlign w:val="top"/>
          </w:tcPr>
          <w:p>
            <w:pPr>
              <w:pStyle w:val="8"/>
              <w:spacing w:before="42" w:line="217" w:lineRule="auto"/>
              <w:ind w:left="506"/>
            </w:pPr>
            <w:r>
              <w:rPr>
                <w:spacing w:val="-2"/>
              </w:rPr>
              <w:t>第四章  上市公司的收购</w:t>
            </w:r>
          </w:p>
        </w:tc>
        <w:tc>
          <w:tcPr>
            <w:tcW w:w="6809" w:type="dxa"/>
            <w:vAlign w:val="top"/>
          </w:tcPr>
          <w:p>
            <w:pPr>
              <w:pStyle w:val="8"/>
              <w:spacing w:before="42" w:line="217" w:lineRule="auto"/>
              <w:ind w:left="505"/>
            </w:pPr>
            <w:r>
              <w:rPr>
                <w:spacing w:val="-2"/>
              </w:rPr>
              <w:t>第四章  上市公司的收购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rPr>
                <w:rFonts w:ascii="Arial"/>
                <w:sz w:val="21"/>
              </w:rPr>
            </w:pPr>
          </w:p>
        </w:tc>
        <w:tc>
          <w:tcPr>
            <w:tcW w:w="6809" w:type="dxa"/>
            <w:vAlign w:val="top"/>
          </w:tcPr>
          <w:p>
            <w:pPr>
              <w:spacing w:before="28" w:line="222" w:lineRule="auto"/>
              <w:ind w:left="493"/>
              <w:rPr>
                <w:rFonts w:ascii="黑体" w:hAnsi="黑体" w:eastAsia="黑体" w:cs="黑体"/>
                <w:sz w:val="24"/>
                <w:szCs w:val="24"/>
              </w:rPr>
            </w:pPr>
            <w:r>
              <w:rPr>
                <w:rFonts w:ascii="黑体" w:hAnsi="黑体" w:eastAsia="黑体" w:cs="黑体"/>
                <w:spacing w:val="-1"/>
                <w:sz w:val="24"/>
                <w:szCs w:val="24"/>
              </w:rPr>
              <w:t>第五章  信息披露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rPr>
                <w:rFonts w:ascii="Arial"/>
                <w:sz w:val="21"/>
              </w:rPr>
            </w:pPr>
          </w:p>
        </w:tc>
        <w:tc>
          <w:tcPr>
            <w:tcW w:w="6809" w:type="dxa"/>
            <w:vAlign w:val="top"/>
          </w:tcPr>
          <w:p>
            <w:pPr>
              <w:spacing w:before="28" w:line="222" w:lineRule="auto"/>
              <w:ind w:left="493"/>
              <w:rPr>
                <w:rFonts w:ascii="黑体" w:hAnsi="黑体" w:eastAsia="黑体" w:cs="黑体"/>
                <w:sz w:val="24"/>
                <w:szCs w:val="24"/>
              </w:rPr>
            </w:pPr>
            <w:r>
              <w:rPr>
                <w:rFonts w:ascii="黑体" w:hAnsi="黑体" w:eastAsia="黑体" w:cs="黑体"/>
                <w:spacing w:val="-1"/>
                <w:sz w:val="24"/>
                <w:szCs w:val="24"/>
              </w:rPr>
              <w:t>第六章  投资者保护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098" w:type="dxa"/>
            <w:gridSpan w:val="3"/>
            <w:vAlign w:val="top"/>
          </w:tcPr>
          <w:p>
            <w:pPr>
              <w:pStyle w:val="8"/>
              <w:spacing w:before="33" w:line="217" w:lineRule="auto"/>
              <w:ind w:left="506"/>
            </w:pPr>
            <w:r>
              <w:rPr>
                <w:spacing w:val="-5"/>
              </w:rPr>
              <w:t>第五章</w:t>
            </w:r>
            <w:r>
              <w:rPr>
                <w:spacing w:val="10"/>
              </w:rPr>
              <w:t xml:space="preserve">  </w:t>
            </w:r>
            <w:r>
              <w:rPr>
                <w:spacing w:val="-5"/>
              </w:rPr>
              <w:t>证券交易所</w:t>
            </w:r>
          </w:p>
        </w:tc>
        <w:tc>
          <w:tcPr>
            <w:tcW w:w="6809" w:type="dxa"/>
            <w:vAlign w:val="top"/>
          </w:tcPr>
          <w:p>
            <w:pPr>
              <w:pStyle w:val="8"/>
              <w:spacing w:before="33" w:line="217" w:lineRule="auto"/>
              <w:ind w:left="505"/>
            </w:pPr>
            <w:r>
              <w:rPr>
                <w:spacing w:val="-2"/>
              </w:rPr>
              <w:t>第七章  证券交易场所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pStyle w:val="8"/>
              <w:spacing w:before="31" w:line="217" w:lineRule="auto"/>
              <w:ind w:left="506"/>
            </w:pPr>
            <w:r>
              <w:rPr>
                <w:spacing w:val="-5"/>
              </w:rPr>
              <w:t>第六章</w:t>
            </w:r>
            <w:r>
              <w:rPr>
                <w:spacing w:val="8"/>
              </w:rPr>
              <w:t xml:space="preserve">  </w:t>
            </w:r>
            <w:r>
              <w:rPr>
                <w:spacing w:val="-5"/>
              </w:rPr>
              <w:t>证券公司</w:t>
            </w:r>
          </w:p>
        </w:tc>
        <w:tc>
          <w:tcPr>
            <w:tcW w:w="6809" w:type="dxa"/>
            <w:vAlign w:val="top"/>
          </w:tcPr>
          <w:p>
            <w:pPr>
              <w:pStyle w:val="8"/>
              <w:spacing w:before="31" w:line="217" w:lineRule="auto"/>
              <w:ind w:left="505"/>
            </w:pPr>
            <w:r>
              <w:rPr>
                <w:spacing w:val="-5"/>
              </w:rPr>
              <w:t>第八章</w:t>
            </w:r>
            <w:r>
              <w:rPr>
                <w:spacing w:val="8"/>
              </w:rPr>
              <w:t xml:space="preserve">  </w:t>
            </w:r>
            <w:r>
              <w:rPr>
                <w:spacing w:val="-5"/>
              </w:rPr>
              <w:t>证券公司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pStyle w:val="8"/>
              <w:spacing w:before="30" w:line="217" w:lineRule="auto"/>
              <w:ind w:left="506"/>
            </w:pPr>
            <w:r>
              <w:rPr>
                <w:spacing w:val="-2"/>
              </w:rPr>
              <w:t>第七章  证券登记结算机构</w:t>
            </w:r>
          </w:p>
        </w:tc>
        <w:tc>
          <w:tcPr>
            <w:tcW w:w="6809" w:type="dxa"/>
            <w:vAlign w:val="top"/>
          </w:tcPr>
          <w:p>
            <w:pPr>
              <w:pStyle w:val="8"/>
              <w:spacing w:before="30" w:line="217" w:lineRule="auto"/>
              <w:ind w:left="505"/>
            </w:pPr>
            <w:r>
              <w:rPr>
                <w:spacing w:val="-2"/>
              </w:rPr>
              <w:t>第九章  证券登记结算机构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7098" w:type="dxa"/>
            <w:gridSpan w:val="3"/>
            <w:vAlign w:val="top"/>
          </w:tcPr>
          <w:p>
            <w:pPr>
              <w:pStyle w:val="8"/>
              <w:spacing w:before="34" w:line="217" w:lineRule="auto"/>
              <w:ind w:left="506"/>
            </w:pPr>
            <w:r>
              <w:rPr>
                <w:spacing w:val="-2"/>
              </w:rPr>
              <w:t>第八章  证券服务机构</w:t>
            </w:r>
          </w:p>
        </w:tc>
        <w:tc>
          <w:tcPr>
            <w:tcW w:w="6809" w:type="dxa"/>
            <w:vAlign w:val="top"/>
          </w:tcPr>
          <w:p>
            <w:pPr>
              <w:pStyle w:val="8"/>
              <w:spacing w:before="34" w:line="217" w:lineRule="auto"/>
              <w:ind w:left="505"/>
            </w:pPr>
            <w:r>
              <w:rPr>
                <w:spacing w:val="-2"/>
              </w:rPr>
              <w:t>第十章  证券服务机构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pStyle w:val="8"/>
              <w:spacing w:before="32" w:line="217" w:lineRule="auto"/>
              <w:ind w:left="506"/>
            </w:pPr>
            <w:r>
              <w:rPr>
                <w:spacing w:val="-5"/>
              </w:rPr>
              <w:t>第九章</w:t>
            </w:r>
            <w:r>
              <w:rPr>
                <w:spacing w:val="10"/>
              </w:rPr>
              <w:t xml:space="preserve">  </w:t>
            </w:r>
            <w:r>
              <w:rPr>
                <w:spacing w:val="-5"/>
              </w:rPr>
              <w:t>证券业协会</w:t>
            </w:r>
          </w:p>
        </w:tc>
        <w:tc>
          <w:tcPr>
            <w:tcW w:w="6809" w:type="dxa"/>
            <w:vAlign w:val="top"/>
          </w:tcPr>
          <w:p>
            <w:pPr>
              <w:pStyle w:val="8"/>
              <w:spacing w:before="32" w:line="217" w:lineRule="auto"/>
              <w:ind w:left="505"/>
            </w:pPr>
            <w:r>
              <w:rPr>
                <w:spacing w:val="-2"/>
              </w:rPr>
              <w:t>第十一章  证券业协会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pStyle w:val="8"/>
              <w:spacing w:before="32" w:line="217" w:lineRule="auto"/>
              <w:ind w:left="506"/>
            </w:pPr>
            <w:r>
              <w:rPr>
                <w:spacing w:val="-2"/>
              </w:rPr>
              <w:t>第十章  证券监督管理机构</w:t>
            </w:r>
          </w:p>
        </w:tc>
        <w:tc>
          <w:tcPr>
            <w:tcW w:w="6809" w:type="dxa"/>
            <w:vAlign w:val="top"/>
          </w:tcPr>
          <w:p>
            <w:pPr>
              <w:pStyle w:val="8"/>
              <w:spacing w:before="32" w:line="217" w:lineRule="auto"/>
              <w:ind w:left="505"/>
            </w:pPr>
            <w:r>
              <w:rPr>
                <w:spacing w:val="-2"/>
              </w:rPr>
              <w:t>第十二章  证券监督管理机构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098" w:type="dxa"/>
            <w:gridSpan w:val="3"/>
            <w:vAlign w:val="top"/>
          </w:tcPr>
          <w:p>
            <w:pPr>
              <w:pStyle w:val="8"/>
              <w:spacing w:before="34" w:line="217" w:lineRule="auto"/>
              <w:ind w:left="506"/>
            </w:pPr>
            <w:r>
              <w:rPr>
                <w:spacing w:val="-5"/>
              </w:rPr>
              <w:t>第十一章</w:t>
            </w:r>
            <w:r>
              <w:rPr>
                <w:spacing w:val="10"/>
              </w:rPr>
              <w:t xml:space="preserve">  </w:t>
            </w:r>
            <w:r>
              <w:rPr>
                <w:spacing w:val="-5"/>
              </w:rPr>
              <w:t>法律责任</w:t>
            </w:r>
          </w:p>
        </w:tc>
        <w:tc>
          <w:tcPr>
            <w:tcW w:w="6809" w:type="dxa"/>
            <w:vAlign w:val="top"/>
          </w:tcPr>
          <w:p>
            <w:pPr>
              <w:pStyle w:val="8"/>
              <w:spacing w:before="34" w:line="217" w:lineRule="auto"/>
              <w:ind w:left="505"/>
            </w:pPr>
            <w:r>
              <w:rPr>
                <w:spacing w:val="-5"/>
              </w:rPr>
              <w:t>第十三章</w:t>
            </w:r>
            <w:r>
              <w:rPr>
                <w:spacing w:val="10"/>
              </w:rPr>
              <w:t xml:space="preserve">  </w:t>
            </w:r>
            <w:r>
              <w:rPr>
                <w:spacing w:val="-5"/>
              </w:rPr>
              <w:t>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7098" w:type="dxa"/>
            <w:gridSpan w:val="3"/>
            <w:vAlign w:val="top"/>
          </w:tcPr>
          <w:p>
            <w:pPr>
              <w:pStyle w:val="8"/>
              <w:spacing w:before="33" w:line="217" w:lineRule="auto"/>
              <w:ind w:left="506"/>
            </w:pPr>
            <w:r>
              <w:rPr>
                <w:spacing w:val="-6"/>
              </w:rPr>
              <w:t>第十二章</w:t>
            </w:r>
            <w:r>
              <w:rPr>
                <w:spacing w:val="13"/>
              </w:rPr>
              <w:t xml:space="preserve">  </w:t>
            </w:r>
            <w:r>
              <w:rPr>
                <w:spacing w:val="-6"/>
              </w:rPr>
              <w:t>附则</w:t>
            </w:r>
          </w:p>
        </w:tc>
        <w:tc>
          <w:tcPr>
            <w:tcW w:w="6809" w:type="dxa"/>
            <w:vAlign w:val="top"/>
          </w:tcPr>
          <w:p>
            <w:pPr>
              <w:pStyle w:val="8"/>
              <w:spacing w:before="33" w:line="217" w:lineRule="auto"/>
              <w:ind w:left="505"/>
            </w:pPr>
            <w:r>
              <w:rPr>
                <w:spacing w:val="-6"/>
              </w:rPr>
              <w:t>第十四章</w:t>
            </w:r>
            <w:r>
              <w:rPr>
                <w:spacing w:val="13"/>
              </w:rPr>
              <w:t xml:space="preserve">  </w:t>
            </w:r>
            <w:r>
              <w:rPr>
                <w:spacing w:val="-6"/>
              </w:rPr>
              <w:t>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7098" w:type="dxa"/>
            <w:gridSpan w:val="3"/>
            <w:vAlign w:val="top"/>
          </w:tcPr>
          <w:p>
            <w:pPr>
              <w:spacing w:before="31" w:line="222" w:lineRule="auto"/>
              <w:ind w:left="2831"/>
              <w:rPr>
                <w:rFonts w:ascii="黑体" w:hAnsi="黑体" w:eastAsia="黑体" w:cs="黑体"/>
                <w:sz w:val="24"/>
                <w:szCs w:val="24"/>
              </w:rPr>
            </w:pPr>
            <w:r>
              <w:rPr>
                <w:rFonts w:ascii="黑体" w:hAnsi="黑体" w:eastAsia="黑体" w:cs="黑体"/>
                <w:spacing w:val="-4"/>
                <w:sz w:val="24"/>
                <w:szCs w:val="24"/>
              </w:rPr>
              <w:t>第一章</w:t>
            </w:r>
            <w:r>
              <w:rPr>
                <w:rFonts w:ascii="黑体" w:hAnsi="黑体" w:eastAsia="黑体" w:cs="黑体"/>
                <w:spacing w:val="8"/>
                <w:sz w:val="24"/>
                <w:szCs w:val="24"/>
              </w:rPr>
              <w:t xml:space="preserve">  </w:t>
            </w:r>
            <w:r>
              <w:rPr>
                <w:rFonts w:ascii="黑体" w:hAnsi="黑体" w:eastAsia="黑体" w:cs="黑体"/>
                <w:spacing w:val="-4"/>
                <w:sz w:val="24"/>
                <w:szCs w:val="24"/>
              </w:rPr>
              <w:t>总则</w:t>
            </w:r>
          </w:p>
        </w:tc>
        <w:tc>
          <w:tcPr>
            <w:tcW w:w="6809" w:type="dxa"/>
            <w:vAlign w:val="top"/>
          </w:tcPr>
          <w:p>
            <w:pPr>
              <w:spacing w:before="31" w:line="222" w:lineRule="auto"/>
              <w:ind w:left="2684"/>
              <w:rPr>
                <w:rFonts w:ascii="黑体" w:hAnsi="黑体" w:eastAsia="黑体" w:cs="黑体"/>
                <w:sz w:val="24"/>
                <w:szCs w:val="24"/>
              </w:rPr>
            </w:pPr>
            <w:r>
              <w:rPr>
                <w:rFonts w:ascii="黑体" w:hAnsi="黑体" w:eastAsia="黑体" w:cs="黑体"/>
                <w:spacing w:val="-4"/>
                <w:sz w:val="24"/>
                <w:szCs w:val="24"/>
              </w:rPr>
              <w:t>第一章</w:t>
            </w:r>
            <w:r>
              <w:rPr>
                <w:rFonts w:ascii="黑体" w:hAnsi="黑体" w:eastAsia="黑体" w:cs="黑体"/>
                <w:spacing w:val="8"/>
                <w:sz w:val="24"/>
                <w:szCs w:val="24"/>
              </w:rPr>
              <w:t xml:space="preserve">  </w:t>
            </w:r>
            <w:r>
              <w:rPr>
                <w:rFonts w:ascii="黑体" w:hAnsi="黑体" w:eastAsia="黑体" w:cs="黑体"/>
                <w:spacing w:val="-4"/>
                <w:sz w:val="24"/>
                <w:szCs w:val="24"/>
              </w:rPr>
              <w:t>总则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1" w:hRule="atLeast"/>
        </w:trPr>
        <w:tc>
          <w:tcPr>
            <w:tcW w:w="7098" w:type="dxa"/>
            <w:gridSpan w:val="3"/>
            <w:vAlign w:val="top"/>
          </w:tcPr>
          <w:p>
            <w:pPr>
              <w:pStyle w:val="8"/>
              <w:spacing w:before="34" w:line="232" w:lineRule="auto"/>
              <w:ind w:left="13" w:firstLine="499"/>
              <w:jc w:val="both"/>
            </w:pPr>
            <w:r>
              <w:rPr>
                <w:rFonts w:ascii="黑体" w:hAnsi="黑体" w:eastAsia="黑体" w:cs="黑体"/>
                <w:spacing w:val="3"/>
              </w:rPr>
              <w:t xml:space="preserve">第一条  </w:t>
            </w:r>
            <w:r>
              <w:rPr>
                <w:spacing w:val="3"/>
              </w:rPr>
              <w:t xml:space="preserve">为了规范证券发行和交易行为，保护投资者的合法权 </w:t>
            </w:r>
            <w:r>
              <w:rPr>
                <w:spacing w:val="4"/>
              </w:rPr>
              <w:t>益，维护社会经济秩序和社会公共利益，促进社</w:t>
            </w:r>
            <w:r>
              <w:rPr>
                <w:spacing w:val="3"/>
              </w:rPr>
              <w:t>会主义市场经济的</w:t>
            </w:r>
            <w:r>
              <w:t xml:space="preserve"> </w:t>
            </w:r>
            <w:r>
              <w:rPr>
                <w:spacing w:val="-7"/>
              </w:rPr>
              <w:t>发展，制定本法。</w:t>
            </w:r>
          </w:p>
        </w:tc>
        <w:tc>
          <w:tcPr>
            <w:tcW w:w="6809" w:type="dxa"/>
            <w:vAlign w:val="top"/>
          </w:tcPr>
          <w:p>
            <w:pPr>
              <w:pStyle w:val="8"/>
              <w:spacing w:before="33" w:line="232" w:lineRule="auto"/>
              <w:ind w:left="19" w:right="7" w:firstLine="474"/>
              <w:jc w:val="both"/>
            </w:pPr>
            <w:r>
              <w:rPr>
                <w:rFonts w:ascii="黑体" w:hAnsi="黑体" w:eastAsia="黑体" w:cs="黑体"/>
                <w:spacing w:val="-3"/>
              </w:rPr>
              <w:t xml:space="preserve">第一条  </w:t>
            </w:r>
            <w:r>
              <w:rPr>
                <w:spacing w:val="-3"/>
              </w:rPr>
              <w:t>为了规范证券发行和交易行为， 保护投资者的合法</w:t>
            </w:r>
            <w:r>
              <w:rPr>
                <w:spacing w:val="15"/>
              </w:rPr>
              <w:t xml:space="preserve"> </w:t>
            </w:r>
            <w:r>
              <w:rPr>
                <w:spacing w:val="1"/>
              </w:rPr>
              <w:t>权益，维护社会经济秩序和社会公共利益，促进社会主义市场经</w:t>
            </w:r>
            <w:r>
              <w:rPr>
                <w:spacing w:val="18"/>
              </w:rPr>
              <w:t xml:space="preserve"> </w:t>
            </w:r>
            <w:r>
              <w:rPr>
                <w:spacing w:val="-6"/>
              </w:rPr>
              <w:t>济的发展，制定本法。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6" w:hRule="atLeast"/>
        </w:trPr>
        <w:tc>
          <w:tcPr>
            <w:tcW w:w="7098" w:type="dxa"/>
            <w:gridSpan w:val="3"/>
            <w:tcBorders>
              <w:bottom w:val="single" w:color="000000" w:sz="2" w:space="0"/>
            </w:tcBorders>
            <w:vAlign w:val="top"/>
          </w:tcPr>
          <w:p>
            <w:pPr>
              <w:pStyle w:val="8"/>
              <w:spacing w:before="31" w:line="233" w:lineRule="auto"/>
              <w:ind w:left="4" w:firstLine="508"/>
              <w:jc w:val="both"/>
            </w:pPr>
            <w:r>
              <w:rPr>
                <w:rFonts w:ascii="黑体" w:hAnsi="黑体" w:eastAsia="黑体" w:cs="黑体"/>
                <w:spacing w:val="3"/>
              </w:rPr>
              <w:t xml:space="preserve">第二条  </w:t>
            </w:r>
            <w:r>
              <w:rPr>
                <w:spacing w:val="3"/>
              </w:rPr>
              <w:t xml:space="preserve">在中华人民共和国境内，股票、公司债券和国务院依 </w:t>
            </w:r>
            <w:r>
              <w:t>法认定的其他证券的发行和交易，适用本法；本法未规定的，</w:t>
            </w:r>
            <w:r>
              <w:rPr>
                <w:spacing w:val="-1"/>
              </w:rPr>
              <w:t xml:space="preserve"> 适用</w:t>
            </w:r>
            <w:r>
              <w:t xml:space="preserve"> </w:t>
            </w:r>
            <w:r>
              <w:rPr>
                <w:spacing w:val="-2"/>
              </w:rPr>
              <w:t>《中华人民共和国公司法》和其他法律、行政法规的规定。</w:t>
            </w:r>
          </w:p>
          <w:p>
            <w:pPr>
              <w:pStyle w:val="8"/>
              <w:spacing w:before="28" w:line="222" w:lineRule="auto"/>
              <w:ind w:left="10" w:firstLine="507"/>
              <w:jc w:val="both"/>
            </w:pPr>
            <w:r>
              <w:rPr>
                <w:spacing w:val="-6"/>
              </w:rPr>
              <w:t>政府债券、证券投资基金份额的上市交易， 适用本法； 其他法</w:t>
            </w:r>
            <w:r>
              <w:rPr>
                <w:spacing w:val="18"/>
              </w:rPr>
              <w:t xml:space="preserve"> </w:t>
            </w:r>
            <w:r>
              <w:rPr>
                <w:spacing w:val="-3"/>
              </w:rPr>
              <w:t>律、行政法规另有规定的，适用其规定。</w:t>
            </w:r>
          </w:p>
        </w:tc>
        <w:tc>
          <w:tcPr>
            <w:tcW w:w="6809" w:type="dxa"/>
            <w:vMerge w:val="restart"/>
            <w:tcBorders>
              <w:bottom w:val="nil"/>
            </w:tcBorders>
            <w:vAlign w:val="top"/>
          </w:tcPr>
          <w:p>
            <w:pPr>
              <w:pStyle w:val="8"/>
              <w:spacing w:before="33" w:line="235" w:lineRule="auto"/>
              <w:ind w:left="12" w:right="4" w:firstLine="500"/>
            </w:pPr>
            <w:r>
              <w:rPr>
                <w:rFonts w:ascii="黑体" w:hAnsi="黑体" w:eastAsia="黑体" w:cs="黑体"/>
                <w:spacing w:val="1"/>
              </w:rPr>
              <w:t xml:space="preserve">第二条  </w:t>
            </w:r>
            <w:r>
              <w:rPr>
                <w:spacing w:val="1"/>
              </w:rPr>
              <w:t>在中华人民共和国境内，股票、公司债券、</w:t>
            </w:r>
            <w:r>
              <w:rPr>
                <w:rFonts w:ascii="黑体" w:hAnsi="黑体" w:eastAsia="黑体" w:cs="黑体"/>
                <w:spacing w:val="1"/>
              </w:rPr>
              <w:t>存托凭</w:t>
            </w:r>
            <w:r>
              <w:rPr>
                <w:rFonts w:ascii="黑体" w:hAnsi="黑体" w:eastAsia="黑体" w:cs="黑体"/>
                <w:spacing w:val="8"/>
              </w:rPr>
              <w:t xml:space="preserve"> </w:t>
            </w:r>
            <w:r>
              <w:rPr>
                <w:rFonts w:ascii="黑体" w:hAnsi="黑体" w:eastAsia="黑体" w:cs="黑体"/>
                <w:spacing w:val="-2"/>
              </w:rPr>
              <w:t>证</w:t>
            </w:r>
            <w:r>
              <w:rPr>
                <w:spacing w:val="-2"/>
              </w:rPr>
              <w:t xml:space="preserve">和国务院依法认定的其他证券的发行和交易， </w:t>
            </w:r>
            <w:r>
              <w:rPr>
                <w:spacing w:val="-3"/>
              </w:rPr>
              <w:t>适用本法；本法</w:t>
            </w:r>
            <w:r>
              <w:t xml:space="preserve"> </w:t>
            </w:r>
            <w:r>
              <w:rPr>
                <w:spacing w:val="2"/>
              </w:rPr>
              <w:t>未规定的，适用《中华人民共和国公司法》和其他法律</w:t>
            </w:r>
            <w:r>
              <w:rPr>
                <w:spacing w:val="1"/>
              </w:rPr>
              <w:t>、行政法</w:t>
            </w:r>
            <w:r>
              <w:t xml:space="preserve"> </w:t>
            </w:r>
            <w:r>
              <w:rPr>
                <w:spacing w:val="-10"/>
              </w:rPr>
              <w:t>规的规定。</w:t>
            </w:r>
          </w:p>
          <w:p>
            <w:pPr>
              <w:pStyle w:val="8"/>
              <w:spacing w:before="26" w:line="228" w:lineRule="auto"/>
              <w:ind w:left="22" w:right="4" w:firstLine="495"/>
            </w:pPr>
            <w:r>
              <w:rPr>
                <w:spacing w:val="1"/>
              </w:rPr>
              <w:t>政府债券、证券投资基金份额的上市交易，适用本法；其他</w:t>
            </w:r>
            <w:r>
              <w:rPr>
                <w:spacing w:val="4"/>
              </w:rPr>
              <w:t xml:space="preserve"> </w:t>
            </w:r>
            <w:r>
              <w:rPr>
                <w:spacing w:val="-4"/>
              </w:rPr>
              <w:t>法律、行政法规另有规定的，适用其规定。</w:t>
            </w:r>
          </w:p>
          <w:p>
            <w:pPr>
              <w:spacing w:before="29" w:line="230" w:lineRule="auto"/>
              <w:ind w:left="17" w:right="6" w:firstLine="503"/>
              <w:rPr>
                <w:rFonts w:ascii="黑体" w:hAnsi="黑体" w:eastAsia="黑体" w:cs="黑体"/>
                <w:sz w:val="24"/>
                <w:szCs w:val="24"/>
              </w:rPr>
            </w:pPr>
            <w:r>
              <w:rPr>
                <w:rFonts w:ascii="黑体" w:hAnsi="黑体" w:eastAsia="黑体" w:cs="黑体"/>
                <w:spacing w:val="-4"/>
                <w:sz w:val="24"/>
                <w:szCs w:val="24"/>
              </w:rPr>
              <w:t>资产支持证券、资产管理产品发行、交易的管理办法， 由国</w:t>
            </w:r>
            <w:r>
              <w:rPr>
                <w:rFonts w:ascii="黑体" w:hAnsi="黑体" w:eastAsia="黑体" w:cs="黑体"/>
                <w:spacing w:val="13"/>
                <w:sz w:val="24"/>
                <w:szCs w:val="24"/>
              </w:rPr>
              <w:t xml:space="preserve"> </w:t>
            </w:r>
            <w:r>
              <w:rPr>
                <w:rFonts w:ascii="黑体" w:hAnsi="黑体" w:eastAsia="黑体" w:cs="黑体"/>
                <w:spacing w:val="-4"/>
                <w:sz w:val="24"/>
                <w:szCs w:val="24"/>
              </w:rPr>
              <w:t>务院依照本法的原则规定。</w:t>
            </w:r>
          </w:p>
          <w:p>
            <w:pPr>
              <w:spacing w:before="25" w:line="229" w:lineRule="auto"/>
              <w:ind w:left="14" w:right="6" w:firstLine="496"/>
              <w:rPr>
                <w:rFonts w:ascii="黑体" w:hAnsi="黑体" w:eastAsia="黑体" w:cs="黑体"/>
                <w:sz w:val="24"/>
                <w:szCs w:val="24"/>
              </w:rPr>
            </w:pPr>
            <w:r>
              <w:rPr>
                <w:rFonts w:ascii="黑体" w:hAnsi="黑体" w:eastAsia="黑体" w:cs="黑体"/>
                <w:spacing w:val="1"/>
                <w:sz w:val="24"/>
                <w:szCs w:val="24"/>
              </w:rPr>
              <w:t>在中华人民共和国境外的证券发行和交易活动，扰乱中华人</w:t>
            </w:r>
            <w:r>
              <w:rPr>
                <w:rFonts w:ascii="黑体" w:hAnsi="黑体" w:eastAsia="黑体" w:cs="黑体"/>
                <w:spacing w:val="8"/>
                <w:sz w:val="24"/>
                <w:szCs w:val="24"/>
              </w:rPr>
              <w:t xml:space="preserve"> </w:t>
            </w:r>
            <w:r>
              <w:rPr>
                <w:rFonts w:ascii="黑体" w:hAnsi="黑体" w:eastAsia="黑体" w:cs="黑体"/>
                <w:spacing w:val="-3"/>
                <w:sz w:val="24"/>
                <w:szCs w:val="24"/>
              </w:rPr>
              <w:t>民共和国境内市场秩序，损害境内投资者合法权益的， 依照本法</w:t>
            </w:r>
            <w:r>
              <w:rPr>
                <w:rFonts w:ascii="黑体" w:hAnsi="黑体" w:eastAsia="黑体" w:cs="黑体"/>
                <w:spacing w:val="18"/>
                <w:sz w:val="24"/>
                <w:szCs w:val="24"/>
              </w:rPr>
              <w:t xml:space="preserve"> </w:t>
            </w:r>
            <w:r>
              <w:rPr>
                <w:rFonts w:ascii="黑体" w:hAnsi="黑体" w:eastAsia="黑体" w:cs="黑体"/>
                <w:spacing w:val="-1"/>
                <w:sz w:val="24"/>
                <w:szCs w:val="24"/>
              </w:rPr>
              <w:t>有关规定处理并追究法律责任。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504" w:type="dxa"/>
            <w:tcBorders>
              <w:top w:val="nil"/>
              <w:bottom w:val="single" w:color="000000" w:sz="2" w:space="0"/>
              <w:right w:val="single" w:color="000000" w:sz="2" w:space="0"/>
            </w:tcBorders>
            <w:vAlign w:val="top"/>
          </w:tcPr>
          <w:p>
            <w:pPr>
              <w:rPr>
                <w:rFonts w:ascii="Arial"/>
                <w:sz w:val="21"/>
              </w:rPr>
            </w:pPr>
          </w:p>
        </w:tc>
        <w:tc>
          <w:tcPr>
            <w:tcW w:w="6594" w:type="dxa"/>
            <w:gridSpan w:val="2"/>
            <w:tcBorders>
              <w:top w:val="single" w:color="000000" w:sz="2" w:space="0"/>
              <w:left w:val="single" w:color="000000" w:sz="2" w:space="0"/>
              <w:bottom w:val="single" w:color="000000" w:sz="2" w:space="0"/>
            </w:tcBorders>
            <w:shd w:val="clear" w:color="auto" w:fill="D9D9D9"/>
            <w:vAlign w:val="top"/>
          </w:tcPr>
          <w:p>
            <w:pPr>
              <w:pStyle w:val="8"/>
              <w:spacing w:before="44" w:line="201" w:lineRule="auto"/>
              <w:ind w:left="12"/>
            </w:pPr>
            <w:r>
              <w:rPr>
                <w:spacing w:val="1"/>
              </w:rPr>
              <w:t>证券衍生品种发行、交易的管理办法，</w:t>
            </w:r>
            <w:r>
              <w:rPr>
                <w:spacing w:val="-64"/>
              </w:rPr>
              <w:t xml:space="preserve"> </w:t>
            </w:r>
            <w:r>
              <w:rPr>
                <w:spacing w:val="1"/>
              </w:rPr>
              <w:t>由国务院依照本法的原</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993" w:type="dxa"/>
            <w:gridSpan w:val="2"/>
            <w:tcBorders>
              <w:top w:val="single" w:color="000000" w:sz="2" w:space="0"/>
              <w:bottom w:val="single" w:color="000000" w:sz="2" w:space="0"/>
              <w:right w:val="single" w:color="000000" w:sz="2" w:space="0"/>
            </w:tcBorders>
            <w:shd w:val="clear" w:color="auto" w:fill="D9D9D9"/>
            <w:vAlign w:val="top"/>
          </w:tcPr>
          <w:p>
            <w:pPr>
              <w:pStyle w:val="8"/>
              <w:spacing w:before="55" w:line="193" w:lineRule="auto"/>
              <w:ind w:left="27"/>
            </w:pPr>
            <w:r>
              <w:rPr>
                <w:spacing w:val="-12"/>
              </w:rPr>
              <w:t>则规定。</w:t>
            </w:r>
          </w:p>
        </w:tc>
        <w:tc>
          <w:tcPr>
            <w:tcW w:w="6105" w:type="dxa"/>
            <w:vMerge w:val="restart"/>
            <w:tcBorders>
              <w:top w:val="single" w:color="000000" w:sz="2" w:space="0"/>
              <w:left w:val="nil"/>
              <w:bottom w:val="nil"/>
            </w:tcBorders>
            <w:vAlign w:val="top"/>
          </w:tcPr>
          <w:p>
            <w:pPr>
              <w:rPr>
                <w:rFonts w:ascii="Arial"/>
                <w:sz w:val="21"/>
              </w:rPr>
            </w:pP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7" w:hRule="atLeast"/>
        </w:trPr>
        <w:tc>
          <w:tcPr>
            <w:tcW w:w="993" w:type="dxa"/>
            <w:gridSpan w:val="2"/>
            <w:tcBorders>
              <w:top w:val="single" w:color="000000" w:sz="2" w:space="0"/>
              <w:right w:val="nil"/>
            </w:tcBorders>
            <w:vAlign w:val="top"/>
          </w:tcPr>
          <w:p>
            <w:pPr>
              <w:rPr>
                <w:rFonts w:ascii="Arial"/>
                <w:sz w:val="21"/>
              </w:rPr>
            </w:pPr>
          </w:p>
        </w:tc>
        <w:tc>
          <w:tcPr>
            <w:tcW w:w="6105" w:type="dxa"/>
            <w:vMerge w:val="continue"/>
            <w:tcBorders>
              <w:top w:val="nil"/>
              <w:left w:val="nil"/>
            </w:tcBorders>
            <w:vAlign w:val="top"/>
          </w:tcPr>
          <w:p>
            <w:pPr>
              <w:rPr>
                <w:rFonts w:ascii="Arial"/>
                <w:sz w:val="21"/>
              </w:rPr>
            </w:pPr>
          </w:p>
        </w:tc>
        <w:tc>
          <w:tcPr>
            <w:tcW w:w="680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4"/>
        <w:gridCol w:w="1208"/>
        <w:gridCol w:w="489"/>
        <w:gridCol w:w="5127"/>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7098" w:type="dxa"/>
            <w:gridSpan w:val="4"/>
            <w:vAlign w:val="top"/>
          </w:tcPr>
          <w:p>
            <w:pPr>
              <w:pStyle w:val="8"/>
              <w:spacing w:before="41" w:line="219" w:lineRule="auto"/>
              <w:jc w:val="right"/>
            </w:pPr>
            <w:r>
              <w:rPr>
                <w:rFonts w:ascii="黑体" w:hAnsi="黑体" w:eastAsia="黑体" w:cs="黑体"/>
                <w:spacing w:val="3"/>
              </w:rPr>
              <w:t xml:space="preserve">第三条  </w:t>
            </w:r>
            <w:r>
              <w:rPr>
                <w:spacing w:val="3"/>
              </w:rPr>
              <w:t>证券的发行、交易活动，必须实行公开、公平、公正</w:t>
            </w:r>
          </w:p>
          <w:p>
            <w:pPr>
              <w:pStyle w:val="8"/>
              <w:spacing w:before="27" w:line="218" w:lineRule="auto"/>
              <w:ind w:left="34"/>
            </w:pPr>
            <w:r>
              <w:rPr>
                <w:spacing w:val="-15"/>
              </w:rPr>
              <w:t>的原则。</w:t>
            </w:r>
          </w:p>
        </w:tc>
        <w:tc>
          <w:tcPr>
            <w:tcW w:w="6809" w:type="dxa"/>
            <w:vAlign w:val="top"/>
          </w:tcPr>
          <w:p>
            <w:pPr>
              <w:pStyle w:val="8"/>
              <w:spacing w:before="41" w:line="219" w:lineRule="auto"/>
              <w:ind w:right="13"/>
              <w:jc w:val="right"/>
            </w:pPr>
            <w:r>
              <w:rPr>
                <w:rFonts w:ascii="黑体" w:hAnsi="黑体" w:eastAsia="黑体" w:cs="黑体"/>
                <w:spacing w:val="1"/>
              </w:rPr>
              <w:t xml:space="preserve">第三条  </w:t>
            </w:r>
            <w:r>
              <w:rPr>
                <w:spacing w:val="1"/>
              </w:rPr>
              <w:t>证券的发行、交易活动，必须实行公开、公平、公</w:t>
            </w:r>
          </w:p>
          <w:p>
            <w:pPr>
              <w:pStyle w:val="8"/>
              <w:spacing w:before="27" w:line="218" w:lineRule="auto"/>
              <w:ind w:left="21"/>
            </w:pPr>
            <w:r>
              <w:rPr>
                <w:spacing w:val="-11"/>
              </w:rPr>
              <w:t>正的原则。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7098" w:type="dxa"/>
            <w:gridSpan w:val="4"/>
            <w:vAlign w:val="top"/>
          </w:tcPr>
          <w:p>
            <w:pPr>
              <w:pStyle w:val="8"/>
              <w:spacing w:before="27" w:line="229" w:lineRule="auto"/>
              <w:ind w:left="19" w:right="52" w:firstLine="493"/>
            </w:pPr>
            <w:r>
              <w:rPr>
                <w:rFonts w:ascii="黑体" w:hAnsi="黑体" w:eastAsia="黑体" w:cs="黑体"/>
                <w:spacing w:val="1"/>
              </w:rPr>
              <w:t xml:space="preserve">第四条  </w:t>
            </w:r>
            <w:r>
              <w:rPr>
                <w:spacing w:val="1"/>
              </w:rPr>
              <w:t>证券发行、交易活动的当事人具有平等的法律地位，</w:t>
            </w:r>
            <w:r>
              <w:rPr>
                <w:spacing w:val="7"/>
              </w:rPr>
              <w:t xml:space="preserve"> </w:t>
            </w:r>
            <w:r>
              <w:rPr>
                <w:spacing w:val="-4"/>
              </w:rPr>
              <w:t>应当遵守自愿、有偿、诚实信用的原则。</w:t>
            </w:r>
          </w:p>
        </w:tc>
        <w:tc>
          <w:tcPr>
            <w:tcW w:w="6809" w:type="dxa"/>
            <w:vAlign w:val="top"/>
          </w:tcPr>
          <w:p>
            <w:pPr>
              <w:pStyle w:val="8"/>
              <w:spacing w:before="27" w:line="229" w:lineRule="auto"/>
              <w:ind w:left="9" w:right="6" w:firstLine="503"/>
            </w:pPr>
            <w:r>
              <w:rPr>
                <w:rFonts w:ascii="黑体" w:hAnsi="黑体" w:eastAsia="黑体" w:cs="黑体"/>
                <w:spacing w:val="10"/>
              </w:rPr>
              <w:t xml:space="preserve">第四条  </w:t>
            </w:r>
            <w:r>
              <w:rPr>
                <w:spacing w:val="10"/>
              </w:rPr>
              <w:t>证券发行、交易活动的当事人具有平等的法律地</w:t>
            </w:r>
            <w:r>
              <w:rPr>
                <w:spacing w:val="13"/>
              </w:rPr>
              <w:t xml:space="preserve"> </w:t>
            </w:r>
            <w:r>
              <w:rPr>
                <w:spacing w:val="-3"/>
              </w:rPr>
              <w:t>位，应当遵守自愿、有偿、诚实信用的原则。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7098" w:type="dxa"/>
            <w:gridSpan w:val="4"/>
            <w:vAlign w:val="top"/>
          </w:tcPr>
          <w:p>
            <w:pPr>
              <w:pStyle w:val="8"/>
              <w:spacing w:before="29" w:line="228" w:lineRule="auto"/>
              <w:ind w:left="20" w:right="61" w:firstLine="492"/>
            </w:pPr>
            <w:r>
              <w:rPr>
                <w:rFonts w:ascii="黑体" w:hAnsi="黑体" w:eastAsia="黑体" w:cs="黑体"/>
                <w:spacing w:val="1"/>
              </w:rPr>
              <w:t xml:space="preserve">第五条  </w:t>
            </w:r>
            <w:r>
              <w:rPr>
                <w:spacing w:val="1"/>
              </w:rPr>
              <w:t>证券的发行、交易活动，必须遵守法律、行政法规；</w:t>
            </w:r>
            <w:r>
              <w:t xml:space="preserve"> </w:t>
            </w:r>
            <w:r>
              <w:rPr>
                <w:spacing w:val="-4"/>
              </w:rPr>
              <w:t>禁止欺诈、内幕交易和操纵证券市场的行为。</w:t>
            </w:r>
          </w:p>
        </w:tc>
        <w:tc>
          <w:tcPr>
            <w:tcW w:w="6809" w:type="dxa"/>
            <w:vAlign w:val="top"/>
          </w:tcPr>
          <w:p>
            <w:pPr>
              <w:pStyle w:val="8"/>
              <w:spacing w:before="29" w:line="228" w:lineRule="auto"/>
              <w:ind w:left="21" w:right="7" w:firstLine="491"/>
            </w:pPr>
            <w:r>
              <w:rPr>
                <w:rFonts w:ascii="黑体" w:hAnsi="黑体" w:eastAsia="黑体" w:cs="黑体"/>
                <w:spacing w:val="10"/>
              </w:rPr>
              <w:t xml:space="preserve">第五条  </w:t>
            </w:r>
            <w:r>
              <w:rPr>
                <w:spacing w:val="10"/>
              </w:rPr>
              <w:t>证券的发行、交易活动，必须遵守法律、行政法</w:t>
            </w:r>
            <w:r>
              <w:rPr>
                <w:spacing w:val="12"/>
              </w:rPr>
              <w:t xml:space="preserve"> </w:t>
            </w:r>
            <w:r>
              <w:rPr>
                <w:spacing w:val="-3"/>
              </w:rPr>
              <w:t>规；禁止欺诈、内幕交易和操纵证券市场的行为。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098" w:type="dxa"/>
            <w:gridSpan w:val="4"/>
            <w:vAlign w:val="top"/>
          </w:tcPr>
          <w:p>
            <w:pPr>
              <w:pStyle w:val="8"/>
              <w:spacing w:before="31" w:line="232" w:lineRule="auto"/>
              <w:ind w:left="19" w:firstLine="493"/>
              <w:jc w:val="both"/>
            </w:pPr>
            <w:r>
              <w:rPr>
                <w:rFonts w:ascii="黑体" w:hAnsi="黑体" w:eastAsia="黑体" w:cs="黑体"/>
                <w:spacing w:val="3"/>
              </w:rPr>
              <w:t xml:space="preserve">第六条  </w:t>
            </w:r>
            <w:r>
              <w:rPr>
                <w:spacing w:val="3"/>
              </w:rPr>
              <w:t>证券业和银行业、信托业、保险业实行分业经营、分 业管理，证券公司与银行、信托、保险业务机构分别设立。国家另</w:t>
            </w:r>
            <w:r>
              <w:rPr>
                <w:spacing w:val="15"/>
              </w:rPr>
              <w:t xml:space="preserve"> </w:t>
            </w:r>
            <w:r>
              <w:rPr>
                <w:spacing w:val="-8"/>
              </w:rPr>
              <w:t>有规定的除外。</w:t>
            </w:r>
          </w:p>
        </w:tc>
        <w:tc>
          <w:tcPr>
            <w:tcW w:w="6809" w:type="dxa"/>
            <w:vAlign w:val="top"/>
          </w:tcPr>
          <w:p>
            <w:pPr>
              <w:pStyle w:val="8"/>
              <w:spacing w:before="31" w:line="232" w:lineRule="auto"/>
              <w:ind w:left="15" w:right="40" w:firstLine="497"/>
            </w:pPr>
            <w:r>
              <w:rPr>
                <w:rFonts w:ascii="黑体" w:hAnsi="黑体" w:eastAsia="黑体" w:cs="黑体"/>
                <w:spacing w:val="-1"/>
              </w:rPr>
              <w:t xml:space="preserve">第六条  </w:t>
            </w:r>
            <w:r>
              <w:rPr>
                <w:spacing w:val="-1"/>
              </w:rPr>
              <w:t>证券业和银行业、信托业、保险业实行分业经营、</w:t>
            </w:r>
            <w:r>
              <w:rPr>
                <w:spacing w:val="15"/>
              </w:rPr>
              <w:t xml:space="preserve"> </w:t>
            </w:r>
            <w:r>
              <w:t>分业管理，证券公司与银行、信托、保险业务机构分别设立。国</w:t>
            </w:r>
            <w:r>
              <w:rPr>
                <w:spacing w:val="17"/>
              </w:rPr>
              <w:t xml:space="preserve"> </w:t>
            </w:r>
            <w:r>
              <w:rPr>
                <w:spacing w:val="-6"/>
              </w:rPr>
              <w:t>家另有规定的除外。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2" w:hRule="atLeast"/>
        </w:trPr>
        <w:tc>
          <w:tcPr>
            <w:tcW w:w="7098" w:type="dxa"/>
            <w:gridSpan w:val="4"/>
            <w:vAlign w:val="top"/>
          </w:tcPr>
          <w:p>
            <w:pPr>
              <w:pStyle w:val="8"/>
              <w:spacing w:before="27" w:line="229" w:lineRule="auto"/>
              <w:ind w:left="41" w:firstLine="471"/>
            </w:pPr>
            <w:r>
              <w:rPr>
                <w:rFonts w:ascii="黑体" w:hAnsi="黑体" w:eastAsia="黑体" w:cs="黑体"/>
                <w:spacing w:val="3"/>
              </w:rPr>
              <w:t xml:space="preserve">第七条  </w:t>
            </w:r>
            <w:r>
              <w:rPr>
                <w:spacing w:val="3"/>
              </w:rPr>
              <w:t>国务院证券监督管理机构依法对全国证券市场实行集</w:t>
            </w:r>
            <w:r>
              <w:rPr>
                <w:spacing w:val="4"/>
              </w:rPr>
              <w:t xml:space="preserve"> </w:t>
            </w:r>
            <w:r>
              <w:rPr>
                <w:spacing w:val="-10"/>
              </w:rPr>
              <w:t>中统一监督管理。</w:t>
            </w:r>
          </w:p>
          <w:p>
            <w:pPr>
              <w:pStyle w:val="8"/>
              <w:spacing w:before="29" w:line="228" w:lineRule="auto"/>
              <w:ind w:left="19" w:firstLine="514"/>
            </w:pPr>
            <w:r>
              <w:rPr>
                <w:spacing w:val="-2"/>
              </w:rPr>
              <w:t>国务院证券监督管理机构根据需要可以设立派出机构， 按照授</w:t>
            </w:r>
            <w:r>
              <w:rPr>
                <w:spacing w:val="4"/>
              </w:rPr>
              <w:t xml:space="preserve"> </w:t>
            </w:r>
            <w:r>
              <w:rPr>
                <w:spacing w:val="-6"/>
              </w:rPr>
              <w:t>权履行监督管理职责。</w:t>
            </w:r>
          </w:p>
        </w:tc>
        <w:tc>
          <w:tcPr>
            <w:tcW w:w="6809" w:type="dxa"/>
            <w:vAlign w:val="top"/>
          </w:tcPr>
          <w:p>
            <w:pPr>
              <w:pStyle w:val="8"/>
              <w:spacing w:before="29" w:line="228" w:lineRule="auto"/>
              <w:ind w:left="18" w:right="7" w:firstLine="494"/>
            </w:pPr>
            <w:r>
              <w:rPr>
                <w:rFonts w:ascii="黑体" w:hAnsi="黑体" w:eastAsia="黑体" w:cs="黑体"/>
                <w:spacing w:val="1"/>
              </w:rPr>
              <w:t xml:space="preserve">第七条  </w:t>
            </w:r>
            <w:r>
              <w:rPr>
                <w:spacing w:val="1"/>
              </w:rPr>
              <w:t>国务院证券监督管理机构依法对全国证券市场实行</w:t>
            </w:r>
            <w:r>
              <w:rPr>
                <w:spacing w:val="5"/>
              </w:rPr>
              <w:t xml:space="preserve"> </w:t>
            </w:r>
            <w:r>
              <w:rPr>
                <w:spacing w:val="-6"/>
              </w:rPr>
              <w:t>集中统一监督管理。</w:t>
            </w:r>
          </w:p>
          <w:p>
            <w:pPr>
              <w:pStyle w:val="8"/>
              <w:spacing w:before="30" w:line="228" w:lineRule="auto"/>
              <w:ind w:left="11" w:right="7" w:firstLine="521"/>
            </w:pPr>
            <w:r>
              <w:rPr>
                <w:spacing w:val="-4"/>
              </w:rPr>
              <w:t>国务院证券监督管理机构根据需要可以设立派出机构， 按照</w:t>
            </w:r>
            <w:r>
              <w:t xml:space="preserve"> </w:t>
            </w:r>
            <w:r>
              <w:rPr>
                <w:spacing w:val="-5"/>
              </w:rPr>
              <w:t>授权履行监督管理职责。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098" w:type="dxa"/>
            <w:gridSpan w:val="4"/>
            <w:vAlign w:val="top"/>
          </w:tcPr>
          <w:p>
            <w:pPr>
              <w:pStyle w:val="8"/>
              <w:tabs>
                <w:tab w:val="left" w:pos="512"/>
              </w:tabs>
              <w:spacing w:before="3" w:line="244" w:lineRule="auto"/>
              <w:ind w:left="43" w:right="12" w:hanging="30"/>
            </w:pPr>
            <w:r>
              <w:rPr>
                <w:rFonts w:ascii="黑体" w:hAnsi="黑体" w:eastAsia="黑体" w:cs="黑体"/>
                <w:u w:val="single" w:color="auto"/>
              </w:rPr>
              <w:tab/>
            </w:r>
            <w:r>
              <w:rPr>
                <w:rFonts w:ascii="黑体" w:hAnsi="黑体" w:eastAsia="黑体" w:cs="黑体"/>
                <w:u w:val="single" w:color="auto"/>
              </w:rPr>
              <w:tab/>
            </w:r>
            <w:r>
              <w:rPr>
                <w:rFonts w:ascii="黑体" w:hAnsi="黑体" w:eastAsia="黑体" w:cs="黑体"/>
                <w:spacing w:val="2"/>
                <w:u w:val="single" w:color="auto"/>
              </w:rPr>
              <w:t xml:space="preserve">第八条  </w:t>
            </w:r>
            <w:r>
              <w:rPr>
                <w:position w:val="-7"/>
              </w:rPr>
              <w:drawing>
                <wp:inline distT="0" distB="0" distL="0" distR="0">
                  <wp:extent cx="5715" cy="2044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6095" cy="204470"/>
                          </a:xfrm>
                          <a:prstGeom prst="rect">
                            <a:avLst/>
                          </a:prstGeom>
                        </pic:spPr>
                      </pic:pic>
                    </a:graphicData>
                  </a:graphic>
                </wp:inline>
              </w:drawing>
            </w:r>
            <w:r>
              <w:rPr>
                <w:spacing w:val="2"/>
                <w:u w:val="single" w:color="auto"/>
                <w:shd w:val="clear" w:fill="D9D9D9"/>
              </w:rPr>
              <w:t>在国家对证券发行、交易活动实行集中统一监督管理</w:t>
            </w:r>
            <w:r>
              <w:rPr>
                <w:spacing w:val="10"/>
              </w:rPr>
              <w:t xml:space="preserve"> </w:t>
            </w:r>
            <w:r>
              <w:rPr>
                <w:spacing w:val="-9"/>
                <w:u w:val="single" w:color="auto"/>
                <w:shd w:val="clear" w:fill="D9D9D9"/>
              </w:rPr>
              <w:t>的前提下，依法设立证券业协会，实行自律性管理。</w:t>
            </w:r>
            <w:r>
              <w:rPr>
                <w:spacing w:val="56"/>
                <w:u w:val="single" w:color="auto"/>
                <w:shd w:val="clear" w:fill="D9D9D9"/>
              </w:rPr>
              <w:t xml:space="preserve"> </w:t>
            </w:r>
            <w:r>
              <w:rPr>
                <w:position w:val="-7"/>
              </w:rPr>
              <w:drawing>
                <wp:inline distT="0" distB="0" distL="0" distR="0">
                  <wp:extent cx="5715" cy="2038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0"/>
                          <a:stretch>
                            <a:fillRect/>
                          </a:stretch>
                        </pic:blipFill>
                        <pic:spPr>
                          <a:xfrm>
                            <a:off x="0" y="0"/>
                            <a:ext cx="6096" cy="204216"/>
                          </a:xfrm>
                          <a:prstGeom prst="rect">
                            <a:avLst/>
                          </a:prstGeom>
                        </pic:spPr>
                      </pic:pic>
                    </a:graphicData>
                  </a:graphic>
                </wp:inline>
              </w:drawing>
            </w:r>
          </w:p>
        </w:tc>
        <w:tc>
          <w:tcPr>
            <w:tcW w:w="6809" w:type="dxa"/>
            <w:vAlign w:val="top"/>
          </w:tcPr>
          <w:p>
            <w:pPr>
              <w:spacing w:before="28" w:line="222" w:lineRule="auto"/>
              <w:ind w:left="528"/>
              <w:rPr>
                <w:rFonts w:ascii="黑体" w:hAnsi="黑体" w:eastAsia="黑体" w:cs="黑体"/>
                <w:sz w:val="24"/>
                <w:szCs w:val="24"/>
              </w:rPr>
            </w:pPr>
            <w:r>
              <w:rPr>
                <w:rFonts w:ascii="黑体" w:hAnsi="黑体" w:eastAsia="黑体" w:cs="黑体"/>
                <w:spacing w:val="-7"/>
                <w:sz w:val="24"/>
                <w:szCs w:val="24"/>
              </w:rPr>
              <w:t>（删除）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7098" w:type="dxa"/>
            <w:gridSpan w:val="4"/>
            <w:vAlign w:val="top"/>
          </w:tcPr>
          <w:p>
            <w:pPr>
              <w:pStyle w:val="8"/>
              <w:spacing w:before="38" w:line="229" w:lineRule="auto"/>
              <w:ind w:left="19" w:firstLine="493"/>
            </w:pPr>
            <w:r>
              <w:rPr>
                <w:rFonts w:ascii="黑体" w:hAnsi="黑体" w:eastAsia="黑体" w:cs="黑体"/>
                <w:spacing w:val="3"/>
              </w:rPr>
              <w:t xml:space="preserve">第九条  </w:t>
            </w:r>
            <w:r>
              <w:rPr>
                <w:spacing w:val="3"/>
              </w:rPr>
              <w:t>国家审计机关依法对证券交易所、证券公司、证券登</w:t>
            </w:r>
            <w:r>
              <w:rPr>
                <w:spacing w:val="4"/>
              </w:rPr>
              <w:t xml:space="preserve"> </w:t>
            </w:r>
            <w:r>
              <w:rPr>
                <w:spacing w:val="-3"/>
              </w:rPr>
              <w:t>记结算机构、证券监督管理机构进行审计监督。</w:t>
            </w:r>
          </w:p>
        </w:tc>
        <w:tc>
          <w:tcPr>
            <w:tcW w:w="6809" w:type="dxa"/>
            <w:vAlign w:val="top"/>
          </w:tcPr>
          <w:p>
            <w:pPr>
              <w:pStyle w:val="8"/>
              <w:spacing w:before="38" w:line="229" w:lineRule="auto"/>
              <w:ind w:left="16" w:right="24" w:firstLine="496"/>
            </w:pPr>
            <w:r>
              <w:rPr>
                <w:rFonts w:ascii="黑体" w:hAnsi="黑体" w:eastAsia="黑体" w:cs="黑体"/>
              </w:rPr>
              <w:t xml:space="preserve">第八条  </w:t>
            </w:r>
            <w:r>
              <w:t>国家审计机关依法对证券交易</w:t>
            </w:r>
            <w:r>
              <w:rPr>
                <w:rFonts w:ascii="黑体" w:hAnsi="黑体" w:eastAsia="黑体" w:cs="黑体"/>
              </w:rPr>
              <w:t>场</w:t>
            </w:r>
            <w:r>
              <w:t>所、证券公司、证</w:t>
            </w:r>
            <w:r>
              <w:rPr>
                <w:spacing w:val="15"/>
              </w:rPr>
              <w:t xml:space="preserve"> </w:t>
            </w:r>
            <w:r>
              <w:rPr>
                <w:spacing w:val="-3"/>
              </w:rPr>
              <w:t>券登记结算机构、证券监督管理机构进行审计监督。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098" w:type="dxa"/>
            <w:gridSpan w:val="4"/>
            <w:vAlign w:val="top"/>
          </w:tcPr>
          <w:p>
            <w:pPr>
              <w:spacing w:before="42" w:line="203" w:lineRule="auto"/>
              <w:ind w:left="2591"/>
              <w:rPr>
                <w:rFonts w:ascii="黑体" w:hAnsi="黑体" w:eastAsia="黑体" w:cs="黑体"/>
                <w:sz w:val="24"/>
                <w:szCs w:val="24"/>
              </w:rPr>
            </w:pPr>
            <w:r>
              <w:rPr>
                <w:rFonts w:ascii="黑体" w:hAnsi="黑体" w:eastAsia="黑体" w:cs="黑体"/>
                <w:spacing w:val="-1"/>
                <w:sz w:val="24"/>
                <w:szCs w:val="24"/>
              </w:rPr>
              <w:t>第二章  证券发行</w:t>
            </w:r>
          </w:p>
        </w:tc>
        <w:tc>
          <w:tcPr>
            <w:tcW w:w="6809" w:type="dxa"/>
            <w:vAlign w:val="top"/>
          </w:tcPr>
          <w:p>
            <w:pPr>
              <w:spacing w:before="42" w:line="203" w:lineRule="auto"/>
              <w:ind w:left="2444"/>
              <w:rPr>
                <w:rFonts w:ascii="黑体" w:hAnsi="黑体" w:eastAsia="黑体" w:cs="黑体"/>
                <w:sz w:val="24"/>
                <w:szCs w:val="24"/>
              </w:rPr>
            </w:pPr>
            <w:r>
              <w:rPr>
                <w:rFonts w:ascii="黑体" w:hAnsi="黑体" w:eastAsia="黑体" w:cs="黑体"/>
                <w:spacing w:val="-1"/>
                <w:sz w:val="24"/>
                <w:szCs w:val="24"/>
              </w:rPr>
              <w:t>第二章  证券发行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7098" w:type="dxa"/>
            <w:gridSpan w:val="4"/>
            <w:tcBorders>
              <w:bottom w:val="nil"/>
            </w:tcBorders>
            <w:vAlign w:val="top"/>
          </w:tcPr>
          <w:p>
            <w:pPr>
              <w:pStyle w:val="8"/>
              <w:spacing w:before="42" w:line="223" w:lineRule="auto"/>
              <w:ind w:left="10" w:firstLine="502"/>
            </w:pPr>
            <w:r>
              <w:rPr>
                <w:rFonts w:ascii="黑体" w:hAnsi="黑体" w:eastAsia="黑体" w:cs="黑体"/>
                <w:spacing w:val="10"/>
              </w:rPr>
              <w:t xml:space="preserve">第十条  </w:t>
            </w:r>
            <w:r>
              <w:rPr>
                <w:spacing w:val="10"/>
              </w:rPr>
              <w:t>公开发行证券，</w:t>
            </w:r>
            <w:r>
              <w:rPr>
                <w:spacing w:val="-62"/>
              </w:rPr>
              <w:t xml:space="preserve"> </w:t>
            </w:r>
            <w:r>
              <w:rPr>
                <w:spacing w:val="10"/>
              </w:rPr>
              <w:t>必须符合法律、行政法规规定的</w:t>
            </w:r>
            <w:r>
              <w:rPr>
                <w:spacing w:val="10"/>
                <w:u w:val="single" w:color="auto"/>
              </w:rPr>
              <w:t>条</w:t>
            </w:r>
            <w:r>
              <w:t xml:space="preserve"> </w:t>
            </w:r>
            <w:r>
              <w:rPr>
                <w:spacing w:val="-1"/>
              </w:rPr>
              <w:t>件， 并依法报经国务院证券监督管理机构或者国务院授权</w:t>
            </w:r>
            <w:r>
              <w:rPr>
                <w:spacing w:val="-2"/>
              </w:rPr>
              <w:t>的部门</w:t>
            </w:r>
            <w:r>
              <w:rPr>
                <w:position w:val="-6"/>
              </w:rPr>
              <w:drawing>
                <wp:inline distT="0" distB="0" distL="0" distR="0">
                  <wp:extent cx="8255" cy="1924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8405" cy="192752"/>
                          </a:xfrm>
                          <a:prstGeom prst="rect">
                            <a:avLst/>
                          </a:prstGeom>
                        </pic:spPr>
                      </pic:pic>
                    </a:graphicData>
                  </a:graphic>
                </wp:inline>
              </w:drawing>
            </w:r>
            <w:r>
              <w:rPr>
                <w:spacing w:val="-2"/>
                <w:shd w:val="clear" w:fill="D9D9D9"/>
              </w:rPr>
              <w:t>核</w:t>
            </w:r>
          </w:p>
        </w:tc>
        <w:tc>
          <w:tcPr>
            <w:tcW w:w="6809" w:type="dxa"/>
            <w:vMerge w:val="restart"/>
            <w:tcBorders>
              <w:bottom w:val="nil"/>
            </w:tcBorders>
            <w:vAlign w:val="top"/>
          </w:tcPr>
          <w:p>
            <w:pPr>
              <w:pStyle w:val="8"/>
              <w:spacing w:before="41" w:line="233" w:lineRule="auto"/>
              <w:ind w:left="10" w:right="6" w:firstLine="502"/>
              <w:rPr>
                <w:rFonts w:ascii="黑体" w:hAnsi="黑体" w:eastAsia="黑体" w:cs="黑体"/>
              </w:rPr>
            </w:pPr>
            <w:r>
              <w:rPr>
                <w:rFonts w:ascii="黑体" w:hAnsi="黑体" w:eastAsia="黑体" w:cs="黑体"/>
                <w:spacing w:val="-5"/>
              </w:rPr>
              <w:t xml:space="preserve">第九条  </w:t>
            </w:r>
            <w:r>
              <w:rPr>
                <w:spacing w:val="-5"/>
              </w:rPr>
              <w:t>公开发行证券，</w:t>
            </w:r>
            <w:r>
              <w:rPr>
                <w:spacing w:val="47"/>
              </w:rPr>
              <w:t xml:space="preserve"> </w:t>
            </w:r>
            <w:r>
              <w:rPr>
                <w:spacing w:val="-5"/>
              </w:rPr>
              <w:t>必须符合法律、行政法规规定的条</w:t>
            </w:r>
            <w:r>
              <w:t xml:space="preserve"> </w:t>
            </w:r>
            <w:r>
              <w:rPr>
                <w:spacing w:val="-2"/>
              </w:rPr>
              <w:t>件， 并依法报经国务院证券监督管理机构或者</w:t>
            </w:r>
            <w:r>
              <w:rPr>
                <w:spacing w:val="-3"/>
              </w:rPr>
              <w:t>国务院授权的部门</w:t>
            </w:r>
            <w:r>
              <w:t xml:space="preserve"> </w:t>
            </w:r>
            <w:r>
              <w:rPr>
                <w:rFonts w:ascii="黑体" w:hAnsi="黑体" w:eastAsia="黑体" w:cs="黑体"/>
                <w:spacing w:val="2"/>
              </w:rPr>
              <w:t>注册</w:t>
            </w:r>
            <w:r>
              <w:rPr>
                <w:spacing w:val="2"/>
              </w:rPr>
              <w:t>；未经依法</w:t>
            </w:r>
            <w:r>
              <w:rPr>
                <w:rFonts w:ascii="黑体" w:hAnsi="黑体" w:eastAsia="黑体" w:cs="黑体"/>
                <w:spacing w:val="2"/>
              </w:rPr>
              <w:t>注册</w:t>
            </w:r>
            <w:r>
              <w:rPr>
                <w:spacing w:val="2"/>
              </w:rPr>
              <w:t>，任何单位和个人不得公开发行证券。</w:t>
            </w:r>
            <w:r>
              <w:rPr>
                <w:rFonts w:ascii="黑体" w:hAnsi="黑体" w:eastAsia="黑体" w:cs="黑体"/>
                <w:spacing w:val="2"/>
              </w:rPr>
              <w:t>证券</w:t>
            </w:r>
            <w:r>
              <w:rPr>
                <w:rFonts w:ascii="黑体" w:hAnsi="黑体" w:eastAsia="黑体" w:cs="黑体"/>
              </w:rPr>
              <w:t xml:space="preserve"> </w:t>
            </w:r>
            <w:r>
              <w:rPr>
                <w:rFonts w:ascii="黑体" w:hAnsi="黑体" w:eastAsia="黑体" w:cs="黑体"/>
                <w:spacing w:val="-2"/>
              </w:rPr>
              <w:t>发行注册制的具体范围、实施步骤，由国务院规定。</w:t>
            </w:r>
          </w:p>
          <w:p>
            <w:pPr>
              <w:pStyle w:val="8"/>
              <w:spacing w:before="36" w:line="216" w:lineRule="auto"/>
              <w:ind w:left="518"/>
            </w:pPr>
            <w:r>
              <w:rPr>
                <w:spacing w:val="-5"/>
              </w:rPr>
              <w:t>有下列情形之一的，为公开发行：</w:t>
            </w:r>
          </w:p>
          <w:p>
            <w:pPr>
              <w:pStyle w:val="8"/>
              <w:spacing w:before="26" w:line="218" w:lineRule="auto"/>
              <w:ind w:left="503"/>
            </w:pPr>
            <w:r>
              <w:rPr>
                <w:spacing w:val="-4"/>
              </w:rPr>
              <w:t>（一）向不特定对象发行证券的；</w:t>
            </w:r>
          </w:p>
          <w:p>
            <w:pPr>
              <w:pStyle w:val="8"/>
              <w:spacing w:before="28" w:line="231" w:lineRule="auto"/>
              <w:ind w:left="18" w:right="6" w:firstLine="485"/>
            </w:pPr>
            <w:r>
              <w:rPr>
                <w:spacing w:val="-3"/>
              </w:rPr>
              <w:t xml:space="preserve">（二）向特定对象发行证券累计超过二百人的， </w:t>
            </w:r>
            <w:r>
              <w:rPr>
                <w:rFonts w:ascii="黑体" w:hAnsi="黑体" w:eastAsia="黑体" w:cs="黑体"/>
                <w:spacing w:val="-3"/>
              </w:rPr>
              <w:t>但依法实施</w:t>
            </w:r>
            <w:r>
              <w:rPr>
                <w:rFonts w:ascii="黑体" w:hAnsi="黑体" w:eastAsia="黑体" w:cs="黑体"/>
                <w:spacing w:val="3"/>
              </w:rPr>
              <w:t xml:space="preserve"> </w:t>
            </w:r>
            <w:r>
              <w:rPr>
                <w:rFonts w:ascii="黑体" w:hAnsi="黑体" w:eastAsia="黑体" w:cs="黑体"/>
                <w:spacing w:val="-1"/>
              </w:rPr>
              <w:t>员工持股计划的员工人数不计算在内</w:t>
            </w:r>
            <w:r>
              <w:rPr>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74" w:type="dxa"/>
            <w:tcBorders>
              <w:top w:val="single" w:color="000000" w:sz="2" w:space="0"/>
              <w:bottom w:val="single" w:color="000000" w:sz="2" w:space="0"/>
              <w:right w:val="single" w:color="000000" w:sz="2" w:space="0"/>
            </w:tcBorders>
            <w:shd w:val="clear" w:color="auto" w:fill="D9D9D9"/>
            <w:vAlign w:val="top"/>
          </w:tcPr>
          <w:p>
            <w:pPr>
              <w:pStyle w:val="8"/>
              <w:spacing w:before="58" w:line="193" w:lineRule="auto"/>
              <w:jc w:val="right"/>
            </w:pPr>
            <w:r>
              <w:rPr>
                <w:spacing w:val="-15"/>
              </w:rPr>
              <w:t>准</w:t>
            </w:r>
          </w:p>
        </w:tc>
        <w:tc>
          <w:tcPr>
            <w:tcW w:w="1208" w:type="dxa"/>
            <w:tcBorders>
              <w:top w:val="nil"/>
              <w:left w:val="single" w:color="000000" w:sz="2" w:space="0"/>
              <w:bottom w:val="nil"/>
              <w:right w:val="single" w:color="000000" w:sz="2" w:space="0"/>
            </w:tcBorders>
            <w:vAlign w:val="top"/>
          </w:tcPr>
          <w:p>
            <w:pPr>
              <w:pStyle w:val="8"/>
              <w:spacing w:before="58" w:line="193" w:lineRule="auto"/>
              <w:ind w:left="17"/>
            </w:pPr>
            <w:r>
              <w:rPr>
                <w:spacing w:val="14"/>
              </w:rPr>
              <w:t>;未经依法</w:t>
            </w:r>
          </w:p>
        </w:tc>
        <w:tc>
          <w:tcPr>
            <w:tcW w:w="489"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8" w:line="193" w:lineRule="auto"/>
              <w:ind w:left="4"/>
            </w:pPr>
            <w:r>
              <w:rPr>
                <w:spacing w:val="-3"/>
              </w:rPr>
              <w:t>核准</w:t>
            </w:r>
          </w:p>
        </w:tc>
        <w:tc>
          <w:tcPr>
            <w:tcW w:w="5127" w:type="dxa"/>
            <w:tcBorders>
              <w:top w:val="nil"/>
              <w:left w:val="single" w:color="000000" w:sz="2" w:space="0"/>
              <w:bottom w:val="nil"/>
            </w:tcBorders>
            <w:vAlign w:val="top"/>
          </w:tcPr>
          <w:p>
            <w:pPr>
              <w:pStyle w:val="8"/>
              <w:spacing w:before="58" w:line="193" w:lineRule="auto"/>
              <w:ind w:left="29"/>
            </w:pPr>
            <w:r>
              <w:rPr>
                <w:spacing w:val="2"/>
              </w:rPr>
              <w:t>,任何单位和个人不得公开发行证券。</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9" w:hRule="atLeast"/>
        </w:trPr>
        <w:tc>
          <w:tcPr>
            <w:tcW w:w="7098" w:type="dxa"/>
            <w:gridSpan w:val="4"/>
            <w:tcBorders>
              <w:top w:val="nil"/>
            </w:tcBorders>
            <w:vAlign w:val="top"/>
          </w:tcPr>
          <w:p>
            <w:pPr>
              <w:pStyle w:val="8"/>
              <w:spacing w:before="52" w:line="238" w:lineRule="auto"/>
              <w:ind w:left="518"/>
            </w:pPr>
            <w:r>
              <w:rPr>
                <w:spacing w:val="-5"/>
              </w:rPr>
              <w:t>有下列情形之一的，为公开发行：</w:t>
            </w:r>
          </w:p>
          <w:p>
            <w:pPr>
              <w:pStyle w:val="8"/>
              <w:spacing w:line="217" w:lineRule="auto"/>
              <w:ind w:left="503"/>
            </w:pPr>
            <w:r>
              <w:rPr>
                <w:spacing w:val="-4"/>
              </w:rPr>
              <w:t>（一）向不特定对象发行证券的；</w:t>
            </w:r>
          </w:p>
          <w:p>
            <w:pPr>
              <w:pStyle w:val="8"/>
              <w:spacing w:before="28" w:line="242" w:lineRule="auto"/>
              <w:ind w:left="503"/>
            </w:pPr>
            <w:r>
              <w:rPr>
                <w:spacing w:val="-3"/>
              </w:rPr>
              <w:t>（二）向特定对象发行证券累计超过二百人的；</w:t>
            </w:r>
          </w:p>
          <w:p>
            <w:pPr>
              <w:pStyle w:val="8"/>
              <w:spacing w:before="1" w:line="215" w:lineRule="auto"/>
              <w:ind w:left="503"/>
            </w:pPr>
            <w:r>
              <w:rPr>
                <w:spacing w:val="-3"/>
              </w:rPr>
              <w:t>（三）法律、行政法规规定的其他发行行为。</w:t>
            </w:r>
          </w:p>
          <w:p>
            <w:pPr>
              <w:pStyle w:val="8"/>
              <w:spacing w:before="30" w:line="208" w:lineRule="auto"/>
              <w:ind w:left="526"/>
            </w:pPr>
            <w:r>
              <w:rPr>
                <w:spacing w:val="-2"/>
              </w:rPr>
              <w:t>非公开发行证券，不得采用广告、公开劝诱和变相公开方式。</w:t>
            </w:r>
          </w:p>
        </w:tc>
        <w:tc>
          <w:tcPr>
            <w:tcW w:w="6809" w:type="dxa"/>
            <w:vMerge w:val="continue"/>
            <w:tcBorders>
              <w:top w:val="nil"/>
            </w:tcBorders>
            <w:vAlign w:val="top"/>
          </w:tcPr>
          <w:p>
            <w:pPr>
              <w:rPr>
                <w:rFonts w:ascii="Arial"/>
                <w:sz w:val="21"/>
              </w:rPr>
            </w:pPr>
          </w:p>
        </w:tc>
      </w:tr>
    </w:tbl>
    <w:p>
      <w:pPr>
        <w:spacing w:before="61" w:line="132" w:lineRule="exact"/>
        <w:ind w:left="6961"/>
        <w:rPr>
          <w:rFonts w:ascii="Times New Roman" w:hAnsi="Times New Roman" w:eastAsia="Times New Roman" w:cs="Times New Roman"/>
          <w:sz w:val="18"/>
          <w:szCs w:val="18"/>
        </w:rPr>
      </w:pPr>
      <w:r>
        <w:rPr>
          <w:rFonts w:ascii="Times New Roman" w:hAnsi="Times New Roman" w:eastAsia="Times New Roman" w:cs="Times New Roman"/>
          <w:spacing w:val="17"/>
          <w:w w:val="101"/>
          <w:position w:val="1"/>
          <w:sz w:val="18"/>
          <w:szCs w:val="18"/>
        </w:rPr>
        <w:t>;</w:t>
      </w:r>
    </w:p>
    <w:p>
      <w:pPr>
        <w:spacing w:line="132" w:lineRule="exact"/>
        <w:rPr>
          <w:rFonts w:ascii="Times New Roman" w:hAnsi="Times New Roman" w:eastAsia="Times New Roman" w:cs="Times New Roman"/>
          <w:sz w:val="18"/>
          <w:szCs w:val="18"/>
        </w:rPr>
        <w:sectPr>
          <w:footerReference r:id="rId7"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7100" w:type="dxa"/>
            <w:vAlign w:val="top"/>
          </w:tcPr>
          <w:p>
            <w:pPr>
              <w:rPr>
                <w:rFonts w:ascii="Arial"/>
                <w:sz w:val="21"/>
              </w:rPr>
            </w:pPr>
          </w:p>
        </w:tc>
        <w:tc>
          <w:tcPr>
            <w:tcW w:w="6807" w:type="dxa"/>
            <w:vAlign w:val="top"/>
          </w:tcPr>
          <w:p>
            <w:pPr>
              <w:pStyle w:val="8"/>
              <w:spacing w:before="41" w:line="216" w:lineRule="auto"/>
              <w:ind w:left="501"/>
            </w:pPr>
            <w:r>
              <w:rPr>
                <w:spacing w:val="-3"/>
              </w:rPr>
              <w:t>（三）法律、行政法规规定的其他发行行为。</w:t>
            </w:r>
          </w:p>
          <w:p>
            <w:pPr>
              <w:pStyle w:val="8"/>
              <w:spacing w:before="31" w:line="225" w:lineRule="auto"/>
              <w:ind w:left="29" w:right="5" w:firstLine="475"/>
            </w:pPr>
            <w:r>
              <w:rPr>
                <w:spacing w:val="11"/>
              </w:rPr>
              <w:t>非公开发行证券，不得采用广告、公开劝诱和变相公开方</w:t>
            </w:r>
            <w:r>
              <w:rPr>
                <w:spacing w:val="6"/>
              </w:rPr>
              <w:t xml:space="preserve"> </w:t>
            </w:r>
            <w:r>
              <w:rPr>
                <w:spacing w:val="-19"/>
              </w:rPr>
              <w:t>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2" w:hRule="atLeast"/>
        </w:trPr>
        <w:tc>
          <w:tcPr>
            <w:tcW w:w="7100" w:type="dxa"/>
            <w:vAlign w:val="top"/>
          </w:tcPr>
          <w:p>
            <w:pPr>
              <w:pStyle w:val="8"/>
              <w:spacing w:before="31" w:line="237" w:lineRule="auto"/>
              <w:ind w:left="10" w:firstLine="502"/>
            </w:pPr>
            <w:r>
              <w:pict>
                <v:shape id="_x0000_s1026" o:spid="_x0000_s1026" style="position:absolute;left:0pt;margin-left:190.5pt;margin-top:31.7pt;height:0.5pt;width:113.65pt;mso-position-horizontal-relative:page;mso-position-vertical-relative:page;z-index:-251656192;mso-width-relative:page;mso-height-relative:page;" fillcolor="#000000" filled="t" stroked="f" coordsize="2273,10" path="m0,0l2272,0,2272,9,0,9,0,0xe">
                  <v:path/>
                  <v:fill on="t" focussize="0,0"/>
                  <v:stroke on="f"/>
                  <v:imagedata o:title=""/>
                  <o:lock v:ext="edit"/>
                </v:shape>
              </w:pict>
            </w:r>
            <w:r>
              <w:rPr>
                <w:rFonts w:ascii="黑体" w:hAnsi="黑体" w:eastAsia="黑体" w:cs="黑体"/>
                <w:spacing w:val="3"/>
              </w:rPr>
              <w:t xml:space="preserve">第十一条  </w:t>
            </w:r>
            <w:r>
              <w:rPr>
                <w:spacing w:val="3"/>
              </w:rPr>
              <w:t>发行人申请公开发行股票、可转换为股票的公司债</w:t>
            </w:r>
            <w:r>
              <w:rPr>
                <w:spacing w:val="5"/>
              </w:rPr>
              <w:t xml:space="preserve"> </w:t>
            </w:r>
            <w:r>
              <w:rPr>
                <w:spacing w:val="4"/>
              </w:rPr>
              <w:t>券，依法采取承销方式的，或者公开发行法律、行政法规规</w:t>
            </w:r>
            <w:r>
              <w:rPr>
                <w:spacing w:val="3"/>
              </w:rPr>
              <w:t>定实行</w:t>
            </w:r>
            <w:r>
              <w:t xml:space="preserve"> </w:t>
            </w:r>
            <w:r>
              <w:rPr>
                <w:spacing w:val="11"/>
              </w:rPr>
              <w:t>保荐制度的其他证券的，应当聘请</w:t>
            </w:r>
            <w:r>
              <w:rPr>
                <w:spacing w:val="-105"/>
              </w:rPr>
              <w:t xml:space="preserve"> </w:t>
            </w:r>
            <w:r>
              <w:rPr>
                <w:position w:val="24"/>
              </w:rPr>
              <w:drawing>
                <wp:inline distT="0" distB="0" distL="0" distR="0">
                  <wp:extent cx="2540"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2"/>
                          <a:stretch>
                            <a:fillRect/>
                          </a:stretch>
                        </pic:blipFill>
                        <pic:spPr>
                          <a:xfrm>
                            <a:off x="0" y="0"/>
                            <a:ext cx="3047" cy="6096"/>
                          </a:xfrm>
                          <a:prstGeom prst="rect">
                            <a:avLst/>
                          </a:prstGeom>
                        </pic:spPr>
                      </pic:pic>
                    </a:graphicData>
                  </a:graphic>
                </wp:inline>
              </w:drawing>
            </w:r>
            <w:r>
              <w:rPr>
                <w:position w:val="-7"/>
              </w:rPr>
              <w:drawing>
                <wp:inline distT="0" distB="0" distL="0" distR="0">
                  <wp:extent cx="2540" cy="2038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3"/>
                          <a:stretch>
                            <a:fillRect/>
                          </a:stretch>
                        </pic:blipFill>
                        <pic:spPr>
                          <a:xfrm>
                            <a:off x="0" y="0"/>
                            <a:ext cx="3047" cy="204216"/>
                          </a:xfrm>
                          <a:prstGeom prst="rect">
                            <a:avLst/>
                          </a:prstGeom>
                        </pic:spPr>
                      </pic:pic>
                    </a:graphicData>
                  </a:graphic>
                </wp:inline>
              </w:drawing>
            </w:r>
            <w:r>
              <w:rPr>
                <w:spacing w:val="11"/>
                <w:u w:val="single" w:color="auto"/>
                <w:shd w:val="clear" w:fill="D9D9D9"/>
              </w:rPr>
              <w:t>具有保荐资</w:t>
            </w:r>
            <w:r>
              <w:rPr>
                <w:spacing w:val="10"/>
                <w:u w:val="single" w:color="auto"/>
                <w:shd w:val="clear" w:fill="D9D9D9"/>
              </w:rPr>
              <w:t>格的机构</w:t>
            </w:r>
            <w:r>
              <w:rPr>
                <w:spacing w:val="-105"/>
                <w:u w:val="single" w:color="auto"/>
                <w:shd w:val="clear" w:fill="D9D9D9"/>
              </w:rPr>
              <w:t xml:space="preserve"> </w:t>
            </w:r>
            <w:r>
              <w:rPr>
                <w:position w:val="24"/>
              </w:rPr>
              <w:drawing>
                <wp:inline distT="0" distB="0" distL="0" distR="0">
                  <wp:extent cx="2540"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2"/>
                          <a:stretch>
                            <a:fillRect/>
                          </a:stretch>
                        </pic:blipFill>
                        <pic:spPr>
                          <a:xfrm>
                            <a:off x="0" y="0"/>
                            <a:ext cx="3047" cy="6096"/>
                          </a:xfrm>
                          <a:prstGeom prst="rect">
                            <a:avLst/>
                          </a:prstGeom>
                        </pic:spPr>
                      </pic:pic>
                    </a:graphicData>
                  </a:graphic>
                </wp:inline>
              </w:drawing>
            </w:r>
            <w:r>
              <w:rPr>
                <w:position w:val="-7"/>
              </w:rPr>
              <w:drawing>
                <wp:inline distT="0" distB="0" distL="0" distR="0">
                  <wp:extent cx="2540" cy="20383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3"/>
                          <a:stretch>
                            <a:fillRect/>
                          </a:stretch>
                        </pic:blipFill>
                        <pic:spPr>
                          <a:xfrm>
                            <a:off x="0" y="0"/>
                            <a:ext cx="3047" cy="204216"/>
                          </a:xfrm>
                          <a:prstGeom prst="rect">
                            <a:avLst/>
                          </a:prstGeom>
                        </pic:spPr>
                      </pic:pic>
                    </a:graphicData>
                  </a:graphic>
                </wp:inline>
              </w:drawing>
            </w:r>
            <w:r>
              <w:rPr>
                <w:spacing w:val="10"/>
              </w:rPr>
              <w:t>担任保荐</w:t>
            </w:r>
            <w:r>
              <w:t xml:space="preserve"> </w:t>
            </w:r>
            <w:r>
              <w:rPr>
                <w:spacing w:val="-14"/>
              </w:rPr>
              <w:t>人。</w:t>
            </w:r>
          </w:p>
          <w:p>
            <w:pPr>
              <w:pStyle w:val="8"/>
              <w:spacing w:before="21" w:line="233" w:lineRule="auto"/>
              <w:ind w:left="18" w:firstLine="491"/>
            </w:pPr>
            <w:r>
              <w:rPr>
                <w:spacing w:val="3"/>
              </w:rPr>
              <w:t>保荐人应当遵守业务规则和行业规范，诚实守信，勤勉尽责， 对发行人的申请文件和信息披露资料进行审慎核查，督导发行人规</w:t>
            </w:r>
            <w:r>
              <w:rPr>
                <w:spacing w:val="18"/>
              </w:rPr>
              <w:t xml:space="preserve"> </w:t>
            </w:r>
            <w:r>
              <w:rPr>
                <w:spacing w:val="-24"/>
              </w:rPr>
              <w:t xml:space="preserve">范运作。      </w:t>
            </w:r>
            <w:r>
              <w:rPr>
                <w:position w:val="-7"/>
              </w:rPr>
              <w:drawing>
                <wp:inline distT="0" distB="0" distL="0" distR="0">
                  <wp:extent cx="5715"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4"/>
                          <a:stretch>
                            <a:fillRect/>
                          </a:stretch>
                        </pic:blipFill>
                        <pic:spPr>
                          <a:xfrm>
                            <a:off x="0" y="0"/>
                            <a:ext cx="6094" cy="6096"/>
                          </a:xfrm>
                          <a:prstGeom prst="rect">
                            <a:avLst/>
                          </a:prstGeom>
                        </pic:spPr>
                      </pic:pic>
                    </a:graphicData>
                  </a:graphic>
                </wp:inline>
              </w:drawing>
            </w:r>
            <w:r>
              <w:rPr>
                <w:spacing w:val="17"/>
                <w:u w:val="single" w:color="auto"/>
              </w:rPr>
              <w:t xml:space="preserve">       </w:t>
            </w:r>
            <w:r>
              <w:rPr>
                <w:position w:val="-7"/>
              </w:rPr>
              <w:drawing>
                <wp:inline distT="0" distB="0" distL="0" distR="0">
                  <wp:extent cx="5715"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5"/>
                          <a:stretch>
                            <a:fillRect/>
                          </a:stretch>
                        </pic:blipFill>
                        <pic:spPr>
                          <a:xfrm>
                            <a:off x="0" y="0"/>
                            <a:ext cx="6094" cy="6096"/>
                          </a:xfrm>
                          <a:prstGeom prst="rect">
                            <a:avLst/>
                          </a:prstGeom>
                        </pic:spPr>
                      </pic:pic>
                    </a:graphicData>
                  </a:graphic>
                </wp:inline>
              </w:drawing>
            </w:r>
          </w:p>
          <w:p>
            <w:pPr>
              <w:pStyle w:val="8"/>
              <w:spacing w:line="239" w:lineRule="auto"/>
              <w:ind w:left="510"/>
            </w:pPr>
            <w:r>
              <w:rPr>
                <w:spacing w:val="-2"/>
              </w:rPr>
              <w:t>保荐人的</w:t>
            </w:r>
            <w:r>
              <w:rPr>
                <w:position w:val="-6"/>
              </w:rPr>
              <w:drawing>
                <wp:inline distT="0" distB="0" distL="0" distR="0">
                  <wp:extent cx="5715" cy="1981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6"/>
                          <a:stretch>
                            <a:fillRect/>
                          </a:stretch>
                        </pic:blipFill>
                        <pic:spPr>
                          <a:xfrm>
                            <a:off x="0" y="0"/>
                            <a:ext cx="6070" cy="198120"/>
                          </a:xfrm>
                          <a:prstGeom prst="rect">
                            <a:avLst/>
                          </a:prstGeom>
                        </pic:spPr>
                      </pic:pic>
                    </a:graphicData>
                  </a:graphic>
                </wp:inline>
              </w:drawing>
            </w:r>
            <w:r>
              <w:rPr>
                <w:spacing w:val="-2"/>
                <w:u w:val="single" w:color="auto"/>
                <w:shd w:val="clear" w:fill="D9D9D9"/>
              </w:rPr>
              <w:t>资格及其</w:t>
            </w:r>
            <w:r>
              <w:rPr>
                <w:position w:val="-7"/>
              </w:rPr>
              <w:drawing>
                <wp:inline distT="0" distB="0" distL="0" distR="0">
                  <wp:extent cx="5715" cy="20383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7"/>
                          <a:stretch>
                            <a:fillRect/>
                          </a:stretch>
                        </pic:blipFill>
                        <pic:spPr>
                          <a:xfrm>
                            <a:off x="0" y="0"/>
                            <a:ext cx="6070" cy="204216"/>
                          </a:xfrm>
                          <a:prstGeom prst="rect">
                            <a:avLst/>
                          </a:prstGeom>
                        </pic:spPr>
                      </pic:pic>
                    </a:graphicData>
                  </a:graphic>
                </wp:inline>
              </w:drawing>
            </w:r>
            <w:r>
              <w:rPr>
                <w:spacing w:val="-2"/>
              </w:rPr>
              <w:t>管理办法由国务院证券监督管理机构规定。</w:t>
            </w:r>
          </w:p>
        </w:tc>
        <w:tc>
          <w:tcPr>
            <w:tcW w:w="6807" w:type="dxa"/>
            <w:vAlign w:val="top"/>
          </w:tcPr>
          <w:p>
            <w:pPr>
              <w:pStyle w:val="8"/>
              <w:spacing w:before="29" w:line="233" w:lineRule="auto"/>
              <w:ind w:left="11" w:right="7" w:firstLine="499"/>
              <w:jc w:val="both"/>
            </w:pPr>
            <w:r>
              <w:rPr>
                <w:rFonts w:ascii="黑体" w:hAnsi="黑体" w:eastAsia="黑体" w:cs="黑体"/>
                <w:spacing w:val="1"/>
              </w:rPr>
              <w:t xml:space="preserve">第十条  </w:t>
            </w:r>
            <w:r>
              <w:rPr>
                <w:spacing w:val="1"/>
              </w:rPr>
              <w:t>发行人申请公开发行股票、可转换为股票的公司债</w:t>
            </w:r>
            <w:r>
              <w:rPr>
                <w:spacing w:val="5"/>
              </w:rPr>
              <w:t xml:space="preserve"> </w:t>
            </w:r>
            <w:r>
              <w:rPr>
                <w:spacing w:val="-6"/>
              </w:rPr>
              <w:t>券，</w:t>
            </w:r>
            <w:r>
              <w:rPr>
                <w:spacing w:val="-15"/>
              </w:rPr>
              <w:t xml:space="preserve"> </w:t>
            </w:r>
            <w:r>
              <w:rPr>
                <w:spacing w:val="-6"/>
              </w:rPr>
              <w:t>依法采取承销方式的， 或者公开发行法律、行政法规规定实</w:t>
            </w:r>
            <w:r>
              <w:t xml:space="preserve"> </w:t>
            </w:r>
            <w:r>
              <w:rPr>
                <w:spacing w:val="-2"/>
              </w:rPr>
              <w:t>行保荐制度的其他证券的，应当聘请</w:t>
            </w:r>
            <w:r>
              <w:rPr>
                <w:rFonts w:ascii="黑体" w:hAnsi="黑体" w:eastAsia="黑体" w:cs="黑体"/>
                <w:spacing w:val="-2"/>
              </w:rPr>
              <w:t>证券公司</w:t>
            </w:r>
            <w:r>
              <w:rPr>
                <w:spacing w:val="-2"/>
              </w:rPr>
              <w:t>担任保荐人。</w:t>
            </w:r>
          </w:p>
          <w:p>
            <w:pPr>
              <w:pStyle w:val="8"/>
              <w:spacing w:before="25" w:line="232" w:lineRule="auto"/>
              <w:ind w:left="11" w:right="6" w:firstLine="496"/>
              <w:jc w:val="both"/>
            </w:pPr>
            <w:r>
              <w:rPr>
                <w:spacing w:val="11"/>
              </w:rPr>
              <w:t>保荐人应当遵守业务规则和行业规范，诚实守信，勤勉尽</w:t>
            </w:r>
            <w:r>
              <w:rPr>
                <w:spacing w:val="1"/>
              </w:rPr>
              <w:t xml:space="preserve"> </w:t>
            </w:r>
            <w:r>
              <w:rPr>
                <w:spacing w:val="-3"/>
              </w:rPr>
              <w:t>责， 对发行人的申请文件和信息披露资料进行审慎核查，督导发</w:t>
            </w:r>
            <w:r>
              <w:rPr>
                <w:spacing w:val="18"/>
              </w:rPr>
              <w:t xml:space="preserve"> </w:t>
            </w:r>
            <w:r>
              <w:rPr>
                <w:spacing w:val="-8"/>
              </w:rPr>
              <w:t>行人规范运作。</w:t>
            </w:r>
          </w:p>
          <w:p>
            <w:pPr>
              <w:pStyle w:val="8"/>
              <w:spacing w:before="29" w:line="219" w:lineRule="auto"/>
              <w:ind w:left="508"/>
            </w:pPr>
            <w:r>
              <w:rPr>
                <w:spacing w:val="-3"/>
              </w:rPr>
              <w:t>保荐人的</w:t>
            </w:r>
            <w:r>
              <w:rPr>
                <w:rFonts w:ascii="黑体" w:hAnsi="黑体" w:eastAsia="黑体" w:cs="黑体"/>
                <w:spacing w:val="-3"/>
              </w:rPr>
              <w:t>管理办法</w:t>
            </w:r>
            <w:r>
              <w:rPr>
                <w:spacing w:val="-3"/>
              </w:rPr>
              <w:t>由国务院证券监督管理机构规定。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0" w:hRule="atLeast"/>
        </w:trPr>
        <w:tc>
          <w:tcPr>
            <w:tcW w:w="7100" w:type="dxa"/>
            <w:vAlign w:val="top"/>
          </w:tcPr>
          <w:p>
            <w:pPr>
              <w:pStyle w:val="8"/>
              <w:spacing w:before="32" w:line="234" w:lineRule="auto"/>
              <w:ind w:left="13" w:firstLine="499"/>
            </w:pPr>
            <w:r>
              <w:rPr>
                <w:rFonts w:ascii="黑体" w:hAnsi="黑体" w:eastAsia="黑体" w:cs="黑体"/>
                <w:spacing w:val="3"/>
              </w:rPr>
              <w:t xml:space="preserve">第十二条  </w:t>
            </w:r>
            <w:r>
              <w:rPr>
                <w:spacing w:val="3"/>
              </w:rPr>
              <w:t>设立股份有限公司公开发行股票，应当符合《中华</w:t>
            </w:r>
            <w:r>
              <w:rPr>
                <w:spacing w:val="4"/>
              </w:rPr>
              <w:t xml:space="preserve"> 人民共和国公司法》规定的条件和经国务院批准的国</w:t>
            </w:r>
            <w:r>
              <w:rPr>
                <w:spacing w:val="3"/>
              </w:rPr>
              <w:t>务院证券监督</w:t>
            </w:r>
            <w:r>
              <w:t xml:space="preserve"> </w:t>
            </w:r>
            <w:r>
              <w:rPr>
                <w:spacing w:val="2"/>
              </w:rPr>
              <w:t>管理机构规定的其他条件，</w:t>
            </w:r>
            <w:r>
              <w:rPr>
                <w:spacing w:val="-68"/>
              </w:rPr>
              <w:t xml:space="preserve"> </w:t>
            </w:r>
            <w:r>
              <w:rPr>
                <w:spacing w:val="2"/>
              </w:rPr>
              <w:t>向国务院证券监督管理机构报送募股申</w:t>
            </w:r>
            <w:r>
              <w:t xml:space="preserve"> </w:t>
            </w:r>
            <w:r>
              <w:rPr>
                <w:spacing w:val="-9"/>
              </w:rPr>
              <w:t>请和下列文件：</w:t>
            </w:r>
          </w:p>
          <w:p>
            <w:pPr>
              <w:pStyle w:val="8"/>
              <w:spacing w:before="32" w:line="217" w:lineRule="auto"/>
              <w:ind w:left="503"/>
            </w:pPr>
            <w:r>
              <w:rPr>
                <w:spacing w:val="-7"/>
              </w:rPr>
              <w:t>（一）公司章程；</w:t>
            </w:r>
          </w:p>
          <w:p>
            <w:pPr>
              <w:pStyle w:val="8"/>
              <w:spacing w:before="29" w:line="217" w:lineRule="auto"/>
              <w:ind w:left="503"/>
            </w:pPr>
            <w:r>
              <w:rPr>
                <w:spacing w:val="-7"/>
              </w:rPr>
              <w:t>（二）发起人协议；</w:t>
            </w:r>
          </w:p>
          <w:p>
            <w:pPr>
              <w:pStyle w:val="8"/>
              <w:spacing w:before="26" w:line="229" w:lineRule="auto"/>
              <w:ind w:left="10" w:right="22" w:firstLine="493"/>
            </w:pPr>
            <w:r>
              <w:rPr>
                <w:spacing w:val="3"/>
              </w:rPr>
              <w:t>（三）发起人姓名或者名称，发起人认购的股份数、</w:t>
            </w:r>
            <w:r>
              <w:rPr>
                <w:spacing w:val="2"/>
              </w:rPr>
              <w:t>出资种类</w:t>
            </w:r>
            <w:r>
              <w:t xml:space="preserve"> </w:t>
            </w:r>
            <w:r>
              <w:rPr>
                <w:spacing w:val="-10"/>
              </w:rPr>
              <w:t>及验资证明；</w:t>
            </w:r>
          </w:p>
          <w:p>
            <w:pPr>
              <w:pStyle w:val="8"/>
              <w:spacing w:before="30" w:line="217" w:lineRule="auto"/>
              <w:ind w:left="503"/>
            </w:pPr>
            <w:r>
              <w:rPr>
                <w:spacing w:val="-7"/>
              </w:rPr>
              <w:t>（四）招股说明书；</w:t>
            </w:r>
          </w:p>
          <w:p>
            <w:pPr>
              <w:pStyle w:val="8"/>
              <w:spacing w:before="26" w:line="216" w:lineRule="auto"/>
              <w:ind w:left="503"/>
            </w:pPr>
            <w:r>
              <w:rPr>
                <w:spacing w:val="-4"/>
              </w:rPr>
              <w:t>（五）代收股款银行的名称及地址；</w:t>
            </w:r>
          </w:p>
          <w:p>
            <w:pPr>
              <w:pStyle w:val="8"/>
              <w:spacing w:before="32" w:line="216" w:lineRule="auto"/>
              <w:ind w:left="503"/>
            </w:pPr>
            <w:r>
              <w:rPr>
                <w:spacing w:val="-3"/>
              </w:rPr>
              <w:t>（六）承销机构名称及有关的协议。</w:t>
            </w:r>
          </w:p>
          <w:p>
            <w:pPr>
              <w:pStyle w:val="8"/>
              <w:spacing w:before="31" w:line="228" w:lineRule="auto"/>
              <w:ind w:left="14" w:firstLine="494"/>
            </w:pPr>
            <w:r>
              <w:rPr>
                <w:spacing w:val="3"/>
              </w:rPr>
              <w:t>依照本法规定聘请保荐人的，还应当报送保荐人出具的发行保</w:t>
            </w:r>
            <w:r>
              <w:rPr>
                <w:spacing w:val="13"/>
              </w:rPr>
              <w:t xml:space="preserve"> </w:t>
            </w:r>
            <w:r>
              <w:rPr>
                <w:spacing w:val="-14"/>
              </w:rPr>
              <w:t>荐书。</w:t>
            </w:r>
          </w:p>
          <w:p>
            <w:pPr>
              <w:pStyle w:val="8"/>
              <w:spacing w:before="29" w:line="229" w:lineRule="auto"/>
              <w:ind w:left="19" w:firstLine="502"/>
            </w:pPr>
            <w:r>
              <w:rPr>
                <w:spacing w:val="-2"/>
              </w:rPr>
              <w:t>法律、行政法规规定设立公司必须报经批准的， 还应当提交相</w:t>
            </w:r>
            <w:r>
              <w:rPr>
                <w:spacing w:val="18"/>
              </w:rPr>
              <w:t xml:space="preserve"> </w:t>
            </w:r>
            <w:r>
              <w:rPr>
                <w:spacing w:val="-8"/>
              </w:rPr>
              <w:t>应的批准文件。</w:t>
            </w:r>
          </w:p>
        </w:tc>
        <w:tc>
          <w:tcPr>
            <w:tcW w:w="6807" w:type="dxa"/>
            <w:vAlign w:val="top"/>
          </w:tcPr>
          <w:p>
            <w:pPr>
              <w:pStyle w:val="8"/>
              <w:spacing w:before="32" w:line="234" w:lineRule="auto"/>
              <w:ind w:left="11" w:right="7" w:firstLine="499"/>
            </w:pPr>
            <w:r>
              <w:rPr>
                <w:rFonts w:ascii="黑体" w:hAnsi="黑体" w:eastAsia="黑体" w:cs="黑体"/>
                <w:spacing w:val="-1"/>
              </w:rPr>
              <w:t xml:space="preserve">第十一条  </w:t>
            </w:r>
            <w:r>
              <w:rPr>
                <w:spacing w:val="-1"/>
              </w:rPr>
              <w:t>设立股份有限公司公开发行股票，应当符合《中</w:t>
            </w:r>
            <w:r>
              <w:rPr>
                <w:spacing w:val="18"/>
              </w:rPr>
              <w:t xml:space="preserve"> </w:t>
            </w:r>
            <w:r>
              <w:rPr>
                <w:spacing w:val="2"/>
              </w:rPr>
              <w:t>华人民共和国公司法》规定的条件和经国务院批准的</w:t>
            </w:r>
            <w:r>
              <w:rPr>
                <w:spacing w:val="1"/>
              </w:rPr>
              <w:t>国务院证券</w:t>
            </w:r>
            <w:r>
              <w:t xml:space="preserve"> </w:t>
            </w:r>
            <w:r>
              <w:rPr>
                <w:spacing w:val="-3"/>
              </w:rPr>
              <w:t>监督管理机构规定的其他条件， 向国务院证券监督管理机构报送</w:t>
            </w:r>
            <w:r>
              <w:rPr>
                <w:spacing w:val="18"/>
              </w:rPr>
              <w:t xml:space="preserve"> </w:t>
            </w:r>
            <w:r>
              <w:rPr>
                <w:spacing w:val="-7"/>
              </w:rPr>
              <w:t>募股申请和下列文件：</w:t>
            </w:r>
          </w:p>
          <w:p>
            <w:pPr>
              <w:pStyle w:val="8"/>
              <w:spacing w:before="32" w:line="217" w:lineRule="auto"/>
              <w:ind w:left="501"/>
            </w:pPr>
            <w:r>
              <w:rPr>
                <w:spacing w:val="-7"/>
              </w:rPr>
              <w:t>（一）公司章程；</w:t>
            </w:r>
          </w:p>
          <w:p>
            <w:pPr>
              <w:pStyle w:val="8"/>
              <w:spacing w:before="29" w:line="217" w:lineRule="auto"/>
              <w:ind w:left="501"/>
            </w:pPr>
            <w:r>
              <w:rPr>
                <w:spacing w:val="-7"/>
              </w:rPr>
              <w:t>（二）发起人协议；</w:t>
            </w:r>
          </w:p>
          <w:p>
            <w:pPr>
              <w:pStyle w:val="8"/>
              <w:spacing w:before="26" w:line="229" w:lineRule="auto"/>
              <w:ind w:left="23" w:right="33" w:firstLine="477"/>
            </w:pPr>
            <w:r>
              <w:rPr>
                <w:spacing w:val="-4"/>
              </w:rPr>
              <w:t>（三）发起人姓名或者名称， 发起人认购的股份数、出资种</w:t>
            </w:r>
            <w:r>
              <w:rPr>
                <w:spacing w:val="4"/>
              </w:rPr>
              <w:t xml:space="preserve"> </w:t>
            </w:r>
            <w:r>
              <w:rPr>
                <w:spacing w:val="-11"/>
              </w:rPr>
              <w:t>类及验资证明；</w:t>
            </w:r>
          </w:p>
          <w:p>
            <w:pPr>
              <w:pStyle w:val="8"/>
              <w:spacing w:before="30" w:line="217" w:lineRule="auto"/>
              <w:ind w:left="501"/>
            </w:pPr>
            <w:r>
              <w:rPr>
                <w:spacing w:val="-7"/>
              </w:rPr>
              <w:t>（四）招股说明书；</w:t>
            </w:r>
          </w:p>
          <w:p>
            <w:pPr>
              <w:pStyle w:val="8"/>
              <w:spacing w:before="26" w:line="216" w:lineRule="auto"/>
              <w:ind w:left="501"/>
            </w:pPr>
            <w:r>
              <w:rPr>
                <w:spacing w:val="-4"/>
              </w:rPr>
              <w:t>（五）代收股款银行的名称及地址；</w:t>
            </w:r>
          </w:p>
          <w:p>
            <w:pPr>
              <w:pStyle w:val="8"/>
              <w:spacing w:before="32" w:line="216" w:lineRule="auto"/>
              <w:ind w:left="501"/>
            </w:pPr>
            <w:r>
              <w:rPr>
                <w:spacing w:val="-3"/>
              </w:rPr>
              <w:t>（六）承销机构名称及有关的协议。</w:t>
            </w:r>
          </w:p>
          <w:p>
            <w:pPr>
              <w:pStyle w:val="8"/>
              <w:spacing w:before="32" w:line="227" w:lineRule="auto"/>
              <w:ind w:left="8" w:right="7" w:firstLine="498"/>
            </w:pPr>
            <w:r>
              <w:rPr>
                <w:spacing w:val="-3"/>
              </w:rPr>
              <w:t>依照本法规定聘请保荐人的， 还应当报送保荐人出具</w:t>
            </w:r>
            <w:r>
              <w:rPr>
                <w:spacing w:val="-4"/>
              </w:rPr>
              <w:t>的发行</w:t>
            </w:r>
            <w:r>
              <w:t xml:space="preserve"> </w:t>
            </w:r>
            <w:r>
              <w:rPr>
                <w:spacing w:val="-11"/>
              </w:rPr>
              <w:t>保荐书。</w:t>
            </w:r>
          </w:p>
          <w:p>
            <w:pPr>
              <w:pStyle w:val="8"/>
              <w:spacing w:before="32" w:line="228" w:lineRule="auto"/>
              <w:ind w:left="8" w:right="7" w:firstLine="491"/>
            </w:pPr>
            <w:r>
              <w:rPr>
                <w:spacing w:val="1"/>
              </w:rPr>
              <w:t>法律、行政法规规定设立公司必须报经批准的，还应当提交</w:t>
            </w:r>
            <w:r>
              <w:rPr>
                <w:spacing w:val="17"/>
              </w:rPr>
              <w:t xml:space="preserve"> </w:t>
            </w:r>
            <w:r>
              <w:rPr>
                <w:spacing w:val="-7"/>
              </w:rPr>
              <w:t>相应的批准文件。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100" w:type="dxa"/>
            <w:vAlign w:val="top"/>
          </w:tcPr>
          <w:p>
            <w:pPr>
              <w:pStyle w:val="8"/>
              <w:spacing w:before="41" w:line="225" w:lineRule="auto"/>
              <w:ind w:left="503" w:right="1125" w:firstLine="9"/>
            </w:pPr>
            <w:r>
              <w:rPr>
                <w:rFonts w:ascii="黑体" w:hAnsi="黑体" w:eastAsia="黑体" w:cs="黑体"/>
                <w:spacing w:val="-3"/>
              </w:rPr>
              <w:t xml:space="preserve">第十三条  </w:t>
            </w:r>
            <w:r>
              <w:rPr>
                <w:spacing w:val="-3"/>
              </w:rPr>
              <w:t>公司公开发行新股，应当符合下列</w:t>
            </w:r>
            <w:r>
              <w:rPr>
                <w:spacing w:val="-4"/>
              </w:rPr>
              <w:t>条件：</w:t>
            </w:r>
            <w:r>
              <w:t xml:space="preserve"> </w:t>
            </w:r>
            <w:r>
              <w:rPr>
                <w:spacing w:val="-4"/>
              </w:rPr>
              <w:t>（一）具备健全且运行良好的组织机构；</w:t>
            </w:r>
          </w:p>
        </w:tc>
        <w:tc>
          <w:tcPr>
            <w:tcW w:w="6807" w:type="dxa"/>
            <w:vAlign w:val="top"/>
          </w:tcPr>
          <w:p>
            <w:pPr>
              <w:pStyle w:val="8"/>
              <w:spacing w:before="41" w:line="225" w:lineRule="auto"/>
              <w:ind w:left="526" w:right="372" w:hanging="35"/>
            </w:pPr>
            <w:r>
              <w:rPr>
                <w:rFonts w:ascii="黑体" w:hAnsi="黑体" w:eastAsia="黑体" w:cs="黑体"/>
                <w:spacing w:val="-3"/>
              </w:rPr>
              <w:t xml:space="preserve">第十二条  </w:t>
            </w:r>
            <w:r>
              <w:rPr>
                <w:spacing w:val="-3"/>
              </w:rPr>
              <w:t>公司首次公开发行新股，应当符合下列条件</w:t>
            </w:r>
            <w:r>
              <w:rPr>
                <w:spacing w:val="-3"/>
                <w14:textOutline w14:w="3810" w14:cap="rnd" w14:cmpd="sng">
                  <w14:solidFill>
                    <w14:srgbClr w14:val="000000"/>
                  </w14:solidFill>
                  <w14:prstDash w14:val="solid"/>
                  <w14:round/>
                </w14:textOutline>
              </w:rPr>
              <w:t>：</w:t>
            </w:r>
            <w:r>
              <w:rPr>
                <w:spacing w:val="4"/>
              </w:rPr>
              <w:t xml:space="preserve"> </w:t>
            </w:r>
            <w:r>
              <w:rPr>
                <w:rFonts w:ascii="黑体" w:hAnsi="黑体" w:eastAsia="黑体" w:cs="黑体"/>
                <w:spacing w:val="-5"/>
              </w:rPr>
              <w:t>（一）</w:t>
            </w:r>
            <w:r>
              <w:rPr>
                <w:spacing w:val="-5"/>
              </w:rPr>
              <w:t>具备健全且运行良好的组织机构；</w:t>
            </w:r>
          </w:p>
        </w:tc>
      </w:tr>
    </w:tbl>
    <w:p>
      <w:pPr>
        <w:spacing w:line="156" w:lineRule="exact"/>
        <w:rPr>
          <w:rFonts w:ascii="Arial"/>
          <w:sz w:val="13"/>
        </w:rPr>
      </w:pPr>
    </w:p>
    <w:p>
      <w:pPr>
        <w:spacing w:line="156" w:lineRule="exact"/>
        <w:rPr>
          <w:rFonts w:ascii="Arial" w:hAnsi="Arial" w:eastAsia="Arial" w:cs="Arial"/>
          <w:sz w:val="13"/>
          <w:szCs w:val="13"/>
        </w:rPr>
        <w:sectPr>
          <w:footerReference r:id="rId8"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4"/>
        <w:gridCol w:w="249"/>
        <w:gridCol w:w="1679"/>
        <w:gridCol w:w="489"/>
        <w:gridCol w:w="4404"/>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74" w:type="dxa"/>
            <w:vMerge w:val="restart"/>
            <w:tcBorders>
              <w:bottom w:val="nil"/>
              <w:right w:val="nil"/>
            </w:tcBorders>
            <w:vAlign w:val="top"/>
          </w:tcPr>
          <w:p>
            <w:pPr>
              <w:rPr>
                <w:rFonts w:ascii="Arial"/>
                <w:sz w:val="21"/>
              </w:rPr>
            </w:pPr>
          </w:p>
        </w:tc>
        <w:tc>
          <w:tcPr>
            <w:tcW w:w="1928" w:type="dxa"/>
            <w:gridSpan w:val="2"/>
            <w:vMerge w:val="restart"/>
            <w:tcBorders>
              <w:left w:val="nil"/>
              <w:bottom w:val="nil"/>
              <w:right w:val="nil"/>
            </w:tcBorders>
            <w:vAlign w:val="top"/>
          </w:tcPr>
          <w:p>
            <w:pPr>
              <w:pStyle w:val="8"/>
              <w:spacing w:before="54" w:line="217" w:lineRule="auto"/>
              <w:ind w:right="27"/>
              <w:jc w:val="right"/>
            </w:pPr>
            <w:r>
              <w:rPr>
                <w:spacing w:val="-3"/>
              </w:rPr>
              <w:t>（二）具有持续</w:t>
            </w:r>
          </w:p>
          <w:p>
            <w:pPr>
              <w:pStyle w:val="8"/>
              <w:spacing w:before="48" w:line="415" w:lineRule="exact"/>
              <w:ind w:right="3"/>
              <w:jc w:val="right"/>
            </w:pPr>
            <w:r>
              <w:rPr>
                <w:position w:val="13"/>
              </w:rPr>
              <w:t>（三）最近三年</w:t>
            </w:r>
          </w:p>
          <w:p>
            <w:pPr>
              <w:pStyle w:val="8"/>
              <w:spacing w:line="165" w:lineRule="exact"/>
              <w:ind w:left="19"/>
            </w:pPr>
            <w:r>
              <w:rPr>
                <w:position w:val="1"/>
              </w:rPr>
              <w:t>;</w:t>
            </w:r>
          </w:p>
        </w:tc>
        <w:tc>
          <w:tcPr>
            <w:tcW w:w="489" w:type="dxa"/>
            <w:tcBorders>
              <w:left w:val="single" w:color="000000" w:sz="2" w:space="0"/>
              <w:bottom w:val="single" w:color="000000" w:sz="2" w:space="0"/>
              <w:right w:val="single" w:color="000000" w:sz="2" w:space="0"/>
            </w:tcBorders>
            <w:shd w:val="clear" w:color="auto" w:fill="D9D9D9"/>
            <w:vAlign w:val="top"/>
          </w:tcPr>
          <w:p>
            <w:pPr>
              <w:pStyle w:val="8"/>
              <w:spacing w:before="53" w:line="207" w:lineRule="auto"/>
              <w:jc w:val="right"/>
            </w:pPr>
            <w:r>
              <w:rPr>
                <w:spacing w:val="-9"/>
              </w:rPr>
              <w:t>盈利</w:t>
            </w:r>
          </w:p>
        </w:tc>
        <w:tc>
          <w:tcPr>
            <w:tcW w:w="4404" w:type="dxa"/>
            <w:vMerge w:val="restart"/>
            <w:tcBorders>
              <w:left w:val="nil"/>
              <w:bottom w:val="nil"/>
            </w:tcBorders>
            <w:vAlign w:val="top"/>
          </w:tcPr>
          <w:p>
            <w:pPr>
              <w:pStyle w:val="8"/>
              <w:spacing w:before="53" w:line="217" w:lineRule="auto"/>
              <w:ind w:left="27"/>
            </w:pPr>
            <w:r>
              <w:pict>
                <v:shape id="_x0000_s1027" o:spid="_x0000_s1027" style="position:absolute;left:0pt;margin-left:25.2pt;margin-top:17.65pt;height:0.5pt;width:194.35pt;mso-position-horizontal-relative:page;mso-position-vertical-relative:page;z-index:-251655168;mso-width-relative:page;mso-height-relative:page;" fillcolor="#000000" filled="t" stroked="f" coordsize="3887,10" path="m0,0l3886,0,3886,9,0,9,0,0xe">
                  <v:path/>
                  <v:fill on="t" focussize="0,0"/>
                  <v:stroke on="f"/>
                  <v:imagedata o:title=""/>
                  <o:lock v:ext="edit"/>
                </v:shape>
              </w:pict>
            </w:r>
            <w:r>
              <w:rPr>
                <w:spacing w:val="-9"/>
              </w:rPr>
              <w:t>能力，财务状况良好；</w:t>
            </w:r>
          </w:p>
          <w:p>
            <w:pPr>
              <w:pStyle w:val="8"/>
              <w:spacing w:before="3" w:line="247" w:lineRule="auto"/>
              <w:ind w:left="17"/>
            </w:pPr>
            <w:r>
              <w:rPr>
                <w:spacing w:val="-6"/>
                <w:shd w:val="clear" w:fill="D9D9D9"/>
              </w:rPr>
              <w:t>会计</w:t>
            </w:r>
            <w:r>
              <w:rPr>
                <w:position w:val="24"/>
                <w:shd w:val="clear" w:fill="D9D9D9"/>
              </w:rPr>
              <w:drawing>
                <wp:inline distT="0" distB="0" distL="0" distR="0">
                  <wp:extent cx="25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2"/>
                          <a:stretch>
                            <a:fillRect/>
                          </a:stretch>
                        </pic:blipFill>
                        <pic:spPr>
                          <a:xfrm>
                            <a:off x="0" y="0"/>
                            <a:ext cx="2573" cy="6095"/>
                          </a:xfrm>
                          <a:prstGeom prst="rect">
                            <a:avLst/>
                          </a:prstGeom>
                        </pic:spPr>
                      </pic:pic>
                    </a:graphicData>
                  </a:graphic>
                </wp:inline>
              </w:drawing>
            </w:r>
            <w:r>
              <w:rPr>
                <w:position w:val="-7"/>
                <w:shd w:val="clear" w:fill="D9D9D9"/>
              </w:rPr>
              <w:drawing>
                <wp:inline distT="0" distB="0" distL="0" distR="0">
                  <wp:extent cx="2540" cy="20383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3"/>
                          <a:stretch>
                            <a:fillRect/>
                          </a:stretch>
                        </pic:blipFill>
                        <pic:spPr>
                          <a:xfrm>
                            <a:off x="0" y="0"/>
                            <a:ext cx="2573" cy="204215"/>
                          </a:xfrm>
                          <a:prstGeom prst="rect">
                            <a:avLst/>
                          </a:prstGeom>
                        </pic:spPr>
                      </pic:pic>
                    </a:graphicData>
                  </a:graphic>
                </wp:inline>
              </w:drawing>
            </w:r>
            <w:r>
              <w:rPr>
                <w:position w:val="-7"/>
                <w:shd w:val="clear" w:fill="D9D9D9"/>
              </w:rPr>
              <w:drawing>
                <wp:inline distT="0" distB="0" distL="0" distR="0">
                  <wp:extent cx="254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8"/>
                          <a:stretch>
                            <a:fillRect/>
                          </a:stretch>
                        </pic:blipFill>
                        <pic:spPr>
                          <a:xfrm>
                            <a:off x="0" y="0"/>
                            <a:ext cx="2573" cy="6096"/>
                          </a:xfrm>
                          <a:prstGeom prst="rect">
                            <a:avLst/>
                          </a:prstGeom>
                        </pic:spPr>
                      </pic:pic>
                    </a:graphicData>
                  </a:graphic>
                </wp:inline>
              </w:drawing>
            </w:r>
            <w:r>
              <w:rPr>
                <w:spacing w:val="-93"/>
                <w:u w:val="single" w:color="auto"/>
                <w:shd w:val="clear" w:fill="D9D9D9"/>
              </w:rPr>
              <w:t xml:space="preserve"> </w:t>
            </w:r>
            <w:r>
              <w:rPr>
                <w:spacing w:val="-6"/>
                <w:u w:val="single" w:color="auto"/>
                <w:shd w:val="clear" w:fill="D9D9D9"/>
              </w:rPr>
              <w:t>文件无虚假记载， 无其他重大违法行</w:t>
            </w:r>
          </w:p>
        </w:tc>
        <w:tc>
          <w:tcPr>
            <w:tcW w:w="6812" w:type="dxa"/>
            <w:vMerge w:val="restart"/>
            <w:tcBorders>
              <w:bottom w:val="nil"/>
            </w:tcBorders>
            <w:vAlign w:val="top"/>
          </w:tcPr>
          <w:p>
            <w:pPr>
              <w:pStyle w:val="8"/>
              <w:spacing w:before="40" w:line="213" w:lineRule="auto"/>
              <w:ind w:left="512"/>
              <w:rPr>
                <w:rFonts w:ascii="黑体" w:hAnsi="黑体" w:eastAsia="黑体" w:cs="黑体"/>
              </w:rPr>
            </w:pPr>
            <w:r>
              <w:rPr>
                <w:rFonts w:ascii="黑体" w:hAnsi="黑体" w:eastAsia="黑体" w:cs="黑体"/>
                <w:spacing w:val="-12"/>
              </w:rPr>
              <w:t xml:space="preserve">（二） </w:t>
            </w:r>
            <w:r>
              <w:rPr>
                <w:spacing w:val="-12"/>
              </w:rPr>
              <w:t>具有持续</w:t>
            </w:r>
            <w:r>
              <w:rPr>
                <w:rFonts w:ascii="黑体" w:hAnsi="黑体" w:eastAsia="黑体" w:cs="黑体"/>
                <w:spacing w:val="-12"/>
              </w:rPr>
              <w:t>经营</w:t>
            </w:r>
            <w:r>
              <w:rPr>
                <w:spacing w:val="-12"/>
              </w:rPr>
              <w:t>能力</w:t>
            </w:r>
            <w:r>
              <w:rPr>
                <w:rFonts w:ascii="黑体" w:hAnsi="黑体" w:eastAsia="黑体" w:cs="黑体"/>
                <w:spacing w:val="-12"/>
              </w:rPr>
              <w:t>；</w:t>
            </w:r>
          </w:p>
          <w:p>
            <w:pPr>
              <w:pStyle w:val="8"/>
              <w:spacing w:before="35" w:line="213" w:lineRule="auto"/>
              <w:ind w:left="512"/>
              <w:rPr>
                <w:rFonts w:ascii="黑体" w:hAnsi="黑体" w:eastAsia="黑体" w:cs="黑体"/>
              </w:rPr>
            </w:pPr>
            <w:r>
              <w:rPr>
                <w:rFonts w:ascii="黑体" w:hAnsi="黑体" w:eastAsia="黑体" w:cs="黑体"/>
                <w:spacing w:val="-7"/>
              </w:rPr>
              <w:t xml:space="preserve">（三） </w:t>
            </w:r>
            <w:r>
              <w:rPr>
                <w:spacing w:val="-7"/>
              </w:rPr>
              <w:t>最近三年财务会计报告</w:t>
            </w:r>
            <w:r>
              <w:rPr>
                <w:rFonts w:ascii="黑体" w:hAnsi="黑体" w:eastAsia="黑体" w:cs="黑体"/>
                <w:spacing w:val="-7"/>
              </w:rPr>
              <w:t>被出具无保留意见审计报告；</w:t>
            </w:r>
          </w:p>
          <w:p>
            <w:pPr>
              <w:spacing w:before="32" w:line="231" w:lineRule="auto"/>
              <w:ind w:left="21" w:right="7" w:firstLine="491"/>
              <w:rPr>
                <w:rFonts w:ascii="黑体" w:hAnsi="黑体" w:eastAsia="黑体" w:cs="黑体"/>
                <w:sz w:val="24"/>
                <w:szCs w:val="24"/>
              </w:rPr>
            </w:pPr>
            <w:r>
              <w:rPr>
                <w:rFonts w:ascii="黑体" w:hAnsi="黑体" w:eastAsia="黑体" w:cs="黑体"/>
                <w:spacing w:val="1"/>
                <w:sz w:val="24"/>
                <w:szCs w:val="24"/>
              </w:rPr>
              <w:t>（四）发行人及其控股股东，实际控制人最近三年不存在贪</w:t>
            </w:r>
            <w:r>
              <w:rPr>
                <w:rFonts w:ascii="黑体" w:hAnsi="黑体" w:eastAsia="黑体" w:cs="黑体"/>
                <w:spacing w:val="9"/>
                <w:sz w:val="24"/>
                <w:szCs w:val="24"/>
              </w:rPr>
              <w:t xml:space="preserve"> </w:t>
            </w:r>
            <w:r>
              <w:rPr>
                <w:rFonts w:ascii="黑体" w:hAnsi="黑体" w:eastAsia="黑体" w:cs="黑体"/>
                <w:spacing w:val="2"/>
                <w:sz w:val="24"/>
                <w:szCs w:val="24"/>
              </w:rPr>
              <w:t>污、贿赂、侵占财产、挪用财产或者破坏</w:t>
            </w:r>
            <w:r>
              <w:rPr>
                <w:rFonts w:ascii="黑体" w:hAnsi="黑体" w:eastAsia="黑体" w:cs="黑体"/>
                <w:spacing w:val="1"/>
                <w:sz w:val="24"/>
                <w:szCs w:val="24"/>
              </w:rPr>
              <w:t>社会主义市场经济秩序</w:t>
            </w:r>
            <w:r>
              <w:rPr>
                <w:rFonts w:ascii="黑体" w:hAnsi="黑体" w:eastAsia="黑体" w:cs="黑体"/>
                <w:sz w:val="24"/>
                <w:szCs w:val="24"/>
              </w:rPr>
              <w:t xml:space="preserve"> </w:t>
            </w:r>
            <w:r>
              <w:rPr>
                <w:rFonts w:ascii="黑体" w:hAnsi="黑体" w:eastAsia="黑体" w:cs="黑体"/>
                <w:spacing w:val="-9"/>
                <w:sz w:val="24"/>
                <w:szCs w:val="24"/>
              </w:rPr>
              <w:t>的刑事犯罪；</w:t>
            </w:r>
          </w:p>
          <w:p>
            <w:pPr>
              <w:pStyle w:val="8"/>
              <w:spacing w:before="32" w:line="229" w:lineRule="auto"/>
              <w:ind w:left="19" w:right="31" w:firstLine="467"/>
            </w:pPr>
            <w:r>
              <w:rPr>
                <w:spacing w:val="1"/>
              </w:rPr>
              <w:t>（</w:t>
            </w:r>
            <w:r>
              <w:rPr>
                <w:rFonts w:ascii="黑体" w:hAnsi="黑体" w:eastAsia="黑体" w:cs="黑体"/>
                <w:spacing w:val="1"/>
              </w:rPr>
              <w:t>五</w:t>
            </w:r>
            <w:r>
              <w:rPr>
                <w:spacing w:val="1"/>
              </w:rPr>
              <w:t>）经国务院批准的国务院证券监督管理机构规定的其他</w:t>
            </w:r>
            <w:r>
              <w:rPr>
                <w:spacing w:val="10"/>
              </w:rPr>
              <w:t xml:space="preserve"> </w:t>
            </w:r>
            <w:r>
              <w:rPr>
                <w:spacing w:val="-14"/>
              </w:rPr>
              <w:t>条件。</w:t>
            </w:r>
          </w:p>
          <w:p>
            <w:pPr>
              <w:pStyle w:val="8"/>
              <w:spacing w:before="28" w:line="234" w:lineRule="auto"/>
              <w:ind w:left="13" w:right="5" w:firstLine="488"/>
              <w:jc w:val="both"/>
              <w:rPr>
                <w:rFonts w:ascii="黑体" w:hAnsi="黑体" w:eastAsia="黑体" w:cs="黑体"/>
              </w:rPr>
            </w:pPr>
            <w:r>
              <w:rPr>
                <w:spacing w:val="2"/>
              </w:rPr>
              <w:t>上市公司发行新股，应当符合经国务院批准的</w:t>
            </w:r>
            <w:r>
              <w:rPr>
                <w:spacing w:val="1"/>
              </w:rPr>
              <w:t>国务院证券监</w:t>
            </w:r>
            <w:r>
              <w:t xml:space="preserve"> </w:t>
            </w:r>
            <w:r>
              <w:rPr>
                <w:spacing w:val="2"/>
              </w:rPr>
              <w:t>督管理机构规定的条件</w:t>
            </w:r>
            <w:r>
              <w:rPr>
                <w:rFonts w:ascii="黑体" w:hAnsi="黑体" w:eastAsia="黑体" w:cs="黑体"/>
                <w:spacing w:val="2"/>
              </w:rPr>
              <w:t>，具体管理办法由国务院证券监督管理机</w:t>
            </w:r>
            <w:r>
              <w:rPr>
                <w:rFonts w:ascii="黑体" w:hAnsi="黑体" w:eastAsia="黑体" w:cs="黑体"/>
                <w:spacing w:val="1"/>
              </w:rPr>
              <w:t xml:space="preserve"> </w:t>
            </w:r>
            <w:r>
              <w:rPr>
                <w:rFonts w:ascii="黑体" w:hAnsi="黑体" w:eastAsia="黑体" w:cs="黑体"/>
                <w:spacing w:val="-8"/>
              </w:rPr>
              <w:t>构规定。</w:t>
            </w:r>
          </w:p>
          <w:p>
            <w:pPr>
              <w:spacing w:before="21" w:line="220" w:lineRule="auto"/>
              <w:ind w:left="20" w:right="6" w:firstLine="478"/>
              <w:rPr>
                <w:rFonts w:ascii="黑体" w:hAnsi="黑体" w:eastAsia="黑体" w:cs="黑体"/>
                <w:sz w:val="24"/>
                <w:szCs w:val="24"/>
              </w:rPr>
            </w:pPr>
            <w:r>
              <w:rPr>
                <w:rFonts w:ascii="黑体" w:hAnsi="黑体" w:eastAsia="黑体" w:cs="黑体"/>
                <w:spacing w:val="-3"/>
                <w:sz w:val="24"/>
                <w:szCs w:val="24"/>
              </w:rPr>
              <w:t>公开发行存托凭证的， 应当符合首次发行新股的条件以及国</w:t>
            </w:r>
            <w:r>
              <w:rPr>
                <w:rFonts w:ascii="黑体" w:hAnsi="黑体" w:eastAsia="黑体" w:cs="黑体"/>
                <w:spacing w:val="11"/>
                <w:sz w:val="24"/>
                <w:szCs w:val="24"/>
              </w:rPr>
              <w:t xml:space="preserve"> </w:t>
            </w:r>
            <w:r>
              <w:rPr>
                <w:rFonts w:ascii="黑体" w:hAnsi="黑体" w:eastAsia="黑体" w:cs="黑体"/>
                <w:spacing w:val="-3"/>
                <w:sz w:val="24"/>
                <w:szCs w:val="24"/>
              </w:rPr>
              <w:t>务院证券监督管理机构规定的其他条件。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4" w:type="dxa"/>
            <w:vMerge w:val="continue"/>
            <w:tcBorders>
              <w:top w:val="nil"/>
              <w:bottom w:val="single" w:color="000000" w:sz="2" w:space="0"/>
              <w:right w:val="nil"/>
            </w:tcBorders>
            <w:vAlign w:val="top"/>
          </w:tcPr>
          <w:p>
            <w:pPr>
              <w:rPr>
                <w:rFonts w:ascii="Arial"/>
                <w:sz w:val="21"/>
              </w:rPr>
            </w:pPr>
          </w:p>
        </w:tc>
        <w:tc>
          <w:tcPr>
            <w:tcW w:w="1928" w:type="dxa"/>
            <w:gridSpan w:val="2"/>
            <w:vMerge w:val="continue"/>
            <w:tcBorders>
              <w:top w:val="nil"/>
              <w:left w:val="nil"/>
              <w:bottom w:val="nil"/>
              <w:right w:val="nil"/>
            </w:tcBorders>
            <w:vAlign w:val="top"/>
          </w:tcPr>
          <w:p>
            <w:pPr>
              <w:rPr>
                <w:rFonts w:ascii="Arial"/>
                <w:sz w:val="21"/>
              </w:rPr>
            </w:pPr>
          </w:p>
        </w:tc>
        <w:tc>
          <w:tcPr>
            <w:tcW w:w="489" w:type="dxa"/>
            <w:vMerge w:val="restart"/>
            <w:tcBorders>
              <w:top w:val="single" w:color="000000" w:sz="2" w:space="0"/>
              <w:left w:val="nil"/>
              <w:bottom w:val="nil"/>
              <w:right w:val="nil"/>
            </w:tcBorders>
            <w:vAlign w:val="top"/>
          </w:tcPr>
          <w:p>
            <w:pPr>
              <w:pStyle w:val="8"/>
              <w:spacing w:before="47" w:line="218" w:lineRule="auto"/>
              <w:jc w:val="right"/>
            </w:pPr>
            <w:r>
              <w:rPr>
                <w:spacing w:val="-7"/>
              </w:rPr>
              <w:t>财务</w:t>
            </w:r>
          </w:p>
        </w:tc>
        <w:tc>
          <w:tcPr>
            <w:tcW w:w="4404" w:type="dxa"/>
            <w:vMerge w:val="continue"/>
            <w:tcBorders>
              <w:top w:val="nil"/>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74" w:type="dxa"/>
            <w:tcBorders>
              <w:top w:val="single" w:color="000000" w:sz="2" w:space="0"/>
              <w:bottom w:val="single" w:color="000000" w:sz="2" w:space="0"/>
              <w:right w:val="single" w:color="000000" w:sz="2" w:space="0"/>
            </w:tcBorders>
            <w:shd w:val="clear" w:color="auto" w:fill="D9D9D9"/>
            <w:vAlign w:val="top"/>
          </w:tcPr>
          <w:p>
            <w:pPr>
              <w:pStyle w:val="8"/>
              <w:spacing w:before="37" w:line="191" w:lineRule="auto"/>
              <w:jc w:val="right"/>
            </w:pPr>
            <w:r>
              <w:rPr>
                <w:spacing w:val="-17"/>
              </w:rPr>
              <w:t>为</w:t>
            </w:r>
          </w:p>
        </w:tc>
        <w:tc>
          <w:tcPr>
            <w:tcW w:w="1928" w:type="dxa"/>
            <w:gridSpan w:val="2"/>
            <w:vMerge w:val="continue"/>
            <w:tcBorders>
              <w:top w:val="nil"/>
              <w:left w:val="nil"/>
              <w:bottom w:val="nil"/>
              <w:right w:val="nil"/>
            </w:tcBorders>
            <w:vAlign w:val="top"/>
          </w:tcPr>
          <w:p>
            <w:pPr>
              <w:rPr>
                <w:rFonts w:ascii="Arial"/>
                <w:sz w:val="21"/>
              </w:rPr>
            </w:pPr>
          </w:p>
        </w:tc>
        <w:tc>
          <w:tcPr>
            <w:tcW w:w="489" w:type="dxa"/>
            <w:vMerge w:val="continue"/>
            <w:tcBorders>
              <w:top w:val="nil"/>
              <w:left w:val="nil"/>
              <w:bottom w:val="nil"/>
              <w:right w:val="nil"/>
            </w:tcBorders>
            <w:vAlign w:val="top"/>
          </w:tcPr>
          <w:p>
            <w:pPr>
              <w:rPr>
                <w:rFonts w:ascii="Arial"/>
                <w:sz w:val="21"/>
              </w:rPr>
            </w:pPr>
          </w:p>
        </w:tc>
        <w:tc>
          <w:tcPr>
            <w:tcW w:w="4404" w:type="dxa"/>
            <w:vMerge w:val="continue"/>
            <w:tcBorders>
              <w:top w:val="nil"/>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7095" w:type="dxa"/>
            <w:gridSpan w:val="5"/>
            <w:tcBorders>
              <w:top w:val="nil"/>
            </w:tcBorders>
            <w:vAlign w:val="top"/>
          </w:tcPr>
          <w:p>
            <w:pPr>
              <w:pStyle w:val="8"/>
              <w:spacing w:before="54" w:line="226" w:lineRule="auto"/>
              <w:ind w:left="10" w:right="9" w:firstLine="493"/>
            </w:pPr>
            <w:r>
              <w:rPr>
                <w:spacing w:val="3"/>
              </w:rPr>
              <w:t>（四）经国务院批准的国务院证券监督管理机构规定的其他条</w:t>
            </w:r>
            <w:r>
              <w:rPr>
                <w:spacing w:val="4"/>
              </w:rPr>
              <w:t xml:space="preserve"> </w:t>
            </w:r>
            <w:r>
              <w:rPr>
                <w:spacing w:val="-14"/>
              </w:rPr>
              <w:t>件。</w:t>
            </w:r>
          </w:p>
          <w:p>
            <w:pPr>
              <w:spacing w:line="9" w:lineRule="exact"/>
              <w:ind w:left="1473"/>
            </w:pPr>
            <w:r>
              <w:drawing>
                <wp:inline distT="0" distB="0" distL="0" distR="0">
                  <wp:extent cx="474980"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9"/>
                          <a:stretch>
                            <a:fillRect/>
                          </a:stretch>
                        </pic:blipFill>
                        <pic:spPr>
                          <a:xfrm>
                            <a:off x="0" y="0"/>
                            <a:ext cx="475488" cy="6096"/>
                          </a:xfrm>
                          <a:prstGeom prst="rect">
                            <a:avLst/>
                          </a:prstGeom>
                        </pic:spPr>
                      </pic:pic>
                    </a:graphicData>
                  </a:graphic>
                </wp:inline>
              </w:drawing>
            </w:r>
          </w:p>
          <w:p>
            <w:pPr>
              <w:pStyle w:val="8"/>
              <w:spacing w:before="1" w:line="243" w:lineRule="auto"/>
              <w:ind w:left="16" w:firstLine="502"/>
            </w:pPr>
            <w:r>
              <w:rPr>
                <w:spacing w:val="2"/>
              </w:rPr>
              <w:t>上市公司</w:t>
            </w:r>
            <w:r>
              <w:rPr>
                <w:position w:val="-7"/>
              </w:rPr>
              <w:drawing>
                <wp:inline distT="0" distB="0" distL="0" distR="0">
                  <wp:extent cx="8890" cy="20383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0"/>
                          <a:stretch>
                            <a:fillRect/>
                          </a:stretch>
                        </pic:blipFill>
                        <pic:spPr>
                          <a:xfrm>
                            <a:off x="0" y="0"/>
                            <a:ext cx="9270" cy="204216"/>
                          </a:xfrm>
                          <a:prstGeom prst="rect">
                            <a:avLst/>
                          </a:prstGeom>
                        </pic:spPr>
                      </pic:pic>
                    </a:graphicData>
                  </a:graphic>
                </wp:inline>
              </w:drawing>
            </w:r>
            <w:r>
              <w:rPr>
                <w:spacing w:val="2"/>
                <w:u w:val="single" w:color="auto"/>
                <w:shd w:val="clear" w:fill="D9D9D9"/>
              </w:rPr>
              <w:t>非公开</w:t>
            </w:r>
            <w:r>
              <w:rPr>
                <w:position w:val="-7"/>
              </w:rPr>
              <w:drawing>
                <wp:inline distT="0" distB="0" distL="0" distR="0">
                  <wp:extent cx="8890" cy="20383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6"/>
                          <a:stretch>
                            <a:fillRect/>
                          </a:stretch>
                        </pic:blipFill>
                        <pic:spPr>
                          <a:xfrm>
                            <a:off x="0" y="0"/>
                            <a:ext cx="9270" cy="204216"/>
                          </a:xfrm>
                          <a:prstGeom prst="rect">
                            <a:avLst/>
                          </a:prstGeom>
                        </pic:spPr>
                      </pic:pic>
                    </a:graphicData>
                  </a:graphic>
                </wp:inline>
              </w:drawing>
            </w:r>
            <w:r>
              <w:rPr>
                <w:spacing w:val="2"/>
              </w:rPr>
              <w:t>发行新股</w:t>
            </w:r>
            <w:r>
              <w:rPr>
                <w:spacing w:val="2"/>
                <w:u w:val="single" w:color="auto"/>
              </w:rPr>
              <w:t>，应当符合经国务院批准的</w:t>
            </w:r>
            <w:r>
              <w:rPr>
                <w:spacing w:val="1"/>
                <w:u w:val="single" w:color="auto"/>
              </w:rPr>
              <w:t>国务</w:t>
            </w:r>
            <w:r>
              <w:rPr>
                <w:spacing w:val="1"/>
              </w:rPr>
              <w:t>院证</w:t>
            </w:r>
            <w:r>
              <w:t xml:space="preserve"> </w:t>
            </w:r>
            <w:r>
              <w:rPr>
                <w:spacing w:val="-7"/>
              </w:rPr>
              <w:t>券监督管理机构规定的条件，</w:t>
            </w:r>
            <w:r>
              <w:rPr>
                <w:spacing w:val="70"/>
              </w:rPr>
              <w:t xml:space="preserve"> </w:t>
            </w:r>
            <w:r>
              <w:rPr>
                <w:position w:val="-7"/>
              </w:rPr>
              <w:drawing>
                <wp:inline distT="0" distB="0" distL="0" distR="0">
                  <wp:extent cx="5715" cy="20383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76"/>
                          <a:stretch>
                            <a:fillRect/>
                          </a:stretch>
                        </pic:blipFill>
                        <pic:spPr>
                          <a:xfrm>
                            <a:off x="0" y="0"/>
                            <a:ext cx="6286" cy="204216"/>
                          </a:xfrm>
                          <a:prstGeom prst="rect">
                            <a:avLst/>
                          </a:prstGeom>
                        </pic:spPr>
                      </pic:pic>
                    </a:graphicData>
                  </a:graphic>
                </wp:inline>
              </w:drawing>
            </w:r>
            <w:r>
              <w:rPr>
                <w:spacing w:val="-7"/>
                <w:u w:val="single" w:color="auto"/>
                <w:shd w:val="clear" w:fill="D9D9D9"/>
              </w:rPr>
              <w:t>并报国务院证券监督管理机构核准</w:t>
            </w:r>
            <w:r>
              <w:rPr>
                <w:position w:val="-7"/>
              </w:rPr>
              <w:drawing>
                <wp:inline distT="0" distB="0" distL="0" distR="0">
                  <wp:extent cx="5715" cy="20383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0"/>
                          <a:stretch>
                            <a:fillRect/>
                          </a:stretch>
                        </pic:blipFill>
                        <pic:spPr>
                          <a:xfrm>
                            <a:off x="0" y="0"/>
                            <a:ext cx="6286" cy="204216"/>
                          </a:xfrm>
                          <a:prstGeom prst="rect">
                            <a:avLst/>
                          </a:prstGeom>
                        </pic:spPr>
                      </pic:pic>
                    </a:graphicData>
                  </a:graphic>
                </wp:inline>
              </w:drawing>
            </w:r>
            <w:r>
              <w:rPr>
                <w:spacing w:val="-7"/>
              </w:rPr>
              <w:t>。</w:t>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1" w:hRule="atLeast"/>
        </w:trPr>
        <w:tc>
          <w:tcPr>
            <w:tcW w:w="7095" w:type="dxa"/>
            <w:gridSpan w:val="5"/>
            <w:vAlign w:val="top"/>
          </w:tcPr>
          <w:p>
            <w:pPr>
              <w:pStyle w:val="8"/>
              <w:spacing w:before="45" w:line="219" w:lineRule="auto"/>
              <w:jc w:val="right"/>
            </w:pPr>
            <w:r>
              <w:rPr>
                <w:rFonts w:ascii="黑体" w:hAnsi="黑体" w:eastAsia="黑体" w:cs="黑体"/>
                <w:spacing w:val="-1"/>
              </w:rPr>
              <w:t xml:space="preserve">第十四条  </w:t>
            </w:r>
            <w:r>
              <w:rPr>
                <w:spacing w:val="-1"/>
              </w:rPr>
              <w:t>公司公开发行新股， 应当向国务院证</w:t>
            </w:r>
            <w:r>
              <w:rPr>
                <w:spacing w:val="-2"/>
              </w:rPr>
              <w:t>券监督管理机</w:t>
            </w:r>
          </w:p>
          <w:p>
            <w:pPr>
              <w:pStyle w:val="8"/>
              <w:spacing w:before="27"/>
              <w:ind w:left="13"/>
            </w:pPr>
            <w:r>
              <w:rPr>
                <w:spacing w:val="-6"/>
              </w:rPr>
              <w:t>构报送募股申请和下列文件：</w:t>
            </w:r>
          </w:p>
          <w:p>
            <w:pPr>
              <w:pStyle w:val="8"/>
              <w:spacing w:line="217" w:lineRule="auto"/>
              <w:ind w:left="503"/>
            </w:pPr>
            <w:r>
              <w:rPr>
                <w:spacing w:val="-6"/>
              </w:rPr>
              <w:t>（一）公司营业执照；</w:t>
            </w:r>
          </w:p>
          <w:p>
            <w:pPr>
              <w:pStyle w:val="8"/>
              <w:spacing w:before="27" w:line="217" w:lineRule="auto"/>
              <w:ind w:left="503"/>
            </w:pPr>
            <w:r>
              <w:rPr>
                <w:spacing w:val="-7"/>
              </w:rPr>
              <w:t>（二）公司章程；</w:t>
            </w:r>
          </w:p>
          <w:p>
            <w:pPr>
              <w:pStyle w:val="8"/>
              <w:spacing w:before="30"/>
              <w:ind w:left="503"/>
            </w:pPr>
            <w:r>
              <w:rPr>
                <w:spacing w:val="-6"/>
              </w:rPr>
              <w:t>（三）股东大会决议；</w:t>
            </w:r>
          </w:p>
          <w:p>
            <w:pPr>
              <w:pStyle w:val="8"/>
              <w:spacing w:line="217" w:lineRule="auto"/>
              <w:ind w:left="503"/>
            </w:pPr>
            <w:r>
              <w:rPr>
                <w:spacing w:val="-7"/>
              </w:rPr>
              <w:t>（四）招股说明书；</w:t>
            </w:r>
          </w:p>
          <w:p>
            <w:pPr>
              <w:pStyle w:val="8"/>
              <w:spacing w:before="30" w:line="211" w:lineRule="auto"/>
              <w:ind w:left="503"/>
            </w:pPr>
            <w:r>
              <w:rPr>
                <w:spacing w:val="-6"/>
              </w:rPr>
              <w:t>（五）财务会计报告；</w:t>
            </w:r>
          </w:p>
          <w:tbl>
            <w:tblPr>
              <w:tblStyle w:val="7"/>
              <w:tblW w:w="3854" w:type="dxa"/>
              <w:tblInd w:w="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0"/>
              <w:gridCol w:w="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600" w:type="dxa"/>
                  <w:tcBorders>
                    <w:top w:val="nil"/>
                    <w:left w:val="nil"/>
                  </w:tcBorders>
                  <w:vAlign w:val="top"/>
                </w:tcPr>
                <w:p>
                  <w:pPr>
                    <w:pStyle w:val="8"/>
                    <w:spacing w:before="41" w:line="206" w:lineRule="auto"/>
                  </w:pPr>
                  <w:r>
                    <w:rPr>
                      <w:spacing w:val="-2"/>
                    </w:rPr>
                    <w:t>（六）代收股款银行的名称及地址</w:t>
                  </w:r>
                </w:p>
              </w:tc>
              <w:tc>
                <w:tcPr>
                  <w:tcW w:w="254" w:type="dxa"/>
                  <w:shd w:val="clear" w:color="auto" w:fill="D9D9D9"/>
                  <w:vAlign w:val="top"/>
                </w:tcPr>
                <w:p>
                  <w:pPr>
                    <w:pStyle w:val="8"/>
                    <w:spacing w:before="125" w:line="183" w:lineRule="exact"/>
                    <w:ind w:left="27"/>
                  </w:pPr>
                  <w:r>
                    <w:rPr>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854" w:type="dxa"/>
                  <w:gridSpan w:val="2"/>
                  <w:shd w:val="clear" w:color="auto" w:fill="D9D9D9"/>
                  <w:vAlign w:val="top"/>
                </w:tcPr>
                <w:p>
                  <w:pPr>
                    <w:pStyle w:val="8"/>
                    <w:spacing w:before="48" w:line="207" w:lineRule="auto"/>
                    <w:ind w:left="4"/>
                  </w:pPr>
                  <w:r>
                    <w:rPr>
                      <w:spacing w:val="-3"/>
                    </w:rPr>
                    <w:t>（七）承销机构名称及有关的协议。</w:t>
                  </w:r>
                </w:p>
              </w:tc>
            </w:tr>
          </w:tbl>
          <w:p>
            <w:pPr>
              <w:pStyle w:val="8"/>
              <w:spacing w:before="36" w:line="220" w:lineRule="auto"/>
              <w:ind w:left="14" w:firstLine="494"/>
            </w:pPr>
            <w:r>
              <w:rPr>
                <w:spacing w:val="3"/>
              </w:rPr>
              <w:t>依照本法规定聘请保荐人的，还应当报送保荐人出具的发行保</w:t>
            </w:r>
            <w:r>
              <w:rPr>
                <w:spacing w:val="8"/>
              </w:rPr>
              <w:t xml:space="preserve"> </w:t>
            </w:r>
            <w:r>
              <w:rPr>
                <w:spacing w:val="-14"/>
              </w:rPr>
              <w:t>荐书。</w:t>
            </w:r>
          </w:p>
        </w:tc>
        <w:tc>
          <w:tcPr>
            <w:tcW w:w="6812" w:type="dxa"/>
            <w:vAlign w:val="top"/>
          </w:tcPr>
          <w:p>
            <w:pPr>
              <w:pStyle w:val="8"/>
              <w:spacing w:before="45" w:line="229" w:lineRule="auto"/>
              <w:ind w:left="13" w:right="7" w:firstLine="502"/>
            </w:pPr>
            <w:r>
              <w:rPr>
                <w:rFonts w:ascii="黑体" w:hAnsi="黑体" w:eastAsia="黑体" w:cs="黑体"/>
                <w:spacing w:val="1"/>
              </w:rPr>
              <w:t xml:space="preserve">第十三条  </w:t>
            </w:r>
            <w:r>
              <w:rPr>
                <w:spacing w:val="1"/>
              </w:rPr>
              <w:t>公司公开发行新股，应当报送募股申请和下列文</w:t>
            </w:r>
            <w:r>
              <w:rPr>
                <w:spacing w:val="5"/>
              </w:rPr>
              <w:t xml:space="preserve"> </w:t>
            </w:r>
            <w:r>
              <w:rPr>
                <w:spacing w:val="-18"/>
              </w:rPr>
              <w:t>件：</w:t>
            </w:r>
          </w:p>
          <w:p>
            <w:pPr>
              <w:pStyle w:val="8"/>
              <w:spacing w:before="29" w:line="217" w:lineRule="auto"/>
              <w:ind w:left="506"/>
            </w:pPr>
            <w:r>
              <w:rPr>
                <w:spacing w:val="-6"/>
              </w:rPr>
              <w:t>（一）公司营业执照；</w:t>
            </w:r>
          </w:p>
          <w:p>
            <w:pPr>
              <w:pStyle w:val="8"/>
              <w:spacing w:before="27" w:line="217" w:lineRule="auto"/>
              <w:ind w:left="506"/>
            </w:pPr>
            <w:r>
              <w:rPr>
                <w:spacing w:val="-7"/>
              </w:rPr>
              <w:t>（二）公司章程；</w:t>
            </w:r>
          </w:p>
          <w:p>
            <w:pPr>
              <w:pStyle w:val="8"/>
              <w:spacing w:before="29" w:line="217" w:lineRule="auto"/>
              <w:ind w:left="506"/>
            </w:pPr>
            <w:r>
              <w:rPr>
                <w:spacing w:val="-6"/>
              </w:rPr>
              <w:t>（三）股东大会决议；</w:t>
            </w:r>
          </w:p>
          <w:p>
            <w:pPr>
              <w:pStyle w:val="8"/>
              <w:spacing w:before="29" w:line="221" w:lineRule="auto"/>
              <w:ind w:left="506"/>
            </w:pPr>
            <w:r>
              <w:t>（四）招股说明书</w:t>
            </w:r>
            <w:r>
              <w:rPr>
                <w:rFonts w:ascii="黑体" w:hAnsi="黑体" w:eastAsia="黑体" w:cs="黑体"/>
              </w:rPr>
              <w:t>或其他公开发行募集文件</w:t>
            </w:r>
            <w:r>
              <w:t>；</w:t>
            </w:r>
          </w:p>
          <w:p>
            <w:pPr>
              <w:pStyle w:val="8"/>
              <w:spacing w:before="26" w:line="217" w:lineRule="auto"/>
              <w:ind w:left="506"/>
            </w:pPr>
            <w:r>
              <w:rPr>
                <w:spacing w:val="-7"/>
              </w:rPr>
              <w:t>（五）财务会计报告；</w:t>
            </w:r>
          </w:p>
          <w:p>
            <w:pPr>
              <w:pStyle w:val="8"/>
              <w:spacing w:before="27" w:line="216" w:lineRule="auto"/>
              <w:ind w:left="506"/>
            </w:pPr>
            <w:r>
              <w:rPr>
                <w:spacing w:val="-1"/>
              </w:rPr>
              <w:t>（六）代收股款银行的名称及地址。</w:t>
            </w:r>
          </w:p>
          <w:p>
            <w:pPr>
              <w:pStyle w:val="8"/>
              <w:spacing w:before="31" w:line="233" w:lineRule="auto"/>
              <w:ind w:left="13" w:right="7" w:firstLine="498"/>
              <w:rPr>
                <w:rFonts w:ascii="黑体" w:hAnsi="黑体" w:eastAsia="黑体" w:cs="黑体"/>
              </w:rPr>
            </w:pPr>
            <w:r>
              <w:rPr>
                <w:spacing w:val="-3"/>
              </w:rPr>
              <w:t>依照本法规定聘请保荐人的， 还应当报送保荐人出具</w:t>
            </w:r>
            <w:r>
              <w:rPr>
                <w:spacing w:val="-4"/>
              </w:rPr>
              <w:t>的发行</w:t>
            </w:r>
            <w:r>
              <w:t xml:space="preserve"> </w:t>
            </w:r>
            <w:r>
              <w:rPr>
                <w:spacing w:val="-6"/>
              </w:rPr>
              <w:t xml:space="preserve">保荐书。 </w:t>
            </w:r>
            <w:r>
              <w:rPr>
                <w:rFonts w:ascii="黑体" w:hAnsi="黑体" w:eastAsia="黑体" w:cs="黑体"/>
                <w:spacing w:val="-6"/>
              </w:rPr>
              <w:t>依照本法规定实行承销的， 还应当报送承</w:t>
            </w:r>
            <w:r>
              <w:rPr>
                <w:rFonts w:ascii="黑体" w:hAnsi="黑体" w:eastAsia="黑体" w:cs="黑体"/>
                <w:spacing w:val="-7"/>
              </w:rPr>
              <w:t>销机构名称及</w:t>
            </w:r>
            <w:r>
              <w:rPr>
                <w:rFonts w:ascii="黑体" w:hAnsi="黑体" w:eastAsia="黑体" w:cs="黑体"/>
              </w:rPr>
              <w:t xml:space="preserve"> </w:t>
            </w:r>
            <w:r>
              <w:rPr>
                <w:rFonts w:ascii="黑体" w:hAnsi="黑体" w:eastAsia="黑体" w:cs="黑体"/>
                <w:spacing w:val="-6"/>
              </w:rPr>
              <w:t>有关的协议。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0" w:hRule="atLeast"/>
        </w:trPr>
        <w:tc>
          <w:tcPr>
            <w:tcW w:w="7095" w:type="dxa"/>
            <w:gridSpan w:val="5"/>
            <w:vAlign w:val="top"/>
          </w:tcPr>
          <w:p>
            <w:pPr>
              <w:pStyle w:val="8"/>
              <w:spacing w:before="42" w:line="236" w:lineRule="auto"/>
              <w:ind w:left="16" w:firstLine="496"/>
              <w:jc w:val="both"/>
            </w:pPr>
            <w:r>
              <w:rPr>
                <w:rFonts w:ascii="黑体" w:hAnsi="黑体" w:eastAsia="黑体" w:cs="黑体"/>
                <w:spacing w:val="3"/>
              </w:rPr>
              <w:t xml:space="preserve">第十五条  </w:t>
            </w:r>
            <w:r>
              <w:rPr>
                <w:spacing w:val="3"/>
              </w:rPr>
              <w:t>公司对公开发</w:t>
            </w:r>
            <w:r>
              <w:rPr>
                <w:spacing w:val="3"/>
                <w:u w:val="single" w:color="auto"/>
              </w:rPr>
              <w:t>行股票所募集资</w:t>
            </w:r>
            <w:r>
              <w:rPr>
                <w:spacing w:val="3"/>
              </w:rPr>
              <w:t>金，必须按照招股说</w:t>
            </w:r>
            <w:r>
              <w:t xml:space="preserve"> </w:t>
            </w:r>
            <w:r>
              <w:rPr>
                <w:spacing w:val="-2"/>
              </w:rPr>
              <w:t>明书所列资金用途使用。改变</w:t>
            </w:r>
            <w:r>
              <w:rPr>
                <w:position w:val="-7"/>
              </w:rPr>
              <w:drawing>
                <wp:inline distT="0" distB="0" distL="0" distR="0">
                  <wp:extent cx="9525" cy="20383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0"/>
                          <a:stretch>
                            <a:fillRect/>
                          </a:stretch>
                        </pic:blipFill>
                        <pic:spPr>
                          <a:xfrm>
                            <a:off x="0" y="0"/>
                            <a:ext cx="9529" cy="204216"/>
                          </a:xfrm>
                          <a:prstGeom prst="rect">
                            <a:avLst/>
                          </a:prstGeom>
                        </pic:spPr>
                      </pic:pic>
                    </a:graphicData>
                  </a:graphic>
                </wp:inline>
              </w:drawing>
            </w:r>
            <w:r>
              <w:rPr>
                <w:spacing w:val="-2"/>
                <w:u w:val="single" w:color="auto"/>
                <w:shd w:val="clear" w:fill="D9D9D9"/>
              </w:rPr>
              <w:t>招股说明书所列</w:t>
            </w:r>
            <w:r>
              <w:rPr>
                <w:position w:val="-7"/>
              </w:rPr>
              <w:drawing>
                <wp:inline distT="0" distB="0" distL="0" distR="0">
                  <wp:extent cx="9525" cy="2038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6"/>
                          <a:stretch>
                            <a:fillRect/>
                          </a:stretch>
                        </pic:blipFill>
                        <pic:spPr>
                          <a:xfrm>
                            <a:off x="0" y="0"/>
                            <a:ext cx="9529" cy="204216"/>
                          </a:xfrm>
                          <a:prstGeom prst="rect">
                            <a:avLst/>
                          </a:prstGeom>
                        </pic:spPr>
                      </pic:pic>
                    </a:graphicData>
                  </a:graphic>
                </wp:inline>
              </w:drawing>
            </w:r>
            <w:r>
              <w:rPr>
                <w:spacing w:val="-2"/>
              </w:rPr>
              <w:t>资金用途， 必须经股</w:t>
            </w:r>
            <w:r>
              <w:rPr>
                <w:spacing w:val="6"/>
              </w:rPr>
              <w:t xml:space="preserve"> </w:t>
            </w:r>
            <w:r>
              <w:rPr>
                <w:spacing w:val="-1"/>
              </w:rPr>
              <w:t>东大会作出决议。擅自改变用途而未作纠正的， 或者未经股东大会</w:t>
            </w:r>
            <w:r>
              <w:rPr>
                <w:spacing w:val="12"/>
              </w:rPr>
              <w:t xml:space="preserve"> </w:t>
            </w:r>
            <w:r>
              <w:rPr>
                <w:spacing w:val="-5"/>
              </w:rPr>
              <w:t>认可的，不得公开发行新股。</w:t>
            </w:r>
          </w:p>
        </w:tc>
        <w:tc>
          <w:tcPr>
            <w:tcW w:w="6812" w:type="dxa"/>
            <w:vAlign w:val="top"/>
          </w:tcPr>
          <w:p>
            <w:pPr>
              <w:pStyle w:val="8"/>
              <w:spacing w:before="43" w:line="234" w:lineRule="auto"/>
              <w:ind w:left="16" w:right="4" w:firstLine="499"/>
              <w:jc w:val="both"/>
            </w:pPr>
            <w:r>
              <w:rPr>
                <w:rFonts w:ascii="黑体" w:hAnsi="黑体" w:eastAsia="黑体" w:cs="黑体"/>
                <w:spacing w:val="1"/>
              </w:rPr>
              <w:t xml:space="preserve">第十四条  </w:t>
            </w:r>
            <w:r>
              <w:rPr>
                <w:spacing w:val="1"/>
              </w:rPr>
              <w:t>公司对公开发行股票所募集资金，必须按照招股</w:t>
            </w:r>
            <w:r>
              <w:rPr>
                <w:spacing w:val="5"/>
              </w:rPr>
              <w:t xml:space="preserve"> </w:t>
            </w:r>
            <w:r>
              <w:rPr>
                <w:spacing w:val="2"/>
              </w:rPr>
              <w:t>说明书</w:t>
            </w:r>
            <w:r>
              <w:rPr>
                <w:rFonts w:ascii="黑体" w:hAnsi="黑体" w:eastAsia="黑体" w:cs="黑体"/>
                <w:spacing w:val="2"/>
              </w:rPr>
              <w:t>或其他公开发行募集文件</w:t>
            </w:r>
            <w:r>
              <w:rPr>
                <w:spacing w:val="2"/>
              </w:rPr>
              <w:t>所列资金用途使用；改变资</w:t>
            </w:r>
            <w:r>
              <w:rPr>
                <w:spacing w:val="1"/>
              </w:rPr>
              <w:t>金用</w:t>
            </w:r>
            <w:r>
              <w:t xml:space="preserve"> </w:t>
            </w:r>
            <w:r>
              <w:rPr>
                <w:spacing w:val="-10"/>
              </w:rPr>
              <w:t>途， 必须经股东大会作出决议。 擅自改变用途，未作纠正的， 或</w:t>
            </w:r>
            <w:r>
              <w:rPr>
                <w:spacing w:val="5"/>
              </w:rPr>
              <w:t xml:space="preserve"> </w:t>
            </w:r>
            <w:r>
              <w:rPr>
                <w:spacing w:val="-3"/>
              </w:rPr>
              <w:t>者未经股东大会认可的，不得公开发行新股。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523" w:type="dxa"/>
            <w:gridSpan w:val="2"/>
            <w:vMerge w:val="restart"/>
            <w:tcBorders>
              <w:bottom w:val="nil"/>
              <w:right w:val="nil"/>
            </w:tcBorders>
            <w:vAlign w:val="top"/>
          </w:tcPr>
          <w:p>
            <w:pPr>
              <w:rPr>
                <w:rFonts w:ascii="Arial"/>
                <w:sz w:val="21"/>
              </w:rPr>
            </w:pPr>
          </w:p>
        </w:tc>
        <w:tc>
          <w:tcPr>
            <w:tcW w:w="6572" w:type="dxa"/>
            <w:gridSpan w:val="3"/>
            <w:tcBorders>
              <w:left w:val="nil"/>
              <w:bottom w:val="single" w:color="000000" w:sz="2" w:space="0"/>
            </w:tcBorders>
            <w:vAlign w:val="top"/>
          </w:tcPr>
          <w:p>
            <w:pPr>
              <w:pStyle w:val="8"/>
              <w:spacing w:before="46" w:line="198" w:lineRule="auto"/>
            </w:pPr>
            <w:r>
              <w:rPr>
                <w:rFonts w:ascii="黑体" w:hAnsi="黑体" w:eastAsia="黑体" w:cs="黑体"/>
                <w:spacing w:val="-3"/>
              </w:rPr>
              <w:t xml:space="preserve">第十六条  </w:t>
            </w:r>
            <w:r>
              <w:rPr>
                <w:spacing w:val="-3"/>
              </w:rPr>
              <w:t>公开发行公司债券，应当符合下列条件：</w:t>
            </w:r>
          </w:p>
        </w:tc>
        <w:tc>
          <w:tcPr>
            <w:tcW w:w="6812" w:type="dxa"/>
            <w:vMerge w:val="restart"/>
            <w:tcBorders>
              <w:bottom w:val="nil"/>
            </w:tcBorders>
            <w:vAlign w:val="top"/>
          </w:tcPr>
          <w:p>
            <w:pPr>
              <w:pStyle w:val="8"/>
              <w:spacing w:before="47" w:line="230" w:lineRule="auto"/>
              <w:ind w:left="530" w:right="834" w:hanging="15"/>
            </w:pPr>
            <w:r>
              <w:rPr>
                <w:rFonts w:ascii="黑体" w:hAnsi="黑体" w:eastAsia="黑体" w:cs="黑体"/>
                <w:spacing w:val="-3"/>
              </w:rPr>
              <w:t xml:space="preserve">第十五条  </w:t>
            </w:r>
            <w:r>
              <w:rPr>
                <w:spacing w:val="-3"/>
              </w:rPr>
              <w:t>公开发行公司债券，应当符合下列</w:t>
            </w:r>
            <w:r>
              <w:rPr>
                <w:spacing w:val="-4"/>
              </w:rPr>
              <w:t>条件：</w:t>
            </w:r>
            <w:r>
              <w:t xml:space="preserve"> </w:t>
            </w:r>
            <w:r>
              <w:rPr>
                <w:rFonts w:ascii="黑体" w:hAnsi="黑体" w:eastAsia="黑体" w:cs="黑体"/>
                <w:spacing w:val="-3"/>
              </w:rPr>
              <w:t>（一）具备健全且运行良好的组织机构</w:t>
            </w:r>
            <w:r>
              <w:rPr>
                <w:spacing w:val="-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23" w:type="dxa"/>
            <w:gridSpan w:val="2"/>
            <w:vMerge w:val="continue"/>
            <w:tcBorders>
              <w:top w:val="nil"/>
              <w:right w:val="nil"/>
            </w:tcBorders>
            <w:vAlign w:val="top"/>
          </w:tcPr>
          <w:p>
            <w:pPr>
              <w:rPr>
                <w:rFonts w:ascii="Arial"/>
                <w:sz w:val="21"/>
              </w:rPr>
            </w:pPr>
          </w:p>
        </w:tc>
        <w:tc>
          <w:tcPr>
            <w:tcW w:w="6572" w:type="dxa"/>
            <w:gridSpan w:val="3"/>
            <w:tcBorders>
              <w:top w:val="single" w:color="000000" w:sz="2" w:space="0"/>
              <w:left w:val="single" w:color="000000" w:sz="2" w:space="0"/>
            </w:tcBorders>
            <w:shd w:val="clear" w:color="auto" w:fill="D9D9D9"/>
            <w:vAlign w:val="top"/>
          </w:tcPr>
          <w:p>
            <w:pPr>
              <w:pStyle w:val="8"/>
              <w:spacing w:before="51" w:line="214" w:lineRule="auto"/>
            </w:pPr>
            <w:r>
              <w:rPr>
                <w:spacing w:val="-2"/>
              </w:rPr>
              <w:t>（一）股份有限公司的净资产不低于人民币三千</w:t>
            </w:r>
            <w:r>
              <w:rPr>
                <w:spacing w:val="-3"/>
              </w:rPr>
              <w:t>万元， 有限责</w:t>
            </w:r>
          </w:p>
        </w:tc>
        <w:tc>
          <w:tcPr>
            <w:tcW w:w="681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45" w:h="11910"/>
          <w:pgMar w:top="1012" w:right="1501" w:bottom="1154"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3"/>
        <w:gridCol w:w="2388"/>
        <w:gridCol w:w="1439"/>
        <w:gridCol w:w="1938"/>
        <w:gridCol w:w="809"/>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4350" w:type="dxa"/>
            <w:gridSpan w:val="3"/>
            <w:tcBorders>
              <w:bottom w:val="single" w:color="000000" w:sz="2" w:space="0"/>
              <w:right w:val="single" w:color="000000" w:sz="2" w:space="0"/>
            </w:tcBorders>
            <w:shd w:val="clear" w:color="auto" w:fill="D9D9D9"/>
            <w:vAlign w:val="top"/>
          </w:tcPr>
          <w:p>
            <w:pPr>
              <w:pStyle w:val="8"/>
              <w:spacing w:before="53" w:line="208" w:lineRule="auto"/>
              <w:ind w:left="27"/>
            </w:pPr>
            <w:r>
              <w:rPr>
                <w:spacing w:val="-4"/>
              </w:rPr>
              <w:t>任公司的净资产不低于人民币六千万元；</w:t>
            </w:r>
          </w:p>
        </w:tc>
        <w:tc>
          <w:tcPr>
            <w:tcW w:w="1938" w:type="dxa"/>
            <w:tcBorders>
              <w:left w:val="single" w:color="000000" w:sz="2" w:space="0"/>
              <w:bottom w:val="single" w:color="000000" w:sz="2" w:space="0"/>
              <w:right w:val="nil"/>
            </w:tcBorders>
            <w:vAlign w:val="top"/>
          </w:tcPr>
          <w:p>
            <w:pPr>
              <w:rPr>
                <w:rFonts w:ascii="Arial"/>
                <w:sz w:val="21"/>
              </w:rPr>
            </w:pPr>
          </w:p>
        </w:tc>
        <w:tc>
          <w:tcPr>
            <w:tcW w:w="809" w:type="dxa"/>
            <w:vMerge w:val="restart"/>
            <w:tcBorders>
              <w:left w:val="nil"/>
              <w:bottom w:val="nil"/>
            </w:tcBorders>
            <w:vAlign w:val="top"/>
          </w:tcPr>
          <w:p>
            <w:pPr>
              <w:rPr>
                <w:rFonts w:ascii="Arial"/>
                <w:sz w:val="21"/>
              </w:rPr>
            </w:pPr>
          </w:p>
        </w:tc>
        <w:tc>
          <w:tcPr>
            <w:tcW w:w="6810" w:type="dxa"/>
            <w:vMerge w:val="restart"/>
            <w:tcBorders>
              <w:bottom w:val="nil"/>
            </w:tcBorders>
            <w:vAlign w:val="top"/>
          </w:tcPr>
          <w:p>
            <w:pPr>
              <w:pStyle w:val="8"/>
              <w:spacing w:before="38" w:line="230" w:lineRule="auto"/>
              <w:ind w:left="31" w:right="4" w:firstLine="498"/>
            </w:pPr>
            <w:r>
              <w:rPr>
                <w:rFonts w:ascii="黑体" w:hAnsi="黑体" w:eastAsia="黑体" w:cs="黑体"/>
                <w:spacing w:val="1"/>
              </w:rPr>
              <w:t>（二）</w:t>
            </w:r>
            <w:r>
              <w:rPr>
                <w:spacing w:val="1"/>
              </w:rPr>
              <w:t>最近三年平均可分配利润足以支付公</w:t>
            </w:r>
            <w:r>
              <w:t xml:space="preserve">司债券一年的利 </w:t>
            </w:r>
            <w:r>
              <w:rPr>
                <w:spacing w:val="-23"/>
              </w:rPr>
              <w:t>息；</w:t>
            </w:r>
          </w:p>
          <w:p>
            <w:pPr>
              <w:pStyle w:val="8"/>
              <w:spacing w:before="26" w:line="220" w:lineRule="auto"/>
              <w:ind w:left="529"/>
            </w:pPr>
            <w:r>
              <w:rPr>
                <w:rFonts w:ascii="黑体" w:hAnsi="黑体" w:eastAsia="黑体" w:cs="黑体"/>
                <w:spacing w:val="-13"/>
              </w:rPr>
              <w:t xml:space="preserve">（三） </w:t>
            </w:r>
            <w:r>
              <w:rPr>
                <w:spacing w:val="-13"/>
              </w:rPr>
              <w:t>国务院规定的其他条件。</w:t>
            </w:r>
          </w:p>
          <w:p>
            <w:pPr>
              <w:pStyle w:val="8"/>
              <w:spacing w:before="23" w:line="234" w:lineRule="auto"/>
              <w:ind w:left="14" w:right="4" w:firstLine="498"/>
            </w:pPr>
            <w:r>
              <w:rPr>
                <w:spacing w:val="1"/>
              </w:rPr>
              <w:t>公开发行公司债券筹集的资金，</w:t>
            </w:r>
            <w:r>
              <w:rPr>
                <w:rFonts w:ascii="黑体" w:hAnsi="黑体" w:eastAsia="黑体" w:cs="黑体"/>
                <w:spacing w:val="1"/>
              </w:rPr>
              <w:t>必须按照公司债券募集办法</w:t>
            </w:r>
            <w:r>
              <w:rPr>
                <w:rFonts w:ascii="黑体" w:hAnsi="黑体" w:eastAsia="黑体" w:cs="黑体"/>
                <w:spacing w:val="10"/>
              </w:rPr>
              <w:t xml:space="preserve"> </w:t>
            </w:r>
            <w:r>
              <w:rPr>
                <w:rFonts w:ascii="黑体" w:hAnsi="黑体" w:eastAsia="黑体" w:cs="黑体"/>
                <w:spacing w:val="-3"/>
              </w:rPr>
              <w:t>所列资金用途使用；改变资金用途， 必须经债券持有人会议作出</w:t>
            </w:r>
            <w:r>
              <w:rPr>
                <w:rFonts w:ascii="黑体" w:hAnsi="黑体" w:eastAsia="黑体" w:cs="黑体"/>
                <w:spacing w:val="18"/>
              </w:rPr>
              <w:t xml:space="preserve"> </w:t>
            </w:r>
            <w:r>
              <w:rPr>
                <w:rFonts w:ascii="黑体" w:hAnsi="黑体" w:eastAsia="黑体" w:cs="黑体"/>
                <w:spacing w:val="2"/>
              </w:rPr>
              <w:t>决议。公开发行公司债券募集的资金，</w:t>
            </w:r>
            <w:r>
              <w:rPr>
                <w:spacing w:val="2"/>
              </w:rPr>
              <w:t>不得用于弥补亏损和</w:t>
            </w:r>
            <w:r>
              <w:rPr>
                <w:spacing w:val="1"/>
              </w:rPr>
              <w:t>非生</w:t>
            </w:r>
            <w:r>
              <w:t xml:space="preserve"> </w:t>
            </w:r>
            <w:r>
              <w:rPr>
                <w:spacing w:val="-10"/>
              </w:rPr>
              <w:t>产性支出。</w:t>
            </w:r>
          </w:p>
          <w:p>
            <w:pPr>
              <w:pStyle w:val="8"/>
              <w:spacing w:before="31" w:line="235" w:lineRule="auto"/>
              <w:ind w:left="12" w:right="4" w:firstLine="506"/>
              <w:rPr>
                <w:rFonts w:ascii="黑体" w:hAnsi="黑体" w:eastAsia="黑体" w:cs="黑体"/>
              </w:rPr>
            </w:pPr>
            <w:r>
              <w:rPr>
                <w:spacing w:val="1"/>
              </w:rPr>
              <w:t>上市公司发行可转换为股票的公司债券，除应当符合</w:t>
            </w:r>
            <w:r>
              <w:rPr>
                <w:rFonts w:ascii="黑体" w:hAnsi="黑体" w:eastAsia="黑体" w:cs="黑体"/>
                <w:spacing w:val="1"/>
              </w:rPr>
              <w:t>第一款</w:t>
            </w:r>
            <w:r>
              <w:rPr>
                <w:rFonts w:ascii="黑体" w:hAnsi="黑体" w:eastAsia="黑体" w:cs="黑体"/>
                <w:spacing w:val="3"/>
              </w:rPr>
              <w:t xml:space="preserve"> </w:t>
            </w:r>
            <w:r>
              <w:rPr>
                <w:spacing w:val="2"/>
              </w:rPr>
              <w:t>规定的条件外，还应当</w:t>
            </w:r>
            <w:r>
              <w:rPr>
                <w:rFonts w:ascii="黑体" w:hAnsi="黑体" w:eastAsia="黑体" w:cs="黑体"/>
                <w:spacing w:val="2"/>
              </w:rPr>
              <w:t>遵守本法第十二条第二款的规定</w:t>
            </w:r>
            <w:r>
              <w:rPr>
                <w:spacing w:val="1"/>
              </w:rPr>
              <w:t>。</w:t>
            </w:r>
            <w:r>
              <w:rPr>
                <w:rFonts w:ascii="黑体" w:hAnsi="黑体" w:eastAsia="黑体" w:cs="黑体"/>
                <w:spacing w:val="1"/>
              </w:rPr>
              <w:t>但是，</w:t>
            </w:r>
            <w:r>
              <w:rPr>
                <w:rFonts w:ascii="黑体" w:hAnsi="黑体" w:eastAsia="黑体" w:cs="黑体"/>
              </w:rPr>
              <w:t xml:space="preserve"> </w:t>
            </w:r>
            <w:r>
              <w:rPr>
                <w:rFonts w:ascii="黑体" w:hAnsi="黑体" w:eastAsia="黑体" w:cs="黑体"/>
                <w:spacing w:val="2"/>
              </w:rPr>
              <w:t>按照公司债券募集办法，上市公司通过收购本公司股份的方</w:t>
            </w:r>
            <w:r>
              <w:rPr>
                <w:rFonts w:ascii="黑体" w:hAnsi="黑体" w:eastAsia="黑体" w:cs="黑体"/>
                <w:spacing w:val="1"/>
              </w:rPr>
              <w:t>式进</w:t>
            </w:r>
            <w:r>
              <w:rPr>
                <w:rFonts w:ascii="黑体" w:hAnsi="黑体" w:eastAsia="黑体" w:cs="黑体"/>
              </w:rPr>
              <w:t xml:space="preserve"> </w:t>
            </w:r>
            <w:r>
              <w:rPr>
                <w:rFonts w:ascii="黑体" w:hAnsi="黑体" w:eastAsia="黑体" w:cs="黑体"/>
                <w:spacing w:val="-3"/>
              </w:rPr>
              <w:t>行公司债券转换的除外。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23" w:type="dxa"/>
            <w:tcBorders>
              <w:top w:val="single" w:color="000000" w:sz="2" w:space="0"/>
              <w:bottom w:val="nil"/>
              <w:right w:val="single" w:color="000000" w:sz="2" w:space="0"/>
            </w:tcBorders>
            <w:vAlign w:val="top"/>
          </w:tcPr>
          <w:p>
            <w:pPr>
              <w:rPr>
                <w:rFonts w:ascii="Arial"/>
                <w:sz w:val="21"/>
              </w:rPr>
            </w:pPr>
          </w:p>
        </w:tc>
        <w:tc>
          <w:tcPr>
            <w:tcW w:w="5765" w:type="dxa"/>
            <w:gridSpan w:val="3"/>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6" w:line="202" w:lineRule="auto"/>
            </w:pPr>
            <w:r>
              <w:rPr>
                <w:spacing w:val="-3"/>
              </w:rPr>
              <w:t>（二）累计债券余额不超过公司净资产的百分之四十；</w:t>
            </w:r>
          </w:p>
        </w:tc>
        <w:tc>
          <w:tcPr>
            <w:tcW w:w="809" w:type="dxa"/>
            <w:vMerge w:val="continue"/>
            <w:tcBorders>
              <w:top w:val="nil"/>
              <w:left w:val="nil"/>
              <w:bottom w:val="nil"/>
            </w:tcBorders>
            <w:vAlign w:val="top"/>
          </w:tcPr>
          <w:p>
            <w:pPr>
              <w:rPr>
                <w:rFonts w:ascii="Arial"/>
                <w:sz w:val="21"/>
              </w:rPr>
            </w:pP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7" w:hRule="atLeast"/>
        </w:trPr>
        <w:tc>
          <w:tcPr>
            <w:tcW w:w="7097" w:type="dxa"/>
            <w:gridSpan w:val="5"/>
            <w:tcBorders>
              <w:top w:val="single" w:color="000000" w:sz="2" w:space="0"/>
              <w:bottom w:val="single" w:color="000000" w:sz="2" w:space="0"/>
            </w:tcBorders>
            <w:vAlign w:val="top"/>
          </w:tcPr>
          <w:p>
            <w:pPr>
              <w:pStyle w:val="8"/>
              <w:spacing w:before="40" w:line="226" w:lineRule="auto"/>
              <w:ind w:left="30" w:firstLine="473"/>
            </w:pPr>
            <w:r>
              <w:pict>
                <v:group id="_x0000_s1028" o:spid="_x0000_s1028" o:spt="203" style="position:absolute;left:0pt;margin-left:73.6pt;margin-top:128pt;height:16.1pt;width:280.5pt;mso-position-horizontal-relative:page;mso-position-vertical-relative:page;z-index:251663360;mso-width-relative:page;mso-height-relative:page;" coordsize="5610,322">
                  <o:lock v:ext="edit"/>
                  <v:rect id="_x0000_s1029" o:spid="_x0000_s1029" o:spt="1" style="position:absolute;left:9;top:9;height:312;width:5600;" fillcolor="#D9D9D9" filled="t" stroked="f" coordsize="21600,21600">
                    <v:path/>
                    <v:fill on="t" focussize="0,0"/>
                    <v:stroke on="f"/>
                    <v:imagedata o:title=""/>
                    <o:lock v:ext="edit"/>
                  </v:rect>
                  <v:shape id="_x0000_s1030" o:spid="_x0000_s1030" o:spt="202" type="#_x0000_t202" style="position:absolute;left:-20;top:-10;height:362;width:5647;" filled="f" stroked="f" coordsize="21600,21600">
                    <v:path/>
                    <v:fill on="f" focussize="0,0"/>
                    <v:stroke on="f"/>
                    <v:imagedata o:title=""/>
                    <o:lock v:ext="edit" aspectratio="f"/>
                    <v:textbox inset="0mm,0mm,0mm,0mm">
                      <w:txbxContent>
                        <w:p>
                          <w:pPr>
                            <w:pStyle w:val="8"/>
                            <w:spacing w:before="20"/>
                            <w:ind w:left="20"/>
                          </w:pPr>
                          <w:r>
                            <w:rPr>
                              <w:position w:val="-6"/>
                            </w:rPr>
                            <w:drawing>
                              <wp:inline distT="0" distB="0" distL="0" distR="0">
                                <wp:extent cx="5715" cy="1981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6"/>
                                        <a:stretch>
                                          <a:fillRect/>
                                        </a:stretch>
                                      </pic:blipFill>
                                      <pic:spPr>
                                        <a:xfrm>
                                          <a:off x="0" y="0"/>
                                          <a:ext cx="6095" cy="198120"/>
                                        </a:xfrm>
                                        <a:prstGeom prst="rect">
                                          <a:avLst/>
                                        </a:prstGeom>
                                      </pic:spPr>
                                    </pic:pic>
                                  </a:graphicData>
                                </a:graphic>
                              </wp:inline>
                            </w:drawing>
                          </w:r>
                          <w:r>
                            <w:rPr>
                              <w:spacing w:val="-2"/>
                            </w:rPr>
                            <w:t>还应当符合本法关于公开发行股票的条件， 并报国务</w:t>
                          </w:r>
                        </w:p>
                      </w:txbxContent>
                    </v:textbox>
                  </v:shape>
                  <v:shape id="_x0000_s1031" o:spid="_x0000_s1031" style="position:absolute;left:0;top:0;height:10;width:5610;" fillcolor="#000000" filled="t" stroked="f" coordsize="5610,10" path="m0,0l9,0,9,9,0,9,0,0xem0,0l9,0,9,9,0,9,0,0xem9,0l5609,0,5609,9,9,9,9,0xe">
                    <v:path/>
                    <v:fill on="t" focussize="0,0"/>
                    <v:stroke on="f"/>
                    <v:imagedata o:title=""/>
                    <o:lock v:ext="edit"/>
                  </v:shape>
                </v:group>
              </w:pict>
            </w:r>
            <w:r>
              <w:rPr>
                <w:spacing w:val="13"/>
              </w:rPr>
              <w:t>（三）最近三年平均可分配利润足以支付公司债券一年的利</w:t>
            </w:r>
            <w:r>
              <w:t xml:space="preserve"> </w:t>
            </w:r>
            <w:r>
              <w:rPr>
                <w:spacing w:val="-23"/>
              </w:rPr>
              <w:t>息；</w:t>
            </w:r>
          </w:p>
          <w:tbl>
            <w:tblPr>
              <w:tblStyle w:val="7"/>
              <w:tblW w:w="5294" w:type="dxa"/>
              <w:tblInd w:w="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0"/>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570" w:type="dxa"/>
                  <w:shd w:val="clear" w:color="auto" w:fill="D9D9D9"/>
                  <w:vAlign w:val="top"/>
                </w:tcPr>
                <w:p>
                  <w:pPr>
                    <w:pStyle w:val="8"/>
                    <w:spacing w:before="41" w:line="209" w:lineRule="auto"/>
                    <w:ind w:left="4"/>
                  </w:pPr>
                  <w:r>
                    <w:rPr>
                      <w:spacing w:val="-4"/>
                    </w:rPr>
                    <w:t>（四）筹集的资金投向符合国家产业政策；</w:t>
                  </w:r>
                </w:p>
              </w:tc>
              <w:tc>
                <w:tcPr>
                  <w:tcW w:w="724"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294" w:type="dxa"/>
                  <w:gridSpan w:val="2"/>
                  <w:shd w:val="clear" w:color="auto" w:fill="D9D9D9"/>
                  <w:vAlign w:val="top"/>
                </w:tcPr>
                <w:p>
                  <w:pPr>
                    <w:pStyle w:val="8"/>
                    <w:spacing w:before="44" w:line="207" w:lineRule="auto"/>
                    <w:ind w:left="4"/>
                  </w:pPr>
                  <w:r>
                    <w:rPr>
                      <w:spacing w:val="-3"/>
                    </w:rPr>
                    <w:t>（五）债券的利率不超过国务院限定的利率水平；</w:t>
                  </w:r>
                </w:p>
              </w:tc>
            </w:tr>
          </w:tbl>
          <w:p>
            <w:pPr>
              <w:pStyle w:val="8"/>
              <w:spacing w:before="34" w:line="217" w:lineRule="auto"/>
              <w:ind w:left="503"/>
            </w:pPr>
            <w:r>
              <w:rPr>
                <w:spacing w:val="-4"/>
              </w:rPr>
              <w:t>（六）国务院规定的其他条件。</w:t>
            </w:r>
          </w:p>
          <w:p>
            <w:pPr>
              <w:pStyle w:val="8"/>
              <w:spacing w:before="43" w:line="230" w:lineRule="auto"/>
              <w:ind w:left="24" w:right="1" w:firstLine="487"/>
            </w:pPr>
            <w:r>
              <w:pict>
                <v:shape id="_x0000_s1032" o:spid="_x0000_s1032" o:spt="202" type="#_x0000_t202" style="position:absolute;left:0pt;margin-left:218.6pt;margin-top:-1.15pt;height:18.6pt;width:100.2pt;z-index:2516623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95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1958" w:type="dxa"/>
                              <w:vAlign w:val="top"/>
                            </w:tcPr>
                            <w:p>
                              <w:pPr>
                                <w:pStyle w:val="8"/>
                                <w:spacing w:before="41" w:line="207" w:lineRule="auto"/>
                                <w:ind w:left="13"/>
                              </w:pPr>
                              <w:r>
                                <w:rPr>
                                  <w:spacing w:val="-10"/>
                                  <w:shd w:val="clear" w:fill="D9D9D9"/>
                                </w:rPr>
                                <w:t>用于核准的用途，</w:t>
                              </w:r>
                              <w:r>
                                <w:rPr>
                                  <w:shd w:val="clear" w:fill="D9D9D9"/>
                                </w:rPr>
                                <w:t xml:space="preserve"> </w:t>
                              </w:r>
                            </w:p>
                          </w:tc>
                        </w:tr>
                      </w:tbl>
                      <w:p>
                        <w:pPr>
                          <w:rPr>
                            <w:rFonts w:ascii="Arial"/>
                            <w:sz w:val="21"/>
                          </w:rPr>
                        </w:pPr>
                      </w:p>
                    </w:txbxContent>
                  </v:textbox>
                </v:shape>
              </w:pict>
            </w:r>
            <w:r>
              <w:rPr>
                <w:spacing w:val="-5"/>
              </w:rPr>
              <w:t>公开发行公司债券筹集的资金， 必须</w:t>
            </w:r>
            <w:r>
              <w:rPr>
                <w:spacing w:val="4"/>
              </w:rPr>
              <w:t xml:space="preserve">                </w:t>
            </w:r>
            <w:r>
              <w:rPr>
                <w:spacing w:val="-5"/>
              </w:rPr>
              <w:t>不得用</w:t>
            </w:r>
            <w:r>
              <w:rPr>
                <w:spacing w:val="2"/>
              </w:rPr>
              <w:t xml:space="preserve"> </w:t>
            </w:r>
            <w:r>
              <w:rPr>
                <w:spacing w:val="-4"/>
              </w:rPr>
              <w:t>于弥补亏损和非生产性支出。</w:t>
            </w:r>
          </w:p>
          <w:p>
            <w:pPr>
              <w:pStyle w:val="8"/>
              <w:spacing w:before="33" w:line="225" w:lineRule="auto"/>
              <w:ind w:left="16" w:firstLine="502"/>
            </w:pPr>
            <w:r>
              <w:rPr>
                <w:spacing w:val="3"/>
              </w:rPr>
              <w:t>上市公司发行可转换为股票的公司债券，除应当符合第一款规</w:t>
            </w:r>
            <w:r>
              <w:rPr>
                <w:spacing w:val="1"/>
              </w:rPr>
              <w:t xml:space="preserve"> </w:t>
            </w:r>
            <w:r>
              <w:rPr>
                <w:spacing w:val="-1"/>
              </w:rPr>
              <w:t>定的条件外，</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911" w:type="dxa"/>
            <w:gridSpan w:val="2"/>
            <w:tcBorders>
              <w:top w:val="single" w:color="000000" w:sz="2" w:space="0"/>
              <w:right w:val="single" w:color="000000" w:sz="2" w:space="0"/>
            </w:tcBorders>
            <w:shd w:val="clear" w:color="auto" w:fill="D9D9D9"/>
            <w:vAlign w:val="top"/>
          </w:tcPr>
          <w:p>
            <w:pPr>
              <w:pStyle w:val="8"/>
              <w:spacing w:before="51" w:line="204" w:lineRule="auto"/>
              <w:ind w:left="39"/>
            </w:pPr>
            <w:r>
              <w:rPr>
                <w:spacing w:val="-6"/>
              </w:rPr>
              <w:t>院证券监督管理机构核准。</w:t>
            </w:r>
          </w:p>
        </w:tc>
        <w:tc>
          <w:tcPr>
            <w:tcW w:w="4186" w:type="dxa"/>
            <w:gridSpan w:val="3"/>
            <w:tcBorders>
              <w:top w:val="single" w:color="000000" w:sz="2" w:space="0"/>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8" w:hRule="atLeast"/>
        </w:trPr>
        <w:tc>
          <w:tcPr>
            <w:tcW w:w="7097" w:type="dxa"/>
            <w:gridSpan w:val="5"/>
            <w:vAlign w:val="top"/>
          </w:tcPr>
          <w:p>
            <w:pPr>
              <w:pStyle w:val="8"/>
              <w:spacing w:before="49" w:line="228" w:lineRule="auto"/>
              <w:ind w:left="13" w:firstLine="499"/>
            </w:pPr>
            <w:r>
              <w:rPr>
                <w:rFonts w:ascii="黑体" w:hAnsi="黑体" w:eastAsia="黑体" w:cs="黑体"/>
                <w:spacing w:val="-1"/>
              </w:rPr>
              <w:t xml:space="preserve">第十七条  </w:t>
            </w:r>
            <w:r>
              <w:rPr>
                <w:spacing w:val="-1"/>
              </w:rPr>
              <w:t>申请公开发行公司债券， 应当向国务院授</w:t>
            </w:r>
            <w:r>
              <w:rPr>
                <w:spacing w:val="-2"/>
              </w:rPr>
              <w:t>权的部门</w:t>
            </w:r>
            <w:r>
              <w:t xml:space="preserve"> </w:t>
            </w:r>
            <w:r>
              <w:rPr>
                <w:spacing w:val="-4"/>
              </w:rPr>
              <w:t>或者国务院证券监督管理机构报送下列文件：</w:t>
            </w:r>
          </w:p>
          <w:p>
            <w:pPr>
              <w:pStyle w:val="8"/>
              <w:spacing w:before="29" w:line="217" w:lineRule="auto"/>
              <w:ind w:left="503"/>
            </w:pPr>
            <w:r>
              <w:rPr>
                <w:spacing w:val="-6"/>
              </w:rPr>
              <w:t>（一）公司营业执照；</w:t>
            </w:r>
          </w:p>
          <w:p>
            <w:pPr>
              <w:pStyle w:val="8"/>
              <w:spacing w:before="30" w:line="217" w:lineRule="auto"/>
              <w:ind w:left="503"/>
            </w:pPr>
            <w:r>
              <w:rPr>
                <w:spacing w:val="-7"/>
              </w:rPr>
              <w:t>（二）公司章程；</w:t>
            </w:r>
          </w:p>
          <w:p>
            <w:pPr>
              <w:pStyle w:val="8"/>
              <w:spacing w:before="27" w:line="213" w:lineRule="auto"/>
              <w:ind w:left="503"/>
            </w:pPr>
            <w:r>
              <w:rPr>
                <w:spacing w:val="-5"/>
              </w:rPr>
              <w:t>（三）公司债券募集办法；</w:t>
            </w:r>
          </w:p>
          <w:tbl>
            <w:tblPr>
              <w:tblStyle w:val="7"/>
              <w:tblW w:w="3614" w:type="dxa"/>
              <w:tblInd w:w="5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6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3614" w:type="dxa"/>
                  <w:vAlign w:val="top"/>
                </w:tcPr>
                <w:p>
                  <w:pPr>
                    <w:pStyle w:val="8"/>
                    <w:tabs>
                      <w:tab w:val="left" w:pos="123"/>
                    </w:tabs>
                    <w:spacing w:before="41" w:line="207" w:lineRule="auto"/>
                    <w:ind w:left="4"/>
                  </w:pPr>
                  <w:r>
                    <w:rPr>
                      <w:shd w:val="clear" w:fill="D9D9D9"/>
                    </w:rPr>
                    <w:tab/>
                  </w:r>
                  <w:r>
                    <w:rPr>
                      <w:spacing w:val="-21"/>
                      <w:shd w:val="clear" w:fill="D9D9D9"/>
                    </w:rPr>
                    <w:t>（四）资产评估报告和验资报告；</w:t>
                  </w:r>
                  <w:r>
                    <w:rPr>
                      <w:spacing w:val="5"/>
                      <w:shd w:val="clear" w:fill="D9D9D9"/>
                    </w:rPr>
                    <w:t xml:space="preserve">  </w:t>
                  </w:r>
                </w:p>
              </w:tc>
            </w:tr>
          </w:tbl>
          <w:p>
            <w:pPr>
              <w:pStyle w:val="8"/>
              <w:spacing w:before="36" w:line="228" w:lineRule="auto"/>
              <w:ind w:left="13" w:right="27" w:firstLine="490"/>
            </w:pPr>
            <w:r>
              <w:rPr>
                <w:spacing w:val="2"/>
              </w:rPr>
              <w:t>（五）国务院授权的部门或者国务院证券监督管理机构规定的</w:t>
            </w:r>
            <w:r>
              <w:rPr>
                <w:spacing w:val="15"/>
              </w:rPr>
              <w:t xml:space="preserve"> </w:t>
            </w:r>
            <w:r>
              <w:rPr>
                <w:spacing w:val="-10"/>
              </w:rPr>
              <w:t>其他文件。</w:t>
            </w:r>
          </w:p>
          <w:p>
            <w:pPr>
              <w:pStyle w:val="8"/>
              <w:spacing w:before="29" w:line="228" w:lineRule="auto"/>
              <w:ind w:left="14" w:firstLine="494"/>
            </w:pPr>
            <w:r>
              <w:rPr>
                <w:spacing w:val="3"/>
              </w:rPr>
              <w:t>依照本法规定聘请保荐人的，还应当报送保荐人出具的发行保</w:t>
            </w:r>
            <w:r>
              <w:rPr>
                <w:spacing w:val="10"/>
              </w:rPr>
              <w:t xml:space="preserve"> </w:t>
            </w:r>
            <w:r>
              <w:rPr>
                <w:spacing w:val="-14"/>
              </w:rPr>
              <w:t>荐书。</w:t>
            </w:r>
          </w:p>
        </w:tc>
        <w:tc>
          <w:tcPr>
            <w:tcW w:w="6810" w:type="dxa"/>
            <w:vAlign w:val="top"/>
          </w:tcPr>
          <w:p>
            <w:pPr>
              <w:pStyle w:val="8"/>
              <w:spacing w:before="49" w:line="228" w:lineRule="auto"/>
              <w:ind w:left="41" w:right="4" w:firstLine="472"/>
            </w:pPr>
            <w:r>
              <w:rPr>
                <w:rFonts w:ascii="黑体" w:hAnsi="黑体" w:eastAsia="黑体" w:cs="黑体"/>
                <w:spacing w:val="1"/>
              </w:rPr>
              <w:t xml:space="preserve">第十六条  </w:t>
            </w:r>
            <w:r>
              <w:rPr>
                <w:spacing w:val="1"/>
              </w:rPr>
              <w:t>申请公开发行公司债券，应当向国务院授权的部</w:t>
            </w:r>
            <w:r>
              <w:rPr>
                <w:spacing w:val="8"/>
              </w:rPr>
              <w:t xml:space="preserve"> </w:t>
            </w:r>
            <w:r>
              <w:rPr>
                <w:spacing w:val="-5"/>
              </w:rPr>
              <w:t>门或者国务院证券监督管理机构报送下列文件：</w:t>
            </w:r>
          </w:p>
          <w:p>
            <w:pPr>
              <w:pStyle w:val="8"/>
              <w:spacing w:before="30" w:line="217" w:lineRule="auto"/>
              <w:ind w:left="504"/>
            </w:pPr>
            <w:r>
              <w:rPr>
                <w:spacing w:val="-6"/>
              </w:rPr>
              <w:t>（一）公司营业执照；</w:t>
            </w:r>
          </w:p>
          <w:p>
            <w:pPr>
              <w:pStyle w:val="8"/>
              <w:spacing w:before="30" w:line="217" w:lineRule="auto"/>
              <w:ind w:left="504"/>
            </w:pPr>
            <w:r>
              <w:rPr>
                <w:spacing w:val="-7"/>
              </w:rPr>
              <w:t>（二）公司章程；</w:t>
            </w:r>
          </w:p>
          <w:p>
            <w:pPr>
              <w:pStyle w:val="8"/>
              <w:spacing w:before="26" w:line="216" w:lineRule="auto"/>
              <w:ind w:left="504"/>
            </w:pPr>
            <w:r>
              <w:rPr>
                <w:spacing w:val="-5"/>
              </w:rPr>
              <w:t>（三）公司债券募集办法；</w:t>
            </w:r>
          </w:p>
          <w:p>
            <w:pPr>
              <w:pStyle w:val="8"/>
              <w:spacing w:before="32" w:line="228" w:lineRule="auto"/>
              <w:ind w:left="35" w:right="4" w:firstLine="469"/>
            </w:pPr>
            <w:r>
              <w:rPr>
                <w:spacing w:val="-1"/>
              </w:rPr>
              <w:t>（四）</w:t>
            </w:r>
            <w:r>
              <w:rPr>
                <w:spacing w:val="-50"/>
              </w:rPr>
              <w:t xml:space="preserve"> </w:t>
            </w:r>
            <w:r>
              <w:rPr>
                <w:spacing w:val="-1"/>
              </w:rPr>
              <w:t>国务院授权的部门或者国务院证券监督管理机构规定</w:t>
            </w:r>
            <w:r>
              <w:t xml:space="preserve"> </w:t>
            </w:r>
            <w:r>
              <w:rPr>
                <w:spacing w:val="-11"/>
              </w:rPr>
              <w:t>的其他文件。</w:t>
            </w:r>
          </w:p>
          <w:p>
            <w:pPr>
              <w:pStyle w:val="8"/>
              <w:spacing w:before="30" w:line="227" w:lineRule="auto"/>
              <w:ind w:left="11" w:right="7" w:firstLine="479"/>
            </w:pPr>
            <w:r>
              <w:rPr>
                <w:spacing w:val="2"/>
              </w:rPr>
              <w:t>依照本法规定聘请保荐人的，还应当报送保荐人出具的发行</w:t>
            </w:r>
            <w:r>
              <w:rPr>
                <w:spacing w:val="3"/>
              </w:rPr>
              <w:t xml:space="preserve"> </w:t>
            </w:r>
            <w:r>
              <w:rPr>
                <w:spacing w:val="-11"/>
              </w:rPr>
              <w:t>保荐书。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4" w:hRule="atLeast"/>
        </w:trPr>
        <w:tc>
          <w:tcPr>
            <w:tcW w:w="7097" w:type="dxa"/>
            <w:gridSpan w:val="5"/>
            <w:vAlign w:val="top"/>
          </w:tcPr>
          <w:p>
            <w:pPr>
              <w:pStyle w:val="8"/>
              <w:spacing w:before="45" w:line="214" w:lineRule="auto"/>
              <w:ind w:left="513"/>
            </w:pPr>
            <w:r>
              <w:rPr>
                <w:rFonts w:ascii="黑体" w:hAnsi="黑体" w:eastAsia="黑体" w:cs="黑体"/>
                <w:spacing w:val="-3"/>
              </w:rPr>
              <w:t xml:space="preserve">第十八条  </w:t>
            </w:r>
            <w:r>
              <w:rPr>
                <w:spacing w:val="-3"/>
              </w:rPr>
              <w:t>有下列情形之一的，不得再次公开发行公司债券：</w:t>
            </w:r>
          </w:p>
          <w:tbl>
            <w:tblPr>
              <w:tblStyle w:val="7"/>
              <w:tblW w:w="4814" w:type="dxa"/>
              <w:tblInd w:w="5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814" w:type="dxa"/>
                  <w:vAlign w:val="top"/>
                </w:tcPr>
                <w:p>
                  <w:pPr>
                    <w:pStyle w:val="8"/>
                    <w:tabs>
                      <w:tab w:val="left" w:pos="123"/>
                    </w:tabs>
                    <w:spacing w:before="41" w:line="207" w:lineRule="auto"/>
                    <w:ind w:left="4"/>
                  </w:pPr>
                  <w:r>
                    <w:rPr>
                      <w:shd w:val="clear" w:fill="D9D9D9"/>
                    </w:rPr>
                    <w:tab/>
                  </w:r>
                  <w:r>
                    <w:rPr>
                      <w:spacing w:val="-16"/>
                      <w:shd w:val="clear" w:fill="D9D9D9"/>
                    </w:rPr>
                    <w:t>（一）前一次公开发行的公司债券尚未募足；</w:t>
                  </w:r>
                  <w:r>
                    <w:rPr>
                      <w:spacing w:val="8"/>
                      <w:shd w:val="clear" w:fill="D9D9D9"/>
                    </w:rPr>
                    <w:t xml:space="preserve">  </w:t>
                  </w:r>
                </w:p>
              </w:tc>
            </w:tr>
          </w:tbl>
          <w:p>
            <w:pPr>
              <w:pStyle w:val="8"/>
              <w:spacing w:before="34" w:line="228" w:lineRule="auto"/>
              <w:ind w:left="19" w:firstLine="484"/>
            </w:pPr>
            <w:r>
              <w:rPr>
                <w:spacing w:val="3"/>
              </w:rPr>
              <w:t>（二）对已公开发行的公司债券或者其他债务有违约或者延迟</w:t>
            </w:r>
            <w:r>
              <w:rPr>
                <w:spacing w:val="15"/>
              </w:rPr>
              <w:t xml:space="preserve"> </w:t>
            </w:r>
            <w:r>
              <w:rPr>
                <w:spacing w:val="-5"/>
              </w:rPr>
              <w:t>支付本息的事实，仍处于继续状态；</w:t>
            </w:r>
          </w:p>
          <w:p>
            <w:pPr>
              <w:pStyle w:val="8"/>
              <w:spacing w:before="29" w:line="224" w:lineRule="auto"/>
              <w:ind w:left="13" w:firstLine="490"/>
            </w:pPr>
            <w:r>
              <w:rPr>
                <w:spacing w:val="10"/>
              </w:rPr>
              <w:t>（三）违反本法规定，</w:t>
            </w:r>
            <w:r>
              <w:rPr>
                <w:spacing w:val="-43"/>
              </w:rPr>
              <w:t xml:space="preserve"> </w:t>
            </w:r>
            <w:r>
              <w:rPr>
                <w:spacing w:val="10"/>
              </w:rPr>
              <w:t>改变公开发行公司债券所募资金的用</w:t>
            </w:r>
            <w:r>
              <w:t xml:space="preserve"> </w:t>
            </w:r>
            <w:r>
              <w:rPr>
                <w:spacing w:val="-15"/>
              </w:rPr>
              <w:t>途。</w:t>
            </w:r>
          </w:p>
        </w:tc>
        <w:tc>
          <w:tcPr>
            <w:tcW w:w="6810" w:type="dxa"/>
            <w:vAlign w:val="top"/>
          </w:tcPr>
          <w:p>
            <w:pPr>
              <w:pStyle w:val="8"/>
              <w:spacing w:before="46" w:line="229" w:lineRule="auto"/>
              <w:ind w:left="17" w:right="7" w:firstLine="496"/>
            </w:pPr>
            <w:r>
              <w:rPr>
                <w:rFonts w:ascii="黑体" w:hAnsi="黑体" w:eastAsia="黑体" w:cs="黑体"/>
                <w:spacing w:val="10"/>
              </w:rPr>
              <w:t xml:space="preserve">第十七条  </w:t>
            </w:r>
            <w:r>
              <w:rPr>
                <w:spacing w:val="10"/>
              </w:rPr>
              <w:t>有下列情形之一的，不得再次公开发行公司债</w:t>
            </w:r>
            <w:r>
              <w:rPr>
                <w:spacing w:val="12"/>
              </w:rPr>
              <w:t xml:space="preserve"> </w:t>
            </w:r>
            <w:r>
              <w:rPr>
                <w:spacing w:val="-20"/>
              </w:rPr>
              <w:t>券：</w:t>
            </w:r>
          </w:p>
          <w:p>
            <w:pPr>
              <w:pStyle w:val="8"/>
              <w:spacing w:before="28" w:line="227" w:lineRule="auto"/>
              <w:ind w:left="14" w:right="17" w:firstLine="489"/>
            </w:pPr>
            <w:r>
              <w:rPr>
                <w:spacing w:val="1"/>
              </w:rPr>
              <w:t>（一）对已公开发行的公司债券或者其他债务有违约或者延</w:t>
            </w:r>
            <w:r>
              <w:rPr>
                <w:spacing w:val="5"/>
              </w:rPr>
              <w:t xml:space="preserve"> </w:t>
            </w:r>
            <w:r>
              <w:rPr>
                <w:spacing w:val="-4"/>
              </w:rPr>
              <w:t>迟支付本息的事实，仍处于继续状态；</w:t>
            </w:r>
          </w:p>
          <w:p>
            <w:pPr>
              <w:pStyle w:val="8"/>
              <w:spacing w:before="32" w:line="231" w:lineRule="auto"/>
              <w:ind w:left="14" w:right="50" w:firstLine="489"/>
            </w:pPr>
            <w:r>
              <w:t xml:space="preserve">（二）违反本法规定，改变公开发行公司债券所募资金的用 </w:t>
            </w:r>
            <w:r>
              <w:rPr>
                <w:spacing w:val="-15"/>
              </w:rPr>
              <w:t>途。</w:t>
            </w:r>
          </w:p>
        </w:tc>
      </w:tr>
    </w:tbl>
    <w:p>
      <w:pPr>
        <w:rPr>
          <w:rFonts w:ascii="Arial"/>
          <w:sz w:val="21"/>
        </w:rPr>
      </w:pPr>
    </w:p>
    <w:p>
      <w:pPr>
        <w:rPr>
          <w:rFonts w:ascii="Arial" w:hAnsi="Arial" w:eastAsia="Arial" w:cs="Arial"/>
          <w:sz w:val="21"/>
          <w:szCs w:val="21"/>
        </w:rPr>
        <w:sectPr>
          <w:footerReference r:id="rId10"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3"/>
        <w:gridCol w:w="710"/>
        <w:gridCol w:w="746"/>
        <w:gridCol w:w="214"/>
        <w:gridCol w:w="255"/>
        <w:gridCol w:w="4150"/>
        <w:gridCol w:w="498"/>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7096" w:type="dxa"/>
            <w:gridSpan w:val="7"/>
            <w:vAlign w:val="top"/>
          </w:tcPr>
          <w:p>
            <w:pPr>
              <w:pStyle w:val="8"/>
              <w:spacing w:before="15" w:line="244" w:lineRule="auto"/>
              <w:ind w:left="12" w:firstLine="500"/>
            </w:pPr>
            <w:r>
              <w:rPr>
                <w:rFonts w:ascii="黑体" w:hAnsi="黑体" w:eastAsia="黑体" w:cs="黑体"/>
              </w:rPr>
              <w:t xml:space="preserve">第十九条  </w:t>
            </w:r>
            <w:r>
              <w:t>发行人依法</w:t>
            </w:r>
            <w:r>
              <w:rPr>
                <w:spacing w:val="-64"/>
              </w:rPr>
              <w:t xml:space="preserve"> </w:t>
            </w:r>
            <w:r>
              <w:t>申</w:t>
            </w:r>
            <w:r>
              <w:rPr>
                <w:u w:val="single" w:color="auto"/>
              </w:rPr>
              <w:t>请</w:t>
            </w:r>
            <w:r>
              <w:rPr>
                <w:position w:val="-7"/>
              </w:rPr>
              <w:drawing>
                <wp:inline distT="0" distB="0" distL="0" distR="0">
                  <wp:extent cx="8890" cy="20447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7"/>
                          <a:stretch>
                            <a:fillRect/>
                          </a:stretch>
                        </pic:blipFill>
                        <pic:spPr>
                          <a:xfrm>
                            <a:off x="0" y="0"/>
                            <a:ext cx="9334" cy="204520"/>
                          </a:xfrm>
                          <a:prstGeom prst="rect">
                            <a:avLst/>
                          </a:prstGeom>
                        </pic:spPr>
                      </pic:pic>
                    </a:graphicData>
                  </a:graphic>
                </wp:inline>
              </w:drawing>
            </w:r>
            <w:r>
              <w:rPr>
                <w:u w:val="single" w:color="auto"/>
                <w:shd w:val="clear" w:fill="D9D9D9"/>
              </w:rPr>
              <w:t>核准</w:t>
            </w:r>
            <w:r>
              <w:rPr>
                <w:position w:val="-7"/>
              </w:rPr>
              <w:drawing>
                <wp:inline distT="0" distB="0" distL="0" distR="0">
                  <wp:extent cx="8890" cy="20447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7"/>
                          <a:stretch>
                            <a:fillRect/>
                          </a:stretch>
                        </pic:blipFill>
                        <pic:spPr>
                          <a:xfrm>
                            <a:off x="0" y="0"/>
                            <a:ext cx="9334" cy="204520"/>
                          </a:xfrm>
                          <a:prstGeom prst="rect">
                            <a:avLst/>
                          </a:prstGeom>
                        </pic:spPr>
                      </pic:pic>
                    </a:graphicData>
                  </a:graphic>
                </wp:inline>
              </w:drawing>
            </w:r>
            <w:r>
              <w:t xml:space="preserve">发行证券所报送的申请文件的 </w:t>
            </w:r>
            <w:r>
              <w:rPr>
                <w:spacing w:val="-4"/>
              </w:rPr>
              <w:t>格式、报送方式，由依法负责</w:t>
            </w:r>
            <w:r>
              <w:rPr>
                <w:position w:val="-7"/>
              </w:rPr>
              <w:drawing>
                <wp:inline distT="0" distB="0" distL="0" distR="0">
                  <wp:extent cx="3175" cy="20383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0"/>
                          <a:stretch>
                            <a:fillRect/>
                          </a:stretch>
                        </pic:blipFill>
                        <pic:spPr>
                          <a:xfrm>
                            <a:off x="0" y="0"/>
                            <a:ext cx="3206" cy="204215"/>
                          </a:xfrm>
                          <a:prstGeom prst="rect">
                            <a:avLst/>
                          </a:prstGeom>
                        </pic:spPr>
                      </pic:pic>
                    </a:graphicData>
                  </a:graphic>
                </wp:inline>
              </w:drawing>
            </w:r>
            <w:r>
              <w:rPr>
                <w:position w:val="-7"/>
              </w:rPr>
              <w:drawing>
                <wp:inline distT="0" distB="0" distL="0" distR="0">
                  <wp:extent cx="3175"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1"/>
                          <a:stretch>
                            <a:fillRect/>
                          </a:stretch>
                        </pic:blipFill>
                        <pic:spPr>
                          <a:xfrm>
                            <a:off x="0" y="0"/>
                            <a:ext cx="3206" cy="6096"/>
                          </a:xfrm>
                          <a:prstGeom prst="rect">
                            <a:avLst/>
                          </a:prstGeom>
                        </pic:spPr>
                      </pic:pic>
                    </a:graphicData>
                  </a:graphic>
                </wp:inline>
              </w:drawing>
            </w:r>
            <w:r>
              <w:rPr>
                <w:spacing w:val="-101"/>
                <w:u w:val="single" w:color="auto"/>
                <w:shd w:val="clear" w:fill="D9D9D9"/>
              </w:rPr>
              <w:t xml:space="preserve"> </w:t>
            </w:r>
            <w:r>
              <w:rPr>
                <w:spacing w:val="-4"/>
                <w:u w:val="single" w:color="auto"/>
                <w:shd w:val="clear" w:fill="D9D9D9"/>
              </w:rPr>
              <w:t>核准</w:t>
            </w:r>
            <w:r>
              <w:rPr>
                <w:position w:val="-7"/>
              </w:rPr>
              <w:drawing>
                <wp:inline distT="0" distB="0" distL="0" distR="0">
                  <wp:extent cx="3175" cy="2038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7"/>
                          <a:stretch>
                            <a:fillRect/>
                          </a:stretch>
                        </pic:blipFill>
                        <pic:spPr>
                          <a:xfrm>
                            <a:off x="0" y="0"/>
                            <a:ext cx="3206" cy="204215"/>
                          </a:xfrm>
                          <a:prstGeom prst="rect">
                            <a:avLst/>
                          </a:prstGeom>
                        </pic:spPr>
                      </pic:pic>
                    </a:graphicData>
                  </a:graphic>
                </wp:inline>
              </w:drawing>
            </w:r>
            <w:r>
              <w:rPr>
                <w:position w:val="-7"/>
              </w:rPr>
              <w:drawing>
                <wp:inline distT="0" distB="0" distL="0" distR="0">
                  <wp:extent cx="3175"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2"/>
                          <a:stretch>
                            <a:fillRect/>
                          </a:stretch>
                        </pic:blipFill>
                        <pic:spPr>
                          <a:xfrm>
                            <a:off x="0" y="0"/>
                            <a:ext cx="3206" cy="6096"/>
                          </a:xfrm>
                          <a:prstGeom prst="rect">
                            <a:avLst/>
                          </a:prstGeom>
                        </pic:spPr>
                      </pic:pic>
                    </a:graphicData>
                  </a:graphic>
                </wp:inline>
              </w:drawing>
            </w:r>
            <w:r>
              <w:rPr>
                <w:spacing w:val="-90"/>
              </w:rPr>
              <w:t xml:space="preserve"> </w:t>
            </w:r>
            <w:r>
              <w:rPr>
                <w:spacing w:val="-4"/>
              </w:rPr>
              <w:t>的机构或者部门规定。</w:t>
            </w:r>
          </w:p>
        </w:tc>
        <w:tc>
          <w:tcPr>
            <w:tcW w:w="6811" w:type="dxa"/>
            <w:vAlign w:val="top"/>
          </w:tcPr>
          <w:p>
            <w:pPr>
              <w:pStyle w:val="8"/>
              <w:spacing w:before="41" w:line="230" w:lineRule="auto"/>
              <w:ind w:left="36" w:right="4" w:firstLine="478"/>
            </w:pPr>
            <w:r>
              <w:rPr>
                <w:rFonts w:ascii="黑体" w:hAnsi="黑体" w:eastAsia="黑体" w:cs="黑体"/>
                <w:spacing w:val="1"/>
              </w:rPr>
              <w:t xml:space="preserve">第十八条  </w:t>
            </w:r>
            <w:r>
              <w:rPr>
                <w:spacing w:val="1"/>
              </w:rPr>
              <w:t>发行人依法申请</w:t>
            </w:r>
            <w:r>
              <w:rPr>
                <w:rFonts w:ascii="黑体" w:hAnsi="黑体" w:eastAsia="黑体" w:cs="黑体"/>
                <w:spacing w:val="1"/>
              </w:rPr>
              <w:t>公开</w:t>
            </w:r>
            <w:r>
              <w:rPr>
                <w:spacing w:val="1"/>
              </w:rPr>
              <w:t>发行证券所报送的申请文件</w:t>
            </w:r>
            <w:r>
              <w:rPr>
                <w:spacing w:val="8"/>
              </w:rPr>
              <w:t xml:space="preserve"> </w:t>
            </w:r>
            <w:r>
              <w:rPr>
                <w:spacing w:val="-3"/>
              </w:rPr>
              <w:t>的格式、报送方式，由依法负责</w:t>
            </w:r>
            <w:r>
              <w:rPr>
                <w:rFonts w:ascii="黑体" w:hAnsi="黑体" w:eastAsia="黑体" w:cs="黑体"/>
                <w:spacing w:val="-3"/>
              </w:rPr>
              <w:t>注册</w:t>
            </w:r>
            <w:r>
              <w:rPr>
                <w:spacing w:val="-3"/>
              </w:rPr>
              <w:t>的机构或者部门规定。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448" w:type="dxa"/>
            <w:gridSpan w:val="5"/>
            <w:tcBorders>
              <w:bottom w:val="nil"/>
              <w:right w:val="single" w:color="000000" w:sz="2" w:space="0"/>
            </w:tcBorders>
            <w:vAlign w:val="top"/>
          </w:tcPr>
          <w:p>
            <w:pPr>
              <w:pStyle w:val="8"/>
              <w:spacing w:before="33" w:line="204" w:lineRule="auto"/>
              <w:jc w:val="right"/>
            </w:pPr>
            <w:r>
              <w:rPr>
                <w:rFonts w:ascii="黑体" w:hAnsi="黑体" w:eastAsia="黑体" w:cs="黑体"/>
                <w:spacing w:val="-2"/>
              </w:rPr>
              <w:t>第二十条</w:t>
            </w:r>
            <w:r>
              <w:rPr>
                <w:rFonts w:ascii="黑体" w:hAnsi="黑体" w:eastAsia="黑体" w:cs="黑体"/>
                <w:spacing w:val="9"/>
              </w:rPr>
              <w:t xml:space="preserve">  </w:t>
            </w:r>
            <w:r>
              <w:rPr>
                <w:spacing w:val="-2"/>
              </w:rPr>
              <w:t>发行人</w:t>
            </w:r>
          </w:p>
        </w:tc>
        <w:tc>
          <w:tcPr>
            <w:tcW w:w="4648" w:type="dxa"/>
            <w:gridSpan w:val="2"/>
            <w:tcBorders>
              <w:left w:val="single" w:color="000000" w:sz="2" w:space="0"/>
              <w:bottom w:val="single" w:color="000000" w:sz="2" w:space="0"/>
            </w:tcBorders>
            <w:shd w:val="clear" w:color="auto" w:fill="D9D9D9"/>
            <w:vAlign w:val="top"/>
          </w:tcPr>
          <w:p>
            <w:pPr>
              <w:pStyle w:val="8"/>
              <w:spacing w:before="33" w:line="204" w:lineRule="auto"/>
              <w:ind w:left="50"/>
            </w:pPr>
            <w:r>
              <w:t>向国务院证券监督管理机构或者国务院授权</w:t>
            </w:r>
          </w:p>
        </w:tc>
        <w:tc>
          <w:tcPr>
            <w:tcW w:w="6811" w:type="dxa"/>
            <w:vMerge w:val="restart"/>
            <w:tcBorders>
              <w:bottom w:val="nil"/>
            </w:tcBorders>
            <w:vAlign w:val="top"/>
          </w:tcPr>
          <w:p>
            <w:pPr>
              <w:pStyle w:val="8"/>
              <w:spacing w:before="20" w:line="233" w:lineRule="auto"/>
              <w:ind w:left="13" w:right="1" w:firstLine="501"/>
              <w:jc w:val="both"/>
            </w:pPr>
            <w:r>
              <w:rPr>
                <w:rFonts w:ascii="黑体" w:hAnsi="黑体" w:eastAsia="黑体" w:cs="黑体"/>
                <w:spacing w:val="-3"/>
              </w:rPr>
              <w:t xml:space="preserve">第十九条  </w:t>
            </w:r>
            <w:r>
              <w:rPr>
                <w:spacing w:val="-3"/>
              </w:rPr>
              <w:t xml:space="preserve">发行人报送的证券发行申请文件， </w:t>
            </w:r>
            <w:r>
              <w:rPr>
                <w:rFonts w:ascii="黑体" w:hAnsi="黑体" w:eastAsia="黑体" w:cs="黑体"/>
                <w:spacing w:val="-3"/>
              </w:rPr>
              <w:t>应当充</w:t>
            </w:r>
            <w:r>
              <w:rPr>
                <w:rFonts w:ascii="黑体" w:hAnsi="黑体" w:eastAsia="黑体" w:cs="黑体"/>
                <w:spacing w:val="-4"/>
              </w:rPr>
              <w:t>分披露</w:t>
            </w:r>
            <w:r>
              <w:rPr>
                <w:rFonts w:ascii="黑体" w:hAnsi="黑体" w:eastAsia="黑体" w:cs="黑体"/>
              </w:rPr>
              <w:t xml:space="preserve"> </w:t>
            </w:r>
            <w:r>
              <w:rPr>
                <w:rFonts w:ascii="黑体" w:hAnsi="黑体" w:eastAsia="黑体" w:cs="黑体"/>
                <w:spacing w:val="11"/>
              </w:rPr>
              <w:t>投资者作出价值判断和投资决策所必需的信息，其内容应当</w:t>
            </w:r>
            <w:r>
              <w:rPr>
                <w:spacing w:val="11"/>
              </w:rPr>
              <w:t>真</w:t>
            </w:r>
            <w:r>
              <w:rPr>
                <w:spacing w:val="2"/>
              </w:rPr>
              <w:t xml:space="preserve"> </w:t>
            </w:r>
            <w:r>
              <w:rPr>
                <w:spacing w:val="-7"/>
              </w:rPr>
              <w:t>实、准确、完整。</w:t>
            </w:r>
          </w:p>
          <w:p>
            <w:pPr>
              <w:pStyle w:val="8"/>
              <w:spacing w:before="27" w:line="227" w:lineRule="auto"/>
              <w:ind w:left="14" w:right="7" w:firstLine="507"/>
              <w:jc w:val="both"/>
            </w:pPr>
            <w:r>
              <w:rPr>
                <w:spacing w:val="-5"/>
              </w:rPr>
              <w:t>为证券发行出具有关文件的证券服务机构和人</w:t>
            </w:r>
            <w:r>
              <w:rPr>
                <w:spacing w:val="-6"/>
              </w:rPr>
              <w:t>员，</w:t>
            </w:r>
            <w:r>
              <w:rPr>
                <w:spacing w:val="41"/>
              </w:rPr>
              <w:t xml:space="preserve"> </w:t>
            </w:r>
            <w:r>
              <w:rPr>
                <w:spacing w:val="-6"/>
              </w:rPr>
              <w:t>必须严格</w:t>
            </w:r>
            <w:r>
              <w:t xml:space="preserve"> </w:t>
            </w:r>
            <w:r>
              <w:rPr>
                <w:spacing w:val="-2"/>
              </w:rPr>
              <w:t>履行法定职责，保证其所出具文件的真实性、准确性和完整性。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7096" w:type="dxa"/>
            <w:gridSpan w:val="7"/>
            <w:tcBorders>
              <w:top w:val="single" w:color="000000" w:sz="2" w:space="0"/>
            </w:tcBorders>
            <w:vAlign w:val="top"/>
          </w:tcPr>
          <w:p>
            <w:pPr>
              <w:pStyle w:val="8"/>
              <w:spacing w:before="14"/>
              <w:ind w:left="43"/>
            </w:pPr>
            <w:r>
              <w:rPr>
                <w:spacing w:val="-10"/>
                <w:u w:val="single" w:color="auto"/>
                <w:shd w:val="clear" w:fill="D9D9D9"/>
              </w:rPr>
              <w:t>的部门</w:t>
            </w:r>
            <w:r>
              <w:rPr>
                <w:position w:val="-7"/>
              </w:rPr>
              <w:drawing>
                <wp:inline distT="0" distB="0" distL="0" distR="0">
                  <wp:extent cx="5715" cy="20383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3"/>
                          <a:stretch>
                            <a:fillRect/>
                          </a:stretch>
                        </pic:blipFill>
                        <pic:spPr>
                          <a:xfrm>
                            <a:off x="0" y="0"/>
                            <a:ext cx="6180" cy="204216"/>
                          </a:xfrm>
                          <a:prstGeom prst="rect">
                            <a:avLst/>
                          </a:prstGeom>
                        </pic:spPr>
                      </pic:pic>
                    </a:graphicData>
                  </a:graphic>
                </wp:inline>
              </w:drawing>
            </w:r>
            <w:r>
              <w:rPr>
                <w:spacing w:val="-10"/>
              </w:rPr>
              <w:t>报送的证券发行申请文件，</w:t>
            </w:r>
            <w:r>
              <w:rPr>
                <w:spacing w:val="66"/>
              </w:rPr>
              <w:t xml:space="preserve"> </w:t>
            </w:r>
            <w:r>
              <w:rPr>
                <w:position w:val="-7"/>
              </w:rPr>
              <w:drawing>
                <wp:inline distT="0" distB="0" distL="0" distR="0">
                  <wp:extent cx="5715" cy="20383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6"/>
                          <a:stretch>
                            <a:fillRect/>
                          </a:stretch>
                        </pic:blipFill>
                        <pic:spPr>
                          <a:xfrm>
                            <a:off x="0" y="0"/>
                            <a:ext cx="6180" cy="204216"/>
                          </a:xfrm>
                          <a:prstGeom prst="rect">
                            <a:avLst/>
                          </a:prstGeom>
                        </pic:spPr>
                      </pic:pic>
                    </a:graphicData>
                  </a:graphic>
                </wp:inline>
              </w:drawing>
            </w:r>
            <w:r>
              <w:rPr>
                <w:spacing w:val="-10"/>
                <w:u w:val="single" w:color="auto"/>
                <w:shd w:val="clear" w:fill="D9D9D9"/>
              </w:rPr>
              <w:t>必须</w:t>
            </w:r>
            <w:r>
              <w:rPr>
                <w:position w:val="-7"/>
              </w:rPr>
              <w:drawing>
                <wp:inline distT="0" distB="0" distL="0" distR="0">
                  <wp:extent cx="5715" cy="20383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0"/>
                          <a:stretch>
                            <a:fillRect/>
                          </a:stretch>
                        </pic:blipFill>
                        <pic:spPr>
                          <a:xfrm>
                            <a:off x="0" y="0"/>
                            <a:ext cx="6180" cy="204216"/>
                          </a:xfrm>
                          <a:prstGeom prst="rect">
                            <a:avLst/>
                          </a:prstGeom>
                        </pic:spPr>
                      </pic:pic>
                    </a:graphicData>
                  </a:graphic>
                </wp:inline>
              </w:drawing>
            </w:r>
            <w:r>
              <w:rPr>
                <w:spacing w:val="-10"/>
              </w:rPr>
              <w:t>真实、准确、完整。</w:t>
            </w:r>
          </w:p>
          <w:p>
            <w:pPr>
              <w:pStyle w:val="8"/>
              <w:spacing w:before="34" w:line="227" w:lineRule="auto"/>
              <w:ind w:left="13" w:firstLine="506"/>
            </w:pPr>
            <w:r>
              <w:rPr>
                <w:spacing w:val="3"/>
              </w:rPr>
              <w:t>为证券发行出具有关文件的证券服务机构和人员，必须严</w:t>
            </w:r>
            <w:r>
              <w:rPr>
                <w:spacing w:val="2"/>
              </w:rPr>
              <w:t>格履</w:t>
            </w:r>
            <w:r>
              <w:t xml:space="preserve"> </w:t>
            </w:r>
            <w:r>
              <w:rPr>
                <w:spacing w:val="-2"/>
              </w:rPr>
              <w:t>行法定职责，保证其所出具文件的真实性、准</w:t>
            </w:r>
            <w:r>
              <w:rPr>
                <w:spacing w:val="-3"/>
              </w:rPr>
              <w:t>确性和完整性。</w:t>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7096" w:type="dxa"/>
            <w:gridSpan w:val="7"/>
            <w:vAlign w:val="top"/>
          </w:tcPr>
          <w:p>
            <w:pPr>
              <w:pStyle w:val="8"/>
              <w:spacing w:before="20" w:line="233" w:lineRule="auto"/>
              <w:ind w:left="10" w:firstLine="502"/>
              <w:jc w:val="both"/>
            </w:pPr>
            <w:r>
              <w:rPr>
                <w:rFonts w:ascii="黑体" w:hAnsi="黑体" w:eastAsia="黑体" w:cs="黑体"/>
                <w:spacing w:val="-1"/>
              </w:rPr>
              <w:t xml:space="preserve">第二十一条  </w:t>
            </w:r>
            <w:r>
              <w:rPr>
                <w:spacing w:val="-1"/>
              </w:rPr>
              <w:t xml:space="preserve">发行人申请首次公开发行股票的， </w:t>
            </w:r>
            <w:r>
              <w:rPr>
                <w:spacing w:val="-2"/>
              </w:rPr>
              <w:t>在提交申请文</w:t>
            </w:r>
            <w:r>
              <w:t xml:space="preserve"> </w:t>
            </w:r>
            <w:r>
              <w:rPr>
                <w:spacing w:val="4"/>
              </w:rPr>
              <w:t>件后，应当按照国务院证券监督管理机构的规定预</w:t>
            </w:r>
            <w:r>
              <w:rPr>
                <w:spacing w:val="3"/>
              </w:rPr>
              <w:t>先披露有关申请</w:t>
            </w:r>
            <w:r>
              <w:t xml:space="preserve"> </w:t>
            </w:r>
            <w:r>
              <w:rPr>
                <w:spacing w:val="-13"/>
              </w:rPr>
              <w:t>文件。</w:t>
            </w:r>
          </w:p>
        </w:tc>
        <w:tc>
          <w:tcPr>
            <w:tcW w:w="6811" w:type="dxa"/>
            <w:vAlign w:val="top"/>
          </w:tcPr>
          <w:p>
            <w:pPr>
              <w:pStyle w:val="8"/>
              <w:spacing w:before="21" w:line="232" w:lineRule="auto"/>
              <w:ind w:left="12" w:right="6" w:firstLine="482"/>
              <w:jc w:val="both"/>
            </w:pPr>
            <w:r>
              <w:rPr>
                <w:rFonts w:ascii="黑体" w:hAnsi="黑体" w:eastAsia="黑体" w:cs="黑体"/>
                <w:spacing w:val="-3"/>
              </w:rPr>
              <w:t xml:space="preserve">第二十条  </w:t>
            </w:r>
            <w:r>
              <w:rPr>
                <w:spacing w:val="-3"/>
              </w:rPr>
              <w:t>发行人申请首次公开发行股票的， 在提交申请文</w:t>
            </w:r>
            <w:r>
              <w:rPr>
                <w:spacing w:val="16"/>
              </w:rPr>
              <w:t xml:space="preserve"> </w:t>
            </w:r>
            <w:r>
              <w:rPr>
                <w:spacing w:val="2"/>
              </w:rPr>
              <w:t>件后，应当按照国务院证券监督管理机构的规定预先披露有</w:t>
            </w:r>
            <w:r>
              <w:rPr>
                <w:spacing w:val="1"/>
              </w:rPr>
              <w:t>关申</w:t>
            </w:r>
            <w:r>
              <w:t xml:space="preserve"> </w:t>
            </w:r>
            <w:r>
              <w:rPr>
                <w:spacing w:val="-11"/>
              </w:rPr>
              <w:t>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979" w:type="dxa"/>
            <w:gridSpan w:val="3"/>
            <w:tcBorders>
              <w:bottom w:val="single" w:color="000000" w:sz="2" w:space="0"/>
              <w:right w:val="single" w:color="000000" w:sz="2" w:space="0"/>
            </w:tcBorders>
            <w:vAlign w:val="top"/>
          </w:tcPr>
          <w:p>
            <w:pPr>
              <w:spacing w:before="28" w:line="208" w:lineRule="auto"/>
              <w:ind w:left="513"/>
              <w:rPr>
                <w:rFonts w:ascii="黑体" w:hAnsi="黑体" w:eastAsia="黑体" w:cs="黑体"/>
                <w:sz w:val="24"/>
                <w:szCs w:val="24"/>
              </w:rPr>
            </w:pPr>
            <w:r>
              <w:rPr>
                <w:rFonts w:ascii="黑体" w:hAnsi="黑体" w:eastAsia="黑体" w:cs="黑体"/>
                <w:spacing w:val="-1"/>
                <w:sz w:val="24"/>
                <w:szCs w:val="24"/>
              </w:rPr>
              <w:t>第二十二条</w:t>
            </w:r>
          </w:p>
        </w:tc>
        <w:tc>
          <w:tcPr>
            <w:tcW w:w="5117" w:type="dxa"/>
            <w:gridSpan w:val="4"/>
            <w:tcBorders>
              <w:left w:val="single" w:color="000000" w:sz="2" w:space="0"/>
              <w:bottom w:val="single" w:color="000000" w:sz="2" w:space="0"/>
            </w:tcBorders>
            <w:shd w:val="clear" w:color="auto" w:fill="D9D9D9"/>
            <w:vAlign w:val="top"/>
          </w:tcPr>
          <w:p>
            <w:pPr>
              <w:pStyle w:val="8"/>
              <w:spacing w:before="29" w:line="207" w:lineRule="auto"/>
              <w:ind w:left="26"/>
            </w:pPr>
            <w:r>
              <w:t>国务院证券监督管理机构设发行审核委员会，依</w:t>
            </w:r>
          </w:p>
        </w:tc>
        <w:tc>
          <w:tcPr>
            <w:tcW w:w="6811" w:type="dxa"/>
            <w:vMerge w:val="restart"/>
            <w:tcBorders>
              <w:bottom w:val="nil"/>
            </w:tcBorders>
            <w:vAlign w:val="top"/>
          </w:tcPr>
          <w:p>
            <w:pPr>
              <w:spacing w:before="16" w:line="222" w:lineRule="auto"/>
              <w:ind w:left="493"/>
              <w:rPr>
                <w:rFonts w:ascii="黑体" w:hAnsi="黑体" w:eastAsia="黑体" w:cs="黑体"/>
                <w:sz w:val="24"/>
                <w:szCs w:val="24"/>
              </w:rPr>
            </w:pPr>
            <w:r>
              <w:rPr>
                <w:rFonts w:ascii="黑体" w:hAnsi="黑体" w:eastAsia="黑体" w:cs="黑体"/>
                <w:spacing w:val="-2"/>
                <w:sz w:val="24"/>
                <w:szCs w:val="24"/>
              </w:rPr>
              <w:t>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448" w:type="dxa"/>
            <w:gridSpan w:val="5"/>
            <w:tcBorders>
              <w:top w:val="single" w:color="000000" w:sz="2" w:space="0"/>
              <w:bottom w:val="single" w:color="000000" w:sz="2" w:space="0"/>
              <w:right w:val="single" w:color="000000" w:sz="2" w:space="0"/>
            </w:tcBorders>
            <w:shd w:val="clear" w:color="auto" w:fill="D9D9D9"/>
            <w:vAlign w:val="top"/>
          </w:tcPr>
          <w:p>
            <w:pPr>
              <w:pStyle w:val="8"/>
              <w:spacing w:before="46" w:line="204" w:lineRule="auto"/>
              <w:ind w:left="31"/>
            </w:pPr>
            <w:r>
              <w:rPr>
                <w:spacing w:val="-6"/>
              </w:rPr>
              <w:t>法审核股票发行申请。</w:t>
            </w:r>
          </w:p>
        </w:tc>
        <w:tc>
          <w:tcPr>
            <w:tcW w:w="4648" w:type="dxa"/>
            <w:gridSpan w:val="2"/>
            <w:tcBorders>
              <w:top w:val="single" w:color="000000" w:sz="2" w:space="0"/>
              <w:left w:val="single" w:color="000000" w:sz="2" w:space="0"/>
              <w:bottom w:val="single" w:color="000000" w:sz="2" w:space="0"/>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23" w:type="dxa"/>
            <w:tcBorders>
              <w:top w:val="single" w:color="000000" w:sz="2" w:space="0"/>
              <w:bottom w:val="single" w:color="000000" w:sz="2" w:space="0"/>
              <w:right w:val="single" w:color="000000" w:sz="2" w:space="0"/>
            </w:tcBorders>
            <w:vAlign w:val="top"/>
          </w:tcPr>
          <w:p>
            <w:pPr>
              <w:rPr>
                <w:rFonts w:ascii="Arial"/>
                <w:sz w:val="21"/>
              </w:rPr>
            </w:pPr>
          </w:p>
        </w:tc>
        <w:tc>
          <w:tcPr>
            <w:tcW w:w="6573" w:type="dxa"/>
            <w:gridSpan w:val="6"/>
            <w:tcBorders>
              <w:top w:val="single" w:color="000000" w:sz="2" w:space="0"/>
              <w:left w:val="single" w:color="000000" w:sz="2" w:space="0"/>
              <w:bottom w:val="single" w:color="000000" w:sz="2" w:space="0"/>
            </w:tcBorders>
            <w:shd w:val="clear" w:color="auto" w:fill="D9D9D9"/>
            <w:vAlign w:val="top"/>
          </w:tcPr>
          <w:p>
            <w:pPr>
              <w:pStyle w:val="8"/>
              <w:spacing w:before="51" w:line="198" w:lineRule="auto"/>
              <w:ind w:left="4"/>
            </w:pPr>
            <w:r>
              <w:rPr>
                <w:spacing w:val="2"/>
              </w:rPr>
              <w:t>发行审核委员会由国务院证券监督管理机构的专业人员和所聘</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7096" w:type="dxa"/>
            <w:gridSpan w:val="7"/>
            <w:tcBorders>
              <w:top w:val="single" w:color="000000" w:sz="2" w:space="0"/>
              <w:bottom w:val="single" w:color="000000" w:sz="2" w:space="0"/>
            </w:tcBorders>
            <w:shd w:val="clear" w:color="auto" w:fill="D9D9D9"/>
            <w:vAlign w:val="top"/>
          </w:tcPr>
          <w:p>
            <w:pPr>
              <w:pStyle w:val="8"/>
              <w:spacing w:before="59" w:line="200" w:lineRule="auto"/>
              <w:ind w:left="23"/>
            </w:pPr>
            <w:r>
              <w:rPr>
                <w:spacing w:val="3"/>
              </w:rPr>
              <w:t>请的该机构外的有关专家组成，以投票方式对股票发行申请进</w:t>
            </w:r>
            <w:r>
              <w:rPr>
                <w:spacing w:val="2"/>
              </w:rPr>
              <w:t>行表</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193" w:type="dxa"/>
            <w:gridSpan w:val="4"/>
            <w:tcBorders>
              <w:top w:val="single" w:color="000000" w:sz="2" w:space="0"/>
              <w:bottom w:val="single" w:color="000000" w:sz="2" w:space="0"/>
              <w:right w:val="single" w:color="000000" w:sz="2" w:space="0"/>
            </w:tcBorders>
            <w:shd w:val="clear" w:color="auto" w:fill="D9D9D9"/>
            <w:vAlign w:val="top"/>
          </w:tcPr>
          <w:p>
            <w:pPr>
              <w:pStyle w:val="8"/>
              <w:spacing w:before="55" w:line="198" w:lineRule="auto"/>
              <w:ind w:left="28"/>
            </w:pPr>
            <w:r>
              <w:rPr>
                <w:spacing w:val="-7"/>
              </w:rPr>
              <w:t>决，提出审核意见。</w:t>
            </w:r>
          </w:p>
        </w:tc>
        <w:tc>
          <w:tcPr>
            <w:tcW w:w="4903" w:type="dxa"/>
            <w:gridSpan w:val="3"/>
            <w:tcBorders>
              <w:top w:val="single" w:color="000000" w:sz="2" w:space="0"/>
              <w:left w:val="single" w:color="000000" w:sz="2" w:space="0"/>
              <w:bottom w:val="single" w:color="000000" w:sz="2" w:space="0"/>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7096" w:type="dxa"/>
            <w:gridSpan w:val="7"/>
            <w:tcBorders>
              <w:top w:val="single" w:color="000000" w:sz="2" w:space="0"/>
            </w:tcBorders>
            <w:vAlign w:val="top"/>
          </w:tcPr>
          <w:p>
            <w:pPr>
              <w:pStyle w:val="8"/>
              <w:tabs>
                <w:tab w:val="left" w:pos="502"/>
              </w:tabs>
              <w:spacing w:before="22"/>
              <w:ind w:left="13"/>
            </w:pPr>
            <w:r>
              <w:rPr>
                <w:u w:val="single" w:color="auto"/>
                <w:shd w:val="clear" w:fill="D9D9D9"/>
              </w:rPr>
              <w:tab/>
            </w:r>
            <w:r>
              <w:rPr>
                <w:position w:val="-7"/>
                <w:shd w:val="clear" w:fill="D9D9D9"/>
              </w:rPr>
              <w:drawing>
                <wp:inline distT="0" distB="0" distL="0" distR="0">
                  <wp:extent cx="6350" cy="20383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6"/>
                          <a:stretch>
                            <a:fillRect/>
                          </a:stretch>
                        </pic:blipFill>
                        <pic:spPr>
                          <a:xfrm>
                            <a:off x="0" y="0"/>
                            <a:ext cx="6654" cy="204216"/>
                          </a:xfrm>
                          <a:prstGeom prst="rect">
                            <a:avLst/>
                          </a:prstGeom>
                        </pic:spPr>
                      </pic:pic>
                    </a:graphicData>
                  </a:graphic>
                </wp:inline>
              </w:drawing>
            </w:r>
            <w:r>
              <w:rPr>
                <w:spacing w:val="-1"/>
                <w:u w:val="single" w:color="auto"/>
                <w:shd w:val="clear" w:fill="D9D9D9"/>
              </w:rPr>
              <w:t>发行审核委员会的具体组成办法、组成人员任期、工作程序，</w:t>
            </w:r>
            <w:r>
              <w:rPr>
                <w:spacing w:val="13"/>
                <w:u w:val="single" w:color="auto"/>
                <w:shd w:val="clear" w:fill="D9D9D9"/>
              </w:rPr>
              <w:t xml:space="preserve"> </w:t>
            </w:r>
          </w:p>
          <w:p>
            <w:pPr>
              <w:pStyle w:val="8"/>
              <w:spacing w:before="9" w:line="229" w:lineRule="auto"/>
              <w:ind w:left="56"/>
            </w:pPr>
            <w:r>
              <w:rPr>
                <w:spacing w:val="-15"/>
                <w:shd w:val="clear" w:fill="D9D9D9"/>
              </w:rPr>
              <w:t>由国务院证券监督管理机构规定。</w:t>
            </w:r>
            <w:r>
              <w:rPr>
                <w:spacing w:val="62"/>
                <w:shd w:val="clear" w:fill="D9D9D9"/>
              </w:rPr>
              <w:t xml:space="preserve"> </w:t>
            </w:r>
            <w:r>
              <w:rPr>
                <w:position w:val="-6"/>
              </w:rPr>
              <w:drawing>
                <wp:inline distT="0" distB="0" distL="0" distR="0">
                  <wp:extent cx="5715" cy="18859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4"/>
                          <a:stretch>
                            <a:fillRect/>
                          </a:stretch>
                        </pic:blipFill>
                        <pic:spPr>
                          <a:xfrm>
                            <a:off x="0" y="0"/>
                            <a:ext cx="6095" cy="188976"/>
                          </a:xfrm>
                          <a:prstGeom prst="rect">
                            <a:avLst/>
                          </a:prstGeom>
                        </pic:spPr>
                      </pic:pic>
                    </a:graphicData>
                  </a:graphic>
                </wp:inline>
              </w:drawing>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6598" w:type="dxa"/>
            <w:gridSpan w:val="6"/>
            <w:tcBorders>
              <w:bottom w:val="nil"/>
              <w:right w:val="single" w:color="000000" w:sz="2" w:space="0"/>
            </w:tcBorders>
            <w:vAlign w:val="top"/>
          </w:tcPr>
          <w:p>
            <w:pPr>
              <w:pStyle w:val="8"/>
              <w:spacing w:before="63" w:line="181" w:lineRule="auto"/>
              <w:ind w:right="12"/>
              <w:jc w:val="right"/>
            </w:pPr>
            <w:r>
              <w:rPr>
                <w:rFonts w:ascii="黑体" w:hAnsi="黑体" w:eastAsia="黑体" w:cs="黑体"/>
                <w:spacing w:val="2"/>
              </w:rPr>
              <w:t xml:space="preserve">第二十三条  </w:t>
            </w:r>
            <w:r>
              <w:rPr>
                <w:spacing w:val="2"/>
              </w:rPr>
              <w:t>国务院证券监督管理机构依照法定条件负责</w:t>
            </w:r>
          </w:p>
        </w:tc>
        <w:tc>
          <w:tcPr>
            <w:tcW w:w="498" w:type="dxa"/>
            <w:tcBorders>
              <w:left w:val="single" w:color="000000" w:sz="2" w:space="0"/>
              <w:bottom w:val="single" w:color="000000" w:sz="2" w:space="0"/>
            </w:tcBorders>
            <w:shd w:val="clear" w:color="auto" w:fill="D9D9D9"/>
            <w:vAlign w:val="top"/>
          </w:tcPr>
          <w:p>
            <w:pPr>
              <w:pStyle w:val="8"/>
              <w:spacing w:before="64" w:line="180" w:lineRule="auto"/>
              <w:ind w:left="6"/>
            </w:pPr>
            <w:r>
              <w:rPr>
                <w:spacing w:val="-3"/>
              </w:rPr>
              <w:t>核准</w:t>
            </w:r>
          </w:p>
        </w:tc>
        <w:tc>
          <w:tcPr>
            <w:tcW w:w="6811" w:type="dxa"/>
            <w:vMerge w:val="restart"/>
            <w:tcBorders>
              <w:bottom w:val="nil"/>
            </w:tcBorders>
            <w:vAlign w:val="top"/>
          </w:tcPr>
          <w:p>
            <w:pPr>
              <w:pStyle w:val="8"/>
              <w:spacing w:before="52" w:line="233" w:lineRule="auto"/>
              <w:ind w:left="21" w:right="4" w:firstLine="474"/>
              <w:rPr>
                <w:rFonts w:ascii="黑体" w:hAnsi="黑体" w:eastAsia="黑体" w:cs="黑体"/>
              </w:rPr>
            </w:pPr>
            <w:r>
              <w:rPr>
                <w:rFonts w:ascii="黑体" w:hAnsi="黑体" w:eastAsia="黑体" w:cs="黑体"/>
                <w:spacing w:val="2"/>
              </w:rPr>
              <w:t xml:space="preserve">第二十一条  </w:t>
            </w:r>
            <w:r>
              <w:rPr>
                <w:spacing w:val="2"/>
              </w:rPr>
              <w:t>国务院证券监督管理机构或者国务院授</w:t>
            </w:r>
            <w:r>
              <w:rPr>
                <w:spacing w:val="1"/>
              </w:rPr>
              <w:t>权的部</w:t>
            </w:r>
            <w:r>
              <w:t xml:space="preserve"> </w:t>
            </w:r>
            <w:r>
              <w:rPr>
                <w:spacing w:val="2"/>
              </w:rPr>
              <w:t>门依照法定条件负责证券发行申请的</w:t>
            </w:r>
            <w:r>
              <w:rPr>
                <w:rFonts w:ascii="黑体" w:hAnsi="黑体" w:eastAsia="黑体" w:cs="黑体"/>
                <w:spacing w:val="2"/>
              </w:rPr>
              <w:t>注册</w:t>
            </w:r>
            <w:r>
              <w:rPr>
                <w:spacing w:val="2"/>
              </w:rPr>
              <w:t>。</w:t>
            </w:r>
            <w:r>
              <w:rPr>
                <w:rFonts w:ascii="黑体" w:hAnsi="黑体" w:eastAsia="黑体" w:cs="黑体"/>
                <w:spacing w:val="2"/>
              </w:rPr>
              <w:t>证券</w:t>
            </w:r>
            <w:r>
              <w:rPr>
                <w:rFonts w:ascii="黑体" w:hAnsi="黑体" w:eastAsia="黑体" w:cs="黑体"/>
                <w:spacing w:val="1"/>
              </w:rPr>
              <w:t>公开发行注册的</w:t>
            </w:r>
            <w:r>
              <w:rPr>
                <w:rFonts w:ascii="黑体" w:hAnsi="黑体" w:eastAsia="黑体" w:cs="黑体"/>
              </w:rPr>
              <w:t xml:space="preserve"> </w:t>
            </w:r>
            <w:r>
              <w:rPr>
                <w:rFonts w:ascii="黑体" w:hAnsi="黑体" w:eastAsia="黑体" w:cs="黑体"/>
                <w:spacing w:val="-4"/>
              </w:rPr>
              <w:t>具体办法由国务院规定。</w:t>
            </w:r>
          </w:p>
          <w:p>
            <w:pPr>
              <w:pStyle w:val="8"/>
              <w:spacing w:before="25" w:line="233" w:lineRule="auto"/>
              <w:ind w:left="15" w:right="6" w:firstLine="478"/>
            </w:pPr>
            <w:r>
              <w:rPr>
                <w:rFonts w:ascii="黑体" w:hAnsi="黑体" w:eastAsia="黑体" w:cs="黑体"/>
                <w:spacing w:val="2"/>
              </w:rPr>
              <w:t>按照国务院的规定，证券交易所等可以审核公开发行证券申</w:t>
            </w:r>
            <w:r>
              <w:rPr>
                <w:rFonts w:ascii="黑体" w:hAnsi="黑体" w:eastAsia="黑体" w:cs="黑体"/>
                <w:spacing w:val="1"/>
              </w:rPr>
              <w:t xml:space="preserve"> </w:t>
            </w:r>
            <w:r>
              <w:rPr>
                <w:rFonts w:ascii="黑体" w:hAnsi="黑体" w:eastAsia="黑体" w:cs="黑体"/>
                <w:spacing w:val="-2"/>
              </w:rPr>
              <w:t>请，</w:t>
            </w:r>
            <w:r>
              <w:rPr>
                <w:rFonts w:ascii="黑体" w:hAnsi="黑体" w:eastAsia="黑体" w:cs="黑体"/>
                <w:spacing w:val="-12"/>
              </w:rPr>
              <w:t xml:space="preserve"> </w:t>
            </w:r>
            <w:r>
              <w:rPr>
                <w:rFonts w:ascii="黑体" w:hAnsi="黑体" w:eastAsia="黑体" w:cs="黑体"/>
                <w:spacing w:val="-2"/>
              </w:rPr>
              <w:t>判断发行人是否符合发行条件、信息披露要求，督促发行人</w:t>
            </w:r>
            <w:r>
              <w:rPr>
                <w:rFonts w:ascii="黑体" w:hAnsi="黑体" w:eastAsia="黑体" w:cs="黑体"/>
              </w:rPr>
              <w:t xml:space="preserve"> </w:t>
            </w:r>
            <w:r>
              <w:rPr>
                <w:rFonts w:ascii="黑体" w:hAnsi="黑体" w:eastAsia="黑体" w:cs="黑体"/>
                <w:spacing w:val="-2"/>
              </w:rPr>
              <w:t>完善信息披露内容</w:t>
            </w:r>
            <w:r>
              <w:rPr>
                <w:spacing w:val="-2"/>
              </w:rPr>
              <w:t>。</w:t>
            </w:r>
          </w:p>
          <w:p>
            <w:pPr>
              <w:pStyle w:val="8"/>
              <w:spacing w:before="23" w:line="232" w:lineRule="auto"/>
              <w:ind w:left="15" w:right="4" w:firstLine="498"/>
            </w:pPr>
            <w:r>
              <w:rPr>
                <w:rFonts w:ascii="黑体" w:hAnsi="黑体" w:eastAsia="黑体" w:cs="黑体"/>
                <w:spacing w:val="-5"/>
              </w:rPr>
              <w:t>依照前两款规定</w:t>
            </w:r>
            <w:r>
              <w:rPr>
                <w:spacing w:val="-5"/>
              </w:rPr>
              <w:t>参与</w:t>
            </w:r>
            <w:r>
              <w:rPr>
                <w:rFonts w:ascii="黑体" w:hAnsi="黑体" w:eastAsia="黑体" w:cs="黑体"/>
                <w:spacing w:val="-5"/>
              </w:rPr>
              <w:t>证券发行申请注册</w:t>
            </w:r>
            <w:r>
              <w:rPr>
                <w:spacing w:val="-5"/>
              </w:rPr>
              <w:t>的人员，</w:t>
            </w:r>
            <w:r>
              <w:rPr>
                <w:spacing w:val="46"/>
              </w:rPr>
              <w:t xml:space="preserve"> </w:t>
            </w:r>
            <w:r>
              <w:rPr>
                <w:spacing w:val="-5"/>
              </w:rPr>
              <w:t>不得与发行</w:t>
            </w:r>
            <w:r>
              <w:t xml:space="preserve"> 申请人有利害关系，不得直接或者间接接受发行申请人的</w:t>
            </w:r>
            <w:r>
              <w:rPr>
                <w:spacing w:val="-1"/>
              </w:rPr>
              <w:t>馈赠，</w:t>
            </w:r>
            <w:r>
              <w:t xml:space="preserve"> </w:t>
            </w:r>
            <w:r>
              <w:rPr>
                <w:spacing w:val="2"/>
              </w:rPr>
              <w:t>不得持有所</w:t>
            </w:r>
            <w:r>
              <w:rPr>
                <w:rFonts w:ascii="黑体" w:hAnsi="黑体" w:eastAsia="黑体" w:cs="黑体"/>
                <w:spacing w:val="2"/>
              </w:rPr>
              <w:t>注册</w:t>
            </w:r>
            <w:r>
              <w:rPr>
                <w:spacing w:val="2"/>
              </w:rPr>
              <w:t>的发行申请的</w:t>
            </w:r>
            <w:r>
              <w:rPr>
                <w:rFonts w:ascii="黑体" w:hAnsi="黑体" w:eastAsia="黑体" w:cs="黑体"/>
                <w:spacing w:val="2"/>
              </w:rPr>
              <w:t>证券</w:t>
            </w:r>
            <w:r>
              <w:rPr>
                <w:spacing w:val="2"/>
              </w:rPr>
              <w:t>，不得私下与发行申请人进行</w:t>
            </w:r>
            <w:r>
              <w:t xml:space="preserve"> </w:t>
            </w:r>
            <w:r>
              <w:rPr>
                <w:spacing w:val="-13"/>
              </w:rPr>
              <w:t>接触。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7096" w:type="dxa"/>
            <w:gridSpan w:val="7"/>
            <w:tcBorders>
              <w:top w:val="nil"/>
              <w:bottom w:val="single" w:color="000000" w:sz="2" w:space="0"/>
            </w:tcBorders>
            <w:vAlign w:val="top"/>
          </w:tcPr>
          <w:p>
            <w:pPr>
              <w:pStyle w:val="8"/>
              <w:spacing w:before="70" w:line="215" w:lineRule="auto"/>
              <w:ind w:left="14"/>
            </w:pPr>
            <w:r>
              <w:rPr>
                <w:spacing w:val="-3"/>
              </w:rPr>
              <w:t>股票发行申请。核准程序应当公开，依法接受监督。</w:t>
            </w:r>
          </w:p>
          <w:p>
            <w:pPr>
              <w:pStyle w:val="8"/>
              <w:spacing w:before="30" w:line="223" w:lineRule="auto"/>
              <w:ind w:left="18" w:firstLine="499"/>
              <w:jc w:val="both"/>
            </w:pPr>
            <w:r>
              <w:rPr>
                <w:spacing w:val="3"/>
              </w:rPr>
              <w:t>参与审核和核准股票发行申请的人员，不得与发行申请人有利</w:t>
            </w:r>
            <w:r>
              <w:t xml:space="preserve"> </w:t>
            </w:r>
            <w:r>
              <w:rPr>
                <w:spacing w:val="3"/>
              </w:rPr>
              <w:t>害关系，不得直接或者间接接受发行申请人的馈赠，不得持有所核</w:t>
            </w:r>
            <w:r>
              <w:rPr>
                <w:spacing w:val="14"/>
              </w:rPr>
              <w:t xml:space="preserve"> </w:t>
            </w:r>
            <w:r>
              <w:rPr>
                <w:spacing w:val="-3"/>
              </w:rPr>
              <w:t>准的发行申请的股票，不得私下与发行申请人进行接触。</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23" w:type="dxa"/>
            <w:tcBorders>
              <w:top w:val="nil"/>
              <w:bottom w:val="single" w:color="000000" w:sz="2" w:space="0"/>
              <w:right w:val="single" w:color="000000" w:sz="2" w:space="0"/>
            </w:tcBorders>
            <w:vAlign w:val="top"/>
          </w:tcPr>
          <w:p>
            <w:pPr>
              <w:rPr>
                <w:rFonts w:ascii="Arial"/>
                <w:sz w:val="21"/>
              </w:rPr>
            </w:pPr>
          </w:p>
        </w:tc>
        <w:tc>
          <w:tcPr>
            <w:tcW w:w="6573" w:type="dxa"/>
            <w:gridSpan w:val="6"/>
            <w:tcBorders>
              <w:top w:val="single" w:color="000000" w:sz="2" w:space="0"/>
              <w:left w:val="single" w:color="000000" w:sz="2" w:space="0"/>
              <w:bottom w:val="single" w:color="000000" w:sz="2" w:space="0"/>
            </w:tcBorders>
            <w:shd w:val="clear" w:color="auto" w:fill="D9D9D9"/>
            <w:vAlign w:val="top"/>
          </w:tcPr>
          <w:p>
            <w:pPr>
              <w:pStyle w:val="8"/>
              <w:spacing w:before="63" w:line="189" w:lineRule="auto"/>
              <w:ind w:left="25"/>
            </w:pPr>
            <w:r>
              <w:rPr>
                <w:spacing w:val="1"/>
              </w:rPr>
              <w:t>国务院授权的部门对公司债券发行申请的核准，参照前两款的</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33" w:type="dxa"/>
            <w:gridSpan w:val="2"/>
            <w:tcBorders>
              <w:top w:val="single" w:color="000000" w:sz="2" w:space="0"/>
              <w:bottom w:val="single" w:color="000000" w:sz="2" w:space="0"/>
              <w:right w:val="single" w:color="000000" w:sz="2" w:space="0"/>
            </w:tcBorders>
            <w:shd w:val="clear" w:color="auto" w:fill="D9D9D9"/>
            <w:vAlign w:val="top"/>
          </w:tcPr>
          <w:p>
            <w:pPr>
              <w:pStyle w:val="8"/>
              <w:spacing w:before="71" w:line="183" w:lineRule="auto"/>
              <w:ind w:left="30"/>
            </w:pPr>
            <w:r>
              <w:rPr>
                <w:spacing w:val="-11"/>
              </w:rPr>
              <w:t>规定执行。</w:t>
            </w:r>
          </w:p>
        </w:tc>
        <w:tc>
          <w:tcPr>
            <w:tcW w:w="5863" w:type="dxa"/>
            <w:gridSpan w:val="5"/>
            <w:vMerge w:val="restart"/>
            <w:tcBorders>
              <w:top w:val="single" w:color="000000" w:sz="2" w:space="0"/>
              <w:left w:val="nil"/>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233" w:type="dxa"/>
            <w:gridSpan w:val="2"/>
            <w:tcBorders>
              <w:top w:val="single" w:color="000000" w:sz="2" w:space="0"/>
              <w:right w:val="nil"/>
            </w:tcBorders>
            <w:vAlign w:val="top"/>
          </w:tcPr>
          <w:p>
            <w:pPr>
              <w:rPr>
                <w:rFonts w:ascii="Arial"/>
                <w:sz w:val="21"/>
              </w:rPr>
            </w:pPr>
          </w:p>
        </w:tc>
        <w:tc>
          <w:tcPr>
            <w:tcW w:w="5863" w:type="dxa"/>
            <w:gridSpan w:val="5"/>
            <w:vMerge w:val="continue"/>
            <w:tcBorders>
              <w:top w:val="nil"/>
              <w:left w:val="nil"/>
            </w:tcBorders>
            <w:vAlign w:val="top"/>
          </w:tcPr>
          <w:p>
            <w:pPr>
              <w:rPr>
                <w:rFonts w:ascii="Arial"/>
                <w:sz w:val="21"/>
              </w:rPr>
            </w:pPr>
          </w:p>
        </w:tc>
        <w:tc>
          <w:tcPr>
            <w:tcW w:w="6811"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6845" w:h="11910"/>
          <w:pgMar w:top="1012" w:right="1501" w:bottom="1154"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3"/>
        <w:gridCol w:w="2926"/>
        <w:gridCol w:w="496"/>
        <w:gridCol w:w="2925"/>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0" w:hRule="atLeast"/>
        </w:trPr>
        <w:tc>
          <w:tcPr>
            <w:tcW w:w="7100" w:type="dxa"/>
            <w:gridSpan w:val="4"/>
            <w:vAlign w:val="top"/>
          </w:tcPr>
          <w:p>
            <w:pPr>
              <w:pStyle w:val="8"/>
              <w:spacing w:before="40" w:line="242" w:lineRule="auto"/>
              <w:ind w:left="8" w:firstLine="504"/>
            </w:pPr>
            <w:r>
              <w:pict>
                <v:shape id="_x0000_s1033" o:spid="_x0000_s1033" o:spt="202" type="#_x0000_t202" style="position:absolute;left:0pt;margin-left:84.05pt;margin-top:30.35pt;height:18.6pt;width:27.35pt;z-index:2516664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50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01" w:type="dxa"/>
                              <w:vAlign w:val="top"/>
                            </w:tcPr>
                            <w:p>
                              <w:pPr>
                                <w:pStyle w:val="8"/>
                                <w:spacing w:before="41" w:line="207" w:lineRule="auto"/>
                                <w:ind w:left="12"/>
                              </w:pPr>
                              <w:r>
                                <w:rPr>
                                  <w:spacing w:val="-2"/>
                                  <w:shd w:val="clear" w:fill="D9D9D9"/>
                                </w:rPr>
                                <w:t>核准</w:t>
                              </w:r>
                            </w:p>
                          </w:tc>
                        </w:tr>
                      </w:tbl>
                      <w:p>
                        <w:pPr>
                          <w:rPr>
                            <w:rFonts w:ascii="Arial"/>
                            <w:sz w:val="21"/>
                          </w:rPr>
                        </w:pPr>
                      </w:p>
                    </w:txbxContent>
                  </v:textbox>
                </v:shape>
              </w:pict>
            </w:r>
            <w:r>
              <w:pict>
                <v:shape id="_x0000_s1034" o:spid="_x0000_s1034" o:spt="202" type="#_x0000_t202" style="position:absolute;left:0pt;margin-left:157.95pt;margin-top:30.35pt;height:18.6pt;width:27.25pt;z-index:2516654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9" w:type="dxa"/>
                              <w:vAlign w:val="top"/>
                            </w:tcPr>
                            <w:p>
                              <w:pPr>
                                <w:pStyle w:val="8"/>
                                <w:spacing w:before="41" w:line="207" w:lineRule="auto"/>
                                <w:ind w:left="12"/>
                              </w:pPr>
                              <w:r>
                                <w:rPr>
                                  <w:spacing w:val="-3"/>
                                  <w:shd w:val="clear" w:fill="D9D9D9"/>
                                </w:rPr>
                                <w:t>核准</w:t>
                              </w:r>
                            </w:p>
                          </w:tc>
                        </w:tr>
                      </w:tbl>
                      <w:p>
                        <w:pPr>
                          <w:rPr>
                            <w:rFonts w:ascii="Arial"/>
                            <w:sz w:val="21"/>
                          </w:rPr>
                        </w:pPr>
                      </w:p>
                    </w:txbxContent>
                  </v:textbox>
                </v:shape>
              </w:pict>
            </w:r>
            <w:r>
              <w:pict>
                <v:shape id="_x0000_s1035" o:spid="_x0000_s1035" o:spt="202" type="#_x0000_t202" style="position:absolute;left:0pt;margin-left:239.1pt;margin-top:46.9pt;height:18.6pt;width:28.2pt;z-index:2516643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51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18" w:type="dxa"/>
                              <w:vAlign w:val="top"/>
                            </w:tcPr>
                            <w:p>
                              <w:pPr>
                                <w:pStyle w:val="8"/>
                                <w:spacing w:before="41" w:line="207" w:lineRule="auto"/>
                                <w:ind w:left="13"/>
                              </w:pPr>
                              <w:r>
                                <w:rPr>
                                  <w:spacing w:val="1"/>
                                  <w:shd w:val="clear" w:fill="D9D9D9"/>
                                </w:rPr>
                                <w:t>核准</w:t>
                              </w:r>
                            </w:p>
                          </w:tc>
                        </w:tr>
                      </w:tbl>
                      <w:p>
                        <w:pPr>
                          <w:rPr>
                            <w:rFonts w:ascii="Arial"/>
                            <w:sz w:val="21"/>
                          </w:rPr>
                        </w:pPr>
                      </w:p>
                    </w:txbxContent>
                  </v:textbox>
                </v:shape>
              </w:pict>
            </w:r>
            <w:r>
              <w:rPr>
                <w:rFonts w:ascii="黑体" w:hAnsi="黑体" w:eastAsia="黑体" w:cs="黑体"/>
                <w:spacing w:val="3"/>
              </w:rPr>
              <w:t xml:space="preserve">第二十四条  </w:t>
            </w:r>
            <w:r>
              <w:rPr>
                <w:spacing w:val="3"/>
              </w:rPr>
              <w:t>国务院证券监督管理机构或者国务院授权的部门</w:t>
            </w:r>
            <w:r>
              <w:rPr>
                <w:spacing w:val="4"/>
              </w:rPr>
              <w:t xml:space="preserve"> </w:t>
            </w:r>
            <w:r>
              <w:t>应当自受理证券发行申请文件之日起三个月内， 依照法</w:t>
            </w:r>
            <w:r>
              <w:rPr>
                <w:spacing w:val="-1"/>
              </w:rPr>
              <w:t>定条件和法</w:t>
            </w:r>
            <w:r>
              <w:t xml:space="preserve"> </w:t>
            </w:r>
            <w:r>
              <w:rPr>
                <w:spacing w:val="1"/>
              </w:rPr>
              <w:t>定程序作出予以    或者不予</w:t>
            </w:r>
            <w:r>
              <w:rPr>
                <w:spacing w:val="18"/>
              </w:rPr>
              <w:t xml:space="preserve">    </w:t>
            </w:r>
            <w:r>
              <w:rPr>
                <w:spacing w:val="1"/>
              </w:rPr>
              <w:t>的决定，发行人根据要求补充、</w:t>
            </w:r>
            <w:r>
              <w:rPr>
                <w:spacing w:val="3"/>
              </w:rPr>
              <w:t xml:space="preserve"> </w:t>
            </w:r>
            <w:r>
              <w:rPr>
                <w:spacing w:val="10"/>
              </w:rPr>
              <w:t>修改发行申请文件的时间不计算在内；不予</w:t>
            </w:r>
            <w:r>
              <w:rPr>
                <w:spacing w:val="22"/>
              </w:rPr>
              <w:t xml:space="preserve">    </w:t>
            </w:r>
            <w:r>
              <w:rPr>
                <w:spacing w:val="10"/>
              </w:rPr>
              <w:t>的，应当说明理</w:t>
            </w:r>
            <w:r>
              <w:rPr>
                <w:spacing w:val="3"/>
              </w:rPr>
              <w:t xml:space="preserve"> </w:t>
            </w:r>
            <w:r>
              <w:rPr>
                <w:spacing w:val="-14"/>
              </w:rPr>
              <w:t>由。</w:t>
            </w:r>
          </w:p>
        </w:tc>
        <w:tc>
          <w:tcPr>
            <w:tcW w:w="6807" w:type="dxa"/>
            <w:vAlign w:val="top"/>
          </w:tcPr>
          <w:p>
            <w:pPr>
              <w:pStyle w:val="8"/>
              <w:spacing w:before="37" w:line="236" w:lineRule="auto"/>
              <w:ind w:left="11" w:right="4" w:firstLine="499"/>
              <w:jc w:val="both"/>
            </w:pPr>
            <w:r>
              <w:rPr>
                <w:rFonts w:ascii="黑体" w:hAnsi="黑体" w:eastAsia="黑体" w:cs="黑体"/>
                <w:spacing w:val="1"/>
              </w:rPr>
              <w:t xml:space="preserve">第二十二条  </w:t>
            </w:r>
            <w:r>
              <w:rPr>
                <w:spacing w:val="1"/>
              </w:rPr>
              <w:t>国务院证券监督管理机构或者国务院授权的部</w:t>
            </w:r>
            <w:r>
              <w:rPr>
                <w:spacing w:val="8"/>
              </w:rPr>
              <w:t xml:space="preserve"> </w:t>
            </w:r>
            <w:r>
              <w:rPr>
                <w:spacing w:val="-3"/>
              </w:rPr>
              <w:t>门应当自受理证券发行申请文件之日起三个月内， 依照法定条件</w:t>
            </w:r>
            <w:r>
              <w:rPr>
                <w:spacing w:val="18"/>
              </w:rPr>
              <w:t xml:space="preserve"> </w:t>
            </w:r>
            <w:r>
              <w:rPr>
                <w:spacing w:val="-2"/>
              </w:rPr>
              <w:t>和法定程序作出予以</w:t>
            </w:r>
            <w:r>
              <w:rPr>
                <w:rFonts w:ascii="黑体" w:hAnsi="黑体" w:eastAsia="黑体" w:cs="黑体"/>
                <w:spacing w:val="-2"/>
              </w:rPr>
              <w:t>注册</w:t>
            </w:r>
            <w:r>
              <w:rPr>
                <w:spacing w:val="-2"/>
              </w:rPr>
              <w:t>或者不予</w:t>
            </w:r>
            <w:r>
              <w:rPr>
                <w:rFonts w:ascii="黑体" w:hAnsi="黑体" w:eastAsia="黑体" w:cs="黑体"/>
                <w:spacing w:val="-2"/>
              </w:rPr>
              <w:t>注册</w:t>
            </w:r>
            <w:r>
              <w:rPr>
                <w:spacing w:val="-2"/>
              </w:rPr>
              <w:t>的决定，</w:t>
            </w:r>
            <w:r>
              <w:rPr>
                <w:spacing w:val="-3"/>
              </w:rPr>
              <w:t xml:space="preserve"> 发行人根据要求</w:t>
            </w:r>
            <w:r>
              <w:t xml:space="preserve"> </w:t>
            </w:r>
            <w:r>
              <w:rPr>
                <w:spacing w:val="-6"/>
              </w:rPr>
              <w:t>补充、修改发行申请文件的时间不计算在内； 不</w:t>
            </w:r>
            <w:r>
              <w:rPr>
                <w:spacing w:val="-7"/>
              </w:rPr>
              <w:t>予</w:t>
            </w:r>
            <w:r>
              <w:rPr>
                <w:rFonts w:ascii="黑体" w:hAnsi="黑体" w:eastAsia="黑体" w:cs="黑体"/>
                <w:spacing w:val="-7"/>
              </w:rPr>
              <w:t>注册</w:t>
            </w:r>
            <w:r>
              <w:rPr>
                <w:spacing w:val="-7"/>
              </w:rPr>
              <w:t>的， 应当</w:t>
            </w:r>
            <w:r>
              <w:t xml:space="preserve"> </w:t>
            </w:r>
            <w:r>
              <w:rPr>
                <w:spacing w:val="-10"/>
              </w:rPr>
              <w:t>说明理由。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3679" w:type="dxa"/>
            <w:gridSpan w:val="2"/>
            <w:tcBorders>
              <w:bottom w:val="nil"/>
              <w:right w:val="single" w:color="000000" w:sz="2" w:space="0"/>
            </w:tcBorders>
            <w:vAlign w:val="top"/>
          </w:tcPr>
          <w:p>
            <w:pPr>
              <w:pStyle w:val="8"/>
              <w:spacing w:before="42" w:line="198" w:lineRule="auto"/>
              <w:ind w:right="9"/>
              <w:jc w:val="right"/>
            </w:pPr>
            <w:r>
              <w:rPr>
                <w:rFonts w:ascii="黑体" w:hAnsi="黑体" w:eastAsia="黑体" w:cs="黑体"/>
                <w:spacing w:val="1"/>
              </w:rPr>
              <w:t xml:space="preserve">第二十五条  </w:t>
            </w:r>
            <w:r>
              <w:rPr>
                <w:spacing w:val="1"/>
              </w:rPr>
              <w:t>证券发行申请经</w:t>
            </w:r>
          </w:p>
        </w:tc>
        <w:tc>
          <w:tcPr>
            <w:tcW w:w="496" w:type="dxa"/>
            <w:tcBorders>
              <w:left w:val="single" w:color="000000" w:sz="2" w:space="0"/>
              <w:bottom w:val="single" w:color="000000" w:sz="2" w:space="0"/>
              <w:right w:val="single" w:color="000000" w:sz="2" w:space="0"/>
            </w:tcBorders>
            <w:shd w:val="clear" w:color="auto" w:fill="D9D9D9"/>
            <w:vAlign w:val="top"/>
          </w:tcPr>
          <w:p>
            <w:pPr>
              <w:pStyle w:val="8"/>
              <w:spacing w:before="43" w:line="197" w:lineRule="auto"/>
              <w:ind w:left="6"/>
            </w:pPr>
            <w:r>
              <w:rPr>
                <w:spacing w:val="-3"/>
              </w:rPr>
              <w:t>核准</w:t>
            </w:r>
          </w:p>
        </w:tc>
        <w:tc>
          <w:tcPr>
            <w:tcW w:w="2925" w:type="dxa"/>
            <w:tcBorders>
              <w:left w:val="single" w:color="000000" w:sz="2" w:space="0"/>
              <w:bottom w:val="nil"/>
            </w:tcBorders>
            <w:vAlign w:val="top"/>
          </w:tcPr>
          <w:p>
            <w:pPr>
              <w:pStyle w:val="8"/>
              <w:spacing w:before="43" w:line="197" w:lineRule="auto"/>
              <w:ind w:left="32"/>
            </w:pPr>
            <w:r>
              <w:rPr>
                <w:spacing w:val="8"/>
              </w:rPr>
              <w:t>,发行人应当依照法律、行</w:t>
            </w:r>
          </w:p>
        </w:tc>
        <w:tc>
          <w:tcPr>
            <w:tcW w:w="6807" w:type="dxa"/>
            <w:vMerge w:val="restart"/>
            <w:tcBorders>
              <w:bottom w:val="nil"/>
            </w:tcBorders>
            <w:vAlign w:val="top"/>
          </w:tcPr>
          <w:p>
            <w:pPr>
              <w:pStyle w:val="8"/>
              <w:spacing w:before="33" w:line="231" w:lineRule="auto"/>
              <w:ind w:left="8" w:right="7" w:firstLine="502"/>
            </w:pPr>
            <w:r>
              <w:rPr>
                <w:rFonts w:ascii="黑体" w:hAnsi="黑体" w:eastAsia="黑体" w:cs="黑体"/>
                <w:spacing w:val="10"/>
              </w:rPr>
              <w:t xml:space="preserve">第二十三条  </w:t>
            </w:r>
            <w:r>
              <w:rPr>
                <w:spacing w:val="10"/>
              </w:rPr>
              <w:t>证券发行申请经</w:t>
            </w:r>
            <w:r>
              <w:rPr>
                <w:rFonts w:ascii="黑体" w:hAnsi="黑体" w:eastAsia="黑体" w:cs="黑体"/>
                <w:spacing w:val="10"/>
              </w:rPr>
              <w:t>注册后</w:t>
            </w:r>
            <w:r>
              <w:rPr>
                <w:spacing w:val="10"/>
              </w:rPr>
              <w:t>，发行人应当依照法</w:t>
            </w:r>
            <w:r>
              <w:rPr>
                <w:spacing w:val="12"/>
              </w:rPr>
              <w:t xml:space="preserve"> </w:t>
            </w:r>
            <w:r>
              <w:rPr>
                <w:spacing w:val="-2"/>
              </w:rPr>
              <w:t>律、行政法规的规定， 在证券公开发行前，公</w:t>
            </w:r>
            <w:r>
              <w:rPr>
                <w:spacing w:val="-3"/>
              </w:rPr>
              <w:t>告公开发行募集文</w:t>
            </w:r>
            <w:r>
              <w:t xml:space="preserve"> </w:t>
            </w:r>
            <w:r>
              <w:rPr>
                <w:spacing w:val="-3"/>
              </w:rPr>
              <w:t>件，并将该文件置备于指定场所供公众查阅。</w:t>
            </w:r>
          </w:p>
          <w:p>
            <w:pPr>
              <w:pStyle w:val="8"/>
              <w:spacing w:before="33" w:line="228" w:lineRule="auto"/>
              <w:ind w:left="9" w:right="4" w:firstLine="501"/>
            </w:pPr>
            <w:r>
              <w:rPr>
                <w:spacing w:val="1"/>
              </w:rPr>
              <w:t>发行证券的信息依法公开前，任何知情人不得公开或者泄露</w:t>
            </w:r>
            <w:r>
              <w:rPr>
                <w:spacing w:val="9"/>
              </w:rPr>
              <w:t xml:space="preserve"> </w:t>
            </w:r>
            <w:r>
              <w:rPr>
                <w:spacing w:val="-11"/>
              </w:rPr>
              <w:t>该信息。</w:t>
            </w:r>
          </w:p>
          <w:p>
            <w:pPr>
              <w:pStyle w:val="8"/>
              <w:spacing w:before="28" w:line="214" w:lineRule="auto"/>
              <w:ind w:left="510"/>
            </w:pPr>
            <w:r>
              <w:rPr>
                <w:spacing w:val="-3"/>
              </w:rPr>
              <w:t>发行人不得在公告公开发行募集文件前发行证券。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7100" w:type="dxa"/>
            <w:gridSpan w:val="4"/>
            <w:tcBorders>
              <w:top w:val="nil"/>
            </w:tcBorders>
            <w:vAlign w:val="top"/>
          </w:tcPr>
          <w:p>
            <w:pPr>
              <w:pStyle w:val="8"/>
              <w:spacing w:before="49" w:line="228" w:lineRule="auto"/>
              <w:ind w:left="11" w:firstLine="6"/>
            </w:pPr>
            <w:r>
              <w:rPr>
                <w:spacing w:val="-4"/>
              </w:rPr>
              <w:t>政法规的规定， 在证券公开发行前，公告公</w:t>
            </w:r>
            <w:r>
              <w:rPr>
                <w:spacing w:val="-5"/>
              </w:rPr>
              <w:t>开发行募集文件， 并将</w:t>
            </w:r>
            <w:r>
              <w:t xml:space="preserve"> </w:t>
            </w:r>
            <w:r>
              <w:rPr>
                <w:spacing w:val="-4"/>
              </w:rPr>
              <w:t>该文件置备于指定场所供公众查阅。</w:t>
            </w:r>
          </w:p>
          <w:p>
            <w:pPr>
              <w:pStyle w:val="8"/>
              <w:spacing w:before="28" w:line="228" w:lineRule="auto"/>
              <w:ind w:left="6" w:firstLine="507"/>
            </w:pPr>
            <w:r>
              <w:rPr>
                <w:spacing w:val="3"/>
              </w:rPr>
              <w:t>发行证券的信息依法公开前，任何知情人不得公开或者泄露该</w:t>
            </w:r>
            <w:r>
              <w:rPr>
                <w:spacing w:val="9"/>
              </w:rPr>
              <w:t xml:space="preserve"> </w:t>
            </w:r>
            <w:r>
              <w:rPr>
                <w:spacing w:val="-12"/>
              </w:rPr>
              <w:t>信息。</w:t>
            </w:r>
          </w:p>
          <w:p>
            <w:pPr>
              <w:pStyle w:val="8"/>
              <w:spacing w:before="30" w:line="201" w:lineRule="auto"/>
              <w:ind w:left="513"/>
            </w:pPr>
            <w:r>
              <w:rPr>
                <w:spacing w:val="-3"/>
              </w:rPr>
              <w:t>发行人不得在公告公开发行募集文件前发行证券。</w:t>
            </w:r>
          </w:p>
        </w:tc>
        <w:tc>
          <w:tcPr>
            <w:tcW w:w="68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7100" w:type="dxa"/>
            <w:gridSpan w:val="4"/>
            <w:tcBorders>
              <w:bottom w:val="nil"/>
            </w:tcBorders>
            <w:vAlign w:val="top"/>
          </w:tcPr>
          <w:p>
            <w:pPr>
              <w:pStyle w:val="8"/>
              <w:spacing w:before="41" w:line="234" w:lineRule="auto"/>
              <w:ind w:left="9" w:firstLine="503"/>
              <w:jc w:val="both"/>
            </w:pPr>
            <w:r>
              <w:rPr>
                <w:rFonts w:ascii="黑体" w:hAnsi="黑体" w:eastAsia="黑体" w:cs="黑体"/>
                <w:spacing w:val="3"/>
              </w:rPr>
              <w:t>第二十</w:t>
            </w:r>
            <w:r>
              <w:rPr>
                <w:rFonts w:ascii="黑体" w:hAnsi="黑体" w:eastAsia="黑体" w:cs="黑体"/>
                <w:spacing w:val="3"/>
                <w:u w:val="single" w:color="auto"/>
              </w:rPr>
              <w:t>六条</w:t>
            </w:r>
            <w:r>
              <w:rPr>
                <w:rFonts w:ascii="黑体" w:hAnsi="黑体" w:eastAsia="黑体" w:cs="黑体"/>
                <w:spacing w:val="3"/>
              </w:rPr>
              <w:t xml:space="preserve">  </w:t>
            </w:r>
            <w:r>
              <w:rPr>
                <w:spacing w:val="3"/>
              </w:rPr>
              <w:t>国务院证券监督管理机构或者国务院授权的部门</w:t>
            </w:r>
            <w:r>
              <w:rPr>
                <w:spacing w:val="4"/>
              </w:rPr>
              <w:t xml:space="preserve"> </w:t>
            </w:r>
            <w:r>
              <w:rPr>
                <w:spacing w:val="-2"/>
              </w:rPr>
              <w:t>对已作出的</w:t>
            </w:r>
            <w:r>
              <w:rPr>
                <w:position w:val="-7"/>
              </w:rPr>
              <w:drawing>
                <wp:inline distT="0" distB="0" distL="0" distR="0">
                  <wp:extent cx="10795" cy="20383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5"/>
                          <a:stretch>
                            <a:fillRect/>
                          </a:stretch>
                        </pic:blipFill>
                        <pic:spPr>
                          <a:xfrm>
                            <a:off x="0" y="0"/>
                            <a:ext cx="10869" cy="204216"/>
                          </a:xfrm>
                          <a:prstGeom prst="rect">
                            <a:avLst/>
                          </a:prstGeom>
                        </pic:spPr>
                      </pic:pic>
                    </a:graphicData>
                  </a:graphic>
                </wp:inline>
              </w:drawing>
            </w:r>
            <w:r>
              <w:rPr>
                <w:spacing w:val="-2"/>
                <w:u w:val="single" w:color="auto"/>
                <w:shd w:val="clear" w:fill="D9D9D9"/>
              </w:rPr>
              <w:t>核准</w:t>
            </w:r>
            <w:r>
              <w:rPr>
                <w:position w:val="-7"/>
              </w:rPr>
              <w:drawing>
                <wp:inline distT="0" distB="0" distL="0" distR="0">
                  <wp:extent cx="10795" cy="20383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5"/>
                          <a:stretch>
                            <a:fillRect/>
                          </a:stretch>
                        </pic:blipFill>
                        <pic:spPr>
                          <a:xfrm>
                            <a:off x="0" y="0"/>
                            <a:ext cx="10869" cy="204216"/>
                          </a:xfrm>
                          <a:prstGeom prst="rect">
                            <a:avLst/>
                          </a:prstGeom>
                        </pic:spPr>
                      </pic:pic>
                    </a:graphicData>
                  </a:graphic>
                </wp:inline>
              </w:drawing>
            </w:r>
            <w:r>
              <w:rPr>
                <w:spacing w:val="-2"/>
              </w:rPr>
              <w:t>证券发行的决定， 发现不符合法定条件或者法定程</w:t>
            </w:r>
            <w:r>
              <w:rPr>
                <w:spacing w:val="13"/>
              </w:rPr>
              <w:t xml:space="preserve"> </w:t>
            </w:r>
            <w:r>
              <w:rPr>
                <w:spacing w:val="-2"/>
              </w:rPr>
              <w:t>序，尚未发行证</w:t>
            </w:r>
            <w:r>
              <w:rPr>
                <w:position w:val="-8"/>
              </w:rPr>
              <w:drawing>
                <wp:inline distT="0" distB="0" distL="0" distR="0">
                  <wp:extent cx="571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2"/>
                          <a:stretch>
                            <a:fillRect/>
                          </a:stretch>
                        </pic:blipFill>
                        <pic:spPr>
                          <a:xfrm>
                            <a:off x="0" y="0"/>
                            <a:ext cx="6221" cy="6095"/>
                          </a:xfrm>
                          <a:prstGeom prst="rect">
                            <a:avLst/>
                          </a:prstGeom>
                        </pic:spPr>
                      </pic:pic>
                    </a:graphicData>
                  </a:graphic>
                </wp:inline>
              </w:drawing>
            </w:r>
            <w:r>
              <w:rPr>
                <w:spacing w:val="-111"/>
                <w:u w:val="single" w:color="auto"/>
              </w:rPr>
              <w:t xml:space="preserve"> </w:t>
            </w:r>
            <w:r>
              <w:rPr>
                <w:spacing w:val="-2"/>
                <w:u w:val="single" w:color="auto"/>
              </w:rPr>
              <w:t>券的</w:t>
            </w:r>
            <w:r>
              <w:rPr>
                <w:spacing w:val="-115"/>
                <w:u w:val="single" w:color="auto"/>
              </w:rPr>
              <w:t xml:space="preserve"> </w:t>
            </w:r>
            <w:r>
              <w:rPr>
                <w:position w:val="-8"/>
              </w:rPr>
              <w:drawing>
                <wp:inline distT="0" distB="0" distL="0" distR="0">
                  <wp:extent cx="5715"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5"/>
                          <a:stretch>
                            <a:fillRect/>
                          </a:stretch>
                        </pic:blipFill>
                        <pic:spPr>
                          <a:xfrm>
                            <a:off x="0" y="0"/>
                            <a:ext cx="6221" cy="6095"/>
                          </a:xfrm>
                          <a:prstGeom prst="rect">
                            <a:avLst/>
                          </a:prstGeom>
                        </pic:spPr>
                      </pic:pic>
                    </a:graphicData>
                  </a:graphic>
                </wp:inline>
              </w:drawing>
            </w:r>
            <w:r>
              <w:rPr>
                <w:spacing w:val="-97"/>
              </w:rPr>
              <w:t xml:space="preserve"> </w:t>
            </w:r>
            <w:r>
              <w:rPr>
                <w:spacing w:val="-2"/>
              </w:rPr>
              <w:t>，应当予以撤销， 停止发行。已经发行</w:t>
            </w:r>
            <w:r>
              <w:rPr>
                <w:spacing w:val="-3"/>
              </w:rPr>
              <w:t>尚未上</w:t>
            </w:r>
            <w:r>
              <w:t xml:space="preserve"> </w:t>
            </w:r>
            <w:r>
              <w:rPr>
                <w:spacing w:val="-2"/>
              </w:rPr>
              <w:t>市的，撤销发行</w:t>
            </w:r>
            <w:r>
              <w:rPr>
                <w:position w:val="-7"/>
              </w:rPr>
              <w:drawing>
                <wp:inline distT="0" distB="0" distL="0" distR="0">
                  <wp:extent cx="5080" cy="20447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3"/>
                          <a:stretch>
                            <a:fillRect/>
                          </a:stretch>
                        </pic:blipFill>
                        <pic:spPr>
                          <a:xfrm>
                            <a:off x="0" y="0"/>
                            <a:ext cx="5396" cy="204596"/>
                          </a:xfrm>
                          <a:prstGeom prst="rect">
                            <a:avLst/>
                          </a:prstGeom>
                        </pic:spPr>
                      </pic:pic>
                    </a:graphicData>
                  </a:graphic>
                </wp:inline>
              </w:drawing>
            </w:r>
            <w:r>
              <w:rPr>
                <w:position w:val="-7"/>
              </w:rPr>
              <w:drawing>
                <wp:inline distT="0" distB="0" distL="0" distR="0">
                  <wp:extent cx="508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8"/>
                          <a:stretch>
                            <a:fillRect/>
                          </a:stretch>
                        </pic:blipFill>
                        <pic:spPr>
                          <a:xfrm>
                            <a:off x="0" y="0"/>
                            <a:ext cx="5396" cy="6095"/>
                          </a:xfrm>
                          <a:prstGeom prst="rect">
                            <a:avLst/>
                          </a:prstGeom>
                        </pic:spPr>
                      </pic:pic>
                    </a:graphicData>
                  </a:graphic>
                </wp:inline>
              </w:drawing>
            </w:r>
            <w:r>
              <w:rPr>
                <w:spacing w:val="-112"/>
                <w:u w:val="single" w:color="auto"/>
                <w:shd w:val="clear" w:fill="D9D9D9"/>
              </w:rPr>
              <w:t xml:space="preserve"> </w:t>
            </w:r>
            <w:r>
              <w:rPr>
                <w:spacing w:val="-2"/>
                <w:u w:val="single" w:color="auto"/>
                <w:shd w:val="clear" w:fill="D9D9D9"/>
              </w:rPr>
              <w:t>核准</w:t>
            </w:r>
            <w:r>
              <w:rPr>
                <w:position w:val="-7"/>
              </w:rPr>
              <w:drawing>
                <wp:inline distT="0" distB="0" distL="0" distR="0">
                  <wp:extent cx="5080" cy="20447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7"/>
                          <a:stretch>
                            <a:fillRect/>
                          </a:stretch>
                        </pic:blipFill>
                        <pic:spPr>
                          <a:xfrm>
                            <a:off x="0" y="0"/>
                            <a:ext cx="5396" cy="204596"/>
                          </a:xfrm>
                          <a:prstGeom prst="rect">
                            <a:avLst/>
                          </a:prstGeom>
                        </pic:spPr>
                      </pic:pic>
                    </a:graphicData>
                  </a:graphic>
                </wp:inline>
              </w:drawing>
            </w:r>
            <w:r>
              <w:rPr>
                <w:position w:val="-7"/>
              </w:rPr>
              <w:drawing>
                <wp:inline distT="0" distB="0" distL="0" distR="0">
                  <wp:extent cx="508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2"/>
                          <a:stretch>
                            <a:fillRect/>
                          </a:stretch>
                        </pic:blipFill>
                        <pic:spPr>
                          <a:xfrm>
                            <a:off x="0" y="0"/>
                            <a:ext cx="5396" cy="6095"/>
                          </a:xfrm>
                          <a:prstGeom prst="rect">
                            <a:avLst/>
                          </a:prstGeom>
                        </pic:spPr>
                      </pic:pic>
                    </a:graphicData>
                  </a:graphic>
                </wp:inline>
              </w:drawing>
            </w:r>
            <w:r>
              <w:rPr>
                <w:spacing w:val="-105"/>
              </w:rPr>
              <w:t xml:space="preserve"> </w:t>
            </w:r>
            <w:r>
              <w:rPr>
                <w:spacing w:val="-2"/>
              </w:rPr>
              <w:t>决定， 发行人应当按照</w:t>
            </w:r>
            <w:r>
              <w:rPr>
                <w:spacing w:val="-3"/>
              </w:rPr>
              <w:t>发行价并加算银行同期</w:t>
            </w:r>
            <w:r>
              <w:t xml:space="preserve"> </w:t>
            </w:r>
            <w:r>
              <w:rPr>
                <w:spacing w:val="4"/>
              </w:rPr>
              <w:t>存款利息返还证券持有人；保荐人应当与发行人承担连带责任</w:t>
            </w:r>
            <w:r>
              <w:rPr>
                <w:spacing w:val="3"/>
              </w:rPr>
              <w:t>，但</w:t>
            </w:r>
            <w:r>
              <w:t xml:space="preserve"> </w:t>
            </w:r>
            <w:r>
              <w:rPr>
                <w:spacing w:val="4"/>
              </w:rPr>
              <w:t>是能够证明自己没有过错的除外；发行人的控股股东、实际控</w:t>
            </w:r>
            <w:r>
              <w:rPr>
                <w:spacing w:val="3"/>
              </w:rPr>
              <w:t>制人</w:t>
            </w:r>
          </w:p>
        </w:tc>
        <w:tc>
          <w:tcPr>
            <w:tcW w:w="6807" w:type="dxa"/>
            <w:vMerge w:val="restart"/>
            <w:tcBorders>
              <w:bottom w:val="nil"/>
            </w:tcBorders>
            <w:vAlign w:val="top"/>
          </w:tcPr>
          <w:p>
            <w:pPr>
              <w:pStyle w:val="8"/>
              <w:spacing w:before="47" w:line="236" w:lineRule="auto"/>
              <w:ind w:left="9" w:right="6" w:firstLine="481"/>
              <w:jc w:val="both"/>
            </w:pPr>
            <w:r>
              <w:rPr>
                <w:rFonts w:ascii="黑体" w:hAnsi="黑体" w:eastAsia="黑体" w:cs="黑体"/>
                <w:spacing w:val="2"/>
              </w:rPr>
              <w:t xml:space="preserve">第二十四条  </w:t>
            </w:r>
            <w:r>
              <w:rPr>
                <w:spacing w:val="2"/>
              </w:rPr>
              <w:t>国务院证券监督管理机构或者国务院授权</w:t>
            </w:r>
            <w:r>
              <w:rPr>
                <w:spacing w:val="1"/>
              </w:rPr>
              <w:t>的部</w:t>
            </w:r>
            <w:r>
              <w:t xml:space="preserve"> </w:t>
            </w:r>
            <w:r>
              <w:rPr>
                <w:spacing w:val="-2"/>
              </w:rPr>
              <w:t>门对已作出的证券发行</w:t>
            </w:r>
            <w:r>
              <w:rPr>
                <w:rFonts w:ascii="黑体" w:hAnsi="黑体" w:eastAsia="黑体" w:cs="黑体"/>
                <w:spacing w:val="-2"/>
              </w:rPr>
              <w:t>注册</w:t>
            </w:r>
            <w:r>
              <w:rPr>
                <w:spacing w:val="-2"/>
              </w:rPr>
              <w:t>的决定， 发现不</w:t>
            </w:r>
            <w:r>
              <w:rPr>
                <w:spacing w:val="-3"/>
              </w:rPr>
              <w:t>符合法定条件或者法</w:t>
            </w:r>
            <w:r>
              <w:t xml:space="preserve"> </w:t>
            </w:r>
            <w:r>
              <w:rPr>
                <w:spacing w:val="-6"/>
              </w:rPr>
              <w:t>定程序， 尚未发行证券的， 应当予以撤销，停止</w:t>
            </w:r>
            <w:r>
              <w:rPr>
                <w:spacing w:val="-7"/>
              </w:rPr>
              <w:t>发行。已经发行</w:t>
            </w:r>
            <w:r>
              <w:t xml:space="preserve"> </w:t>
            </w:r>
            <w:r>
              <w:rPr>
                <w:spacing w:val="-2"/>
              </w:rPr>
              <w:t>尚未上市的， 撤销发行</w:t>
            </w:r>
            <w:r>
              <w:rPr>
                <w:rFonts w:ascii="黑体" w:hAnsi="黑体" w:eastAsia="黑体" w:cs="黑体"/>
                <w:spacing w:val="-2"/>
              </w:rPr>
              <w:t>注册</w:t>
            </w:r>
            <w:r>
              <w:rPr>
                <w:spacing w:val="-2"/>
              </w:rPr>
              <w:t>决定，发行人应</w:t>
            </w:r>
            <w:r>
              <w:rPr>
                <w:spacing w:val="-3"/>
              </w:rPr>
              <w:t>当按照发行价并加算</w:t>
            </w:r>
            <w:r>
              <w:t xml:space="preserve"> </w:t>
            </w:r>
            <w:r>
              <w:rPr>
                <w:spacing w:val="-2"/>
              </w:rPr>
              <w:t xml:space="preserve">银行同期存款利息返还证券持有人； </w:t>
            </w:r>
            <w:r>
              <w:rPr>
                <w:rFonts w:ascii="黑体" w:hAnsi="黑体" w:eastAsia="黑体" w:cs="黑体"/>
                <w:spacing w:val="-2"/>
              </w:rPr>
              <w:t>发行人的</w:t>
            </w:r>
            <w:r>
              <w:rPr>
                <w:rFonts w:ascii="黑体" w:hAnsi="黑体" w:eastAsia="黑体" w:cs="黑体"/>
                <w:spacing w:val="-3"/>
              </w:rPr>
              <w:t>控股股东、实际控</w:t>
            </w:r>
            <w:r>
              <w:rPr>
                <w:rFonts w:ascii="黑体" w:hAnsi="黑体" w:eastAsia="黑体" w:cs="黑体"/>
              </w:rPr>
              <w:t xml:space="preserve"> </w:t>
            </w:r>
            <w:r>
              <w:rPr>
                <w:rFonts w:ascii="黑体" w:hAnsi="黑体" w:eastAsia="黑体" w:cs="黑体"/>
                <w:spacing w:val="2"/>
              </w:rPr>
              <w:t>制人以及</w:t>
            </w:r>
            <w:r>
              <w:rPr>
                <w:spacing w:val="2"/>
              </w:rPr>
              <w:t>保荐人，应当与发行人承担连带责任，但是能够</w:t>
            </w:r>
            <w:r>
              <w:rPr>
                <w:spacing w:val="1"/>
              </w:rPr>
              <w:t>证明自</w:t>
            </w:r>
            <w:r>
              <w:t xml:space="preserve"> </w:t>
            </w:r>
            <w:r>
              <w:rPr>
                <w:spacing w:val="-6"/>
              </w:rPr>
              <w:t>己没有过错的除外。</w:t>
            </w:r>
          </w:p>
          <w:p>
            <w:pPr>
              <w:spacing w:before="27" w:line="232" w:lineRule="auto"/>
              <w:ind w:left="10" w:right="7" w:firstLine="499"/>
              <w:jc w:val="both"/>
              <w:rPr>
                <w:rFonts w:ascii="黑体" w:hAnsi="黑体" w:eastAsia="黑体" w:cs="黑体"/>
                <w:sz w:val="24"/>
                <w:szCs w:val="24"/>
              </w:rPr>
            </w:pPr>
            <w:r>
              <w:rPr>
                <w:rFonts w:ascii="黑体" w:hAnsi="黑体" w:eastAsia="黑体" w:cs="黑体"/>
                <w:spacing w:val="1"/>
                <w:sz w:val="24"/>
                <w:szCs w:val="24"/>
              </w:rPr>
              <w:t>股票、存托凭证的发行人在招股说明书等证券发行文件中隐</w:t>
            </w:r>
            <w:r>
              <w:rPr>
                <w:rFonts w:ascii="黑体" w:hAnsi="黑体" w:eastAsia="黑体" w:cs="黑体"/>
                <w:spacing w:val="7"/>
                <w:sz w:val="24"/>
                <w:szCs w:val="24"/>
              </w:rPr>
              <w:t xml:space="preserve"> </w:t>
            </w:r>
            <w:r>
              <w:rPr>
                <w:rFonts w:ascii="黑体" w:hAnsi="黑体" w:eastAsia="黑体" w:cs="黑体"/>
                <w:spacing w:val="-2"/>
                <w:sz w:val="24"/>
                <w:szCs w:val="24"/>
              </w:rPr>
              <w:t>瞒重要事实或者编造重大虚假内容， 已经</w:t>
            </w:r>
            <w:r>
              <w:rPr>
                <w:rFonts w:ascii="黑体" w:hAnsi="黑体" w:eastAsia="黑体" w:cs="黑体"/>
                <w:spacing w:val="-3"/>
                <w:sz w:val="24"/>
                <w:szCs w:val="24"/>
              </w:rPr>
              <w:t>发行并上市的，国务院</w:t>
            </w:r>
            <w:r>
              <w:rPr>
                <w:rFonts w:ascii="黑体" w:hAnsi="黑体" w:eastAsia="黑体" w:cs="黑体"/>
                <w:sz w:val="24"/>
                <w:szCs w:val="24"/>
              </w:rPr>
              <w:t xml:space="preserve"> </w:t>
            </w:r>
            <w:r>
              <w:rPr>
                <w:rFonts w:ascii="黑体" w:hAnsi="黑体" w:eastAsia="黑体" w:cs="黑体"/>
                <w:spacing w:val="-2"/>
                <w:sz w:val="24"/>
                <w:szCs w:val="24"/>
              </w:rPr>
              <w:t>证券监督管理机构可以责令发行人回购证券</w:t>
            </w:r>
            <w:r>
              <w:rPr>
                <w:rFonts w:ascii="黑体" w:hAnsi="黑体" w:eastAsia="黑体" w:cs="黑体"/>
                <w:spacing w:val="-3"/>
                <w:sz w:val="24"/>
                <w:szCs w:val="24"/>
              </w:rPr>
              <w:t>， 或者责令负有责任</w:t>
            </w:r>
            <w:r>
              <w:rPr>
                <w:rFonts w:ascii="黑体" w:hAnsi="黑体" w:eastAsia="黑体" w:cs="黑体"/>
                <w:sz w:val="24"/>
                <w:szCs w:val="24"/>
              </w:rPr>
              <w:t xml:space="preserve"> </w:t>
            </w:r>
            <w:r>
              <w:rPr>
                <w:rFonts w:ascii="黑体" w:hAnsi="黑体" w:eastAsia="黑体" w:cs="黑体"/>
                <w:spacing w:val="-3"/>
                <w:sz w:val="24"/>
                <w:szCs w:val="24"/>
              </w:rPr>
              <w:t>的控股股东、实际控制人买回证券。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53" w:type="dxa"/>
            <w:tcBorders>
              <w:top w:val="single" w:color="000000" w:sz="2" w:space="0"/>
              <w:bottom w:val="single" w:color="000000" w:sz="2" w:space="0"/>
              <w:right w:val="single" w:color="000000" w:sz="2" w:space="0"/>
            </w:tcBorders>
            <w:shd w:val="clear" w:color="auto" w:fill="D9D9D9"/>
            <w:vAlign w:val="top"/>
          </w:tcPr>
          <w:p>
            <w:pPr>
              <w:pStyle w:val="8"/>
              <w:spacing w:before="51" w:line="196" w:lineRule="auto"/>
              <w:ind w:right="4"/>
              <w:jc w:val="right"/>
            </w:pPr>
            <w:r>
              <w:rPr>
                <w:spacing w:val="-4"/>
              </w:rPr>
              <w:t>有过错</w:t>
            </w:r>
          </w:p>
        </w:tc>
        <w:tc>
          <w:tcPr>
            <w:tcW w:w="6347" w:type="dxa"/>
            <w:gridSpan w:val="3"/>
            <w:vMerge w:val="restart"/>
            <w:tcBorders>
              <w:top w:val="nil"/>
              <w:left w:val="nil"/>
              <w:bottom w:val="nil"/>
            </w:tcBorders>
            <w:vAlign w:val="top"/>
          </w:tcPr>
          <w:p>
            <w:pPr>
              <w:pStyle w:val="8"/>
              <w:spacing w:before="51" w:line="215" w:lineRule="auto"/>
              <w:ind w:left="25"/>
            </w:pPr>
            <w:r>
              <w:rPr>
                <w:spacing w:val="-5"/>
              </w:rPr>
              <w:t>的，应当与发行人承担连带责任。</w:t>
            </w:r>
          </w:p>
        </w:tc>
        <w:tc>
          <w:tcPr>
            <w:tcW w:w="680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753" w:type="dxa"/>
            <w:tcBorders>
              <w:top w:val="single" w:color="000000" w:sz="2" w:space="0"/>
              <w:right w:val="nil"/>
            </w:tcBorders>
            <w:vAlign w:val="top"/>
          </w:tcPr>
          <w:p>
            <w:pPr>
              <w:rPr>
                <w:rFonts w:ascii="Arial"/>
                <w:sz w:val="21"/>
              </w:rPr>
            </w:pPr>
          </w:p>
        </w:tc>
        <w:tc>
          <w:tcPr>
            <w:tcW w:w="6347" w:type="dxa"/>
            <w:gridSpan w:val="3"/>
            <w:vMerge w:val="continue"/>
            <w:tcBorders>
              <w:top w:val="nil"/>
              <w:left w:val="nil"/>
            </w:tcBorders>
            <w:vAlign w:val="top"/>
          </w:tcPr>
          <w:p>
            <w:pPr>
              <w:rPr>
                <w:rFonts w:ascii="Arial"/>
                <w:sz w:val="21"/>
              </w:rPr>
            </w:pPr>
          </w:p>
        </w:tc>
        <w:tc>
          <w:tcPr>
            <w:tcW w:w="6807" w:type="dxa"/>
            <w:vMerge w:val="continue"/>
            <w:tcBorders>
              <w:top w:val="nil"/>
            </w:tcBorders>
            <w:vAlign w:val="top"/>
          </w:tcPr>
          <w:p>
            <w:pPr>
              <w:rPr>
                <w:rFonts w:ascii="Arial"/>
                <w:sz w:val="21"/>
              </w:rPr>
            </w:pPr>
          </w:p>
        </w:tc>
      </w:tr>
    </w:tbl>
    <w:p>
      <w:pPr>
        <w:spacing w:before="99" w:line="186" w:lineRule="auto"/>
        <w:ind w:left="696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pPr>
        <w:spacing w:line="186" w:lineRule="auto"/>
        <w:rPr>
          <w:rFonts w:ascii="Times New Roman" w:hAnsi="Times New Roman" w:eastAsia="Times New Roman" w:cs="Times New Roman"/>
          <w:sz w:val="18"/>
          <w:szCs w:val="18"/>
        </w:rPr>
        <w:sectPr>
          <w:footerReference r:id="rId12"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5966"/>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7100" w:type="dxa"/>
            <w:gridSpan w:val="2"/>
            <w:vAlign w:val="top"/>
          </w:tcPr>
          <w:p>
            <w:pPr>
              <w:pStyle w:val="8"/>
              <w:spacing w:before="41" w:line="228" w:lineRule="auto"/>
              <w:ind w:left="13" w:firstLine="499"/>
            </w:pPr>
            <w:r>
              <w:rPr>
                <w:rFonts w:ascii="黑体" w:hAnsi="黑体" w:eastAsia="黑体" w:cs="黑体"/>
                <w:spacing w:val="-5"/>
              </w:rPr>
              <w:t xml:space="preserve">第二十七条  </w:t>
            </w:r>
            <w:r>
              <w:rPr>
                <w:spacing w:val="-5"/>
              </w:rPr>
              <w:t>股票依法发行后， 发行人经营与收益的变化， 由</w:t>
            </w:r>
            <w:r>
              <w:t xml:space="preserve"> </w:t>
            </w:r>
            <w:r>
              <w:rPr>
                <w:spacing w:val="-2"/>
              </w:rPr>
              <w:t>发行人自行负责；由此变化引致的投资风险，由投资者自行负责。</w:t>
            </w:r>
          </w:p>
        </w:tc>
        <w:tc>
          <w:tcPr>
            <w:tcW w:w="6807" w:type="dxa"/>
            <w:vAlign w:val="top"/>
          </w:tcPr>
          <w:p>
            <w:pPr>
              <w:pStyle w:val="8"/>
              <w:spacing w:before="40" w:line="233" w:lineRule="auto"/>
              <w:ind w:left="19" w:right="7" w:firstLine="472"/>
            </w:pPr>
            <w:r>
              <w:rPr>
                <w:rFonts w:ascii="黑体" w:hAnsi="黑体" w:eastAsia="黑体" w:cs="黑体"/>
                <w:spacing w:val="-5"/>
              </w:rPr>
              <w:t xml:space="preserve">第二十五条  </w:t>
            </w:r>
            <w:r>
              <w:rPr>
                <w:spacing w:val="-5"/>
              </w:rPr>
              <w:t>股票依法发行后， 发行人经营与收益的变化，</w:t>
            </w:r>
            <w:r>
              <w:rPr>
                <w:spacing w:val="17"/>
              </w:rPr>
              <w:t xml:space="preserve"> </w:t>
            </w:r>
            <w:r>
              <w:rPr>
                <w:spacing w:val="1"/>
              </w:rPr>
              <w:t>由发行人自行负责；由此变化引致的投资风险，由投资者自行负</w:t>
            </w:r>
            <w:r>
              <w:rPr>
                <w:spacing w:val="16"/>
              </w:rPr>
              <w:t xml:space="preserve"> </w:t>
            </w:r>
            <w:r>
              <w:rPr>
                <w:spacing w:val="-17"/>
              </w:rPr>
              <w:t>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0" w:hRule="atLeast"/>
        </w:trPr>
        <w:tc>
          <w:tcPr>
            <w:tcW w:w="7100" w:type="dxa"/>
            <w:gridSpan w:val="2"/>
            <w:vAlign w:val="top"/>
          </w:tcPr>
          <w:p>
            <w:pPr>
              <w:pStyle w:val="8"/>
              <w:spacing w:before="33" w:line="232" w:lineRule="auto"/>
              <w:ind w:left="13" w:firstLine="499"/>
            </w:pPr>
            <w:r>
              <w:rPr>
                <w:rFonts w:ascii="黑体" w:hAnsi="黑体" w:eastAsia="黑体" w:cs="黑体"/>
                <w:spacing w:val="-1"/>
              </w:rPr>
              <w:t xml:space="preserve">第二十八条  </w:t>
            </w:r>
            <w:r>
              <w:rPr>
                <w:spacing w:val="-1"/>
              </w:rPr>
              <w:t>发行人向不特定对象发行的证券， 法律、</w:t>
            </w:r>
            <w:r>
              <w:rPr>
                <w:spacing w:val="-2"/>
              </w:rPr>
              <w:t>行政法</w:t>
            </w:r>
            <w:r>
              <w:t xml:space="preserve"> </w:t>
            </w:r>
            <w:r>
              <w:rPr>
                <w:spacing w:val="4"/>
              </w:rPr>
              <w:t>规规定应当由证券公司承销的，发行人应当同证券公</w:t>
            </w:r>
            <w:r>
              <w:rPr>
                <w:spacing w:val="3"/>
              </w:rPr>
              <w:t>司签订承销协</w:t>
            </w:r>
            <w:r>
              <w:t xml:space="preserve"> </w:t>
            </w:r>
            <w:r>
              <w:rPr>
                <w:spacing w:val="-3"/>
              </w:rPr>
              <w:t>议。证券承销业务采取代销或者包销方式。</w:t>
            </w:r>
          </w:p>
          <w:p>
            <w:pPr>
              <w:pStyle w:val="8"/>
              <w:spacing w:before="30" w:line="227" w:lineRule="auto"/>
              <w:ind w:left="16" w:right="54" w:firstLine="504"/>
            </w:pPr>
            <w:r>
              <w:rPr>
                <w:spacing w:val="-3"/>
              </w:rPr>
              <w:t xml:space="preserve">证券代销是指证券公司代发行人发售证券， </w:t>
            </w:r>
            <w:r>
              <w:rPr>
                <w:spacing w:val="-4"/>
              </w:rPr>
              <w:t>在承销期结束时，</w:t>
            </w:r>
            <w:r>
              <w:t xml:space="preserve"> </w:t>
            </w:r>
            <w:r>
              <w:rPr>
                <w:spacing w:val="-3"/>
              </w:rPr>
              <w:t>将未售出的证券全部退还给发行人的承销方式。</w:t>
            </w:r>
          </w:p>
          <w:p>
            <w:pPr>
              <w:pStyle w:val="8"/>
              <w:spacing w:before="31" w:line="223" w:lineRule="auto"/>
              <w:ind w:left="16" w:firstLine="504"/>
            </w:pPr>
            <w:r>
              <w:rPr>
                <w:spacing w:val="3"/>
              </w:rPr>
              <w:t>证券包销是指证券公司将发行人的证券按照协议全部购入或者</w:t>
            </w:r>
            <w:r>
              <w:rPr>
                <w:spacing w:val="2"/>
              </w:rPr>
              <w:t xml:space="preserve"> </w:t>
            </w:r>
            <w:r>
              <w:rPr>
                <w:spacing w:val="-3"/>
              </w:rPr>
              <w:t>在承销期结束时将售后剩余证券全部自行购入的承销方式。</w:t>
            </w:r>
          </w:p>
        </w:tc>
        <w:tc>
          <w:tcPr>
            <w:tcW w:w="6807" w:type="dxa"/>
            <w:vAlign w:val="top"/>
          </w:tcPr>
          <w:p>
            <w:pPr>
              <w:pStyle w:val="8"/>
              <w:spacing w:before="33" w:line="232" w:lineRule="auto"/>
              <w:ind w:left="7" w:right="5" w:firstLine="503"/>
            </w:pPr>
            <w:r>
              <w:rPr>
                <w:rFonts w:ascii="黑体" w:hAnsi="黑体" w:eastAsia="黑体" w:cs="黑体"/>
                <w:spacing w:val="-5"/>
              </w:rPr>
              <w:t xml:space="preserve">第二十六条  </w:t>
            </w:r>
            <w:r>
              <w:rPr>
                <w:spacing w:val="-5"/>
              </w:rPr>
              <w:t>发行人向不特定对象发行的证券，</w:t>
            </w:r>
            <w:r>
              <w:rPr>
                <w:spacing w:val="50"/>
              </w:rPr>
              <w:t xml:space="preserve"> </w:t>
            </w:r>
            <w:r>
              <w:rPr>
                <w:spacing w:val="-5"/>
              </w:rPr>
              <w:t>法律、行政</w:t>
            </w:r>
            <w:r>
              <w:t xml:space="preserve"> </w:t>
            </w:r>
            <w:r>
              <w:rPr>
                <w:spacing w:val="2"/>
              </w:rPr>
              <w:t>法规规定应当由证券公司承销的，发行人应当同证券公司签订承</w:t>
            </w:r>
            <w:r>
              <w:t xml:space="preserve"> </w:t>
            </w:r>
            <w:r>
              <w:rPr>
                <w:spacing w:val="-3"/>
              </w:rPr>
              <w:t>销协议。证券承销业务采取代销或者包销方式。</w:t>
            </w:r>
          </w:p>
          <w:p>
            <w:pPr>
              <w:pStyle w:val="8"/>
              <w:spacing w:before="30" w:line="227" w:lineRule="auto"/>
              <w:ind w:left="34" w:right="7" w:firstLine="484"/>
            </w:pPr>
            <w:r>
              <w:rPr>
                <w:spacing w:val="10"/>
              </w:rPr>
              <w:t>证券代销是指证券公司代发行人发售证券，在承销期结束</w:t>
            </w:r>
            <w:r>
              <w:rPr>
                <w:spacing w:val="15"/>
              </w:rPr>
              <w:t xml:space="preserve"> </w:t>
            </w:r>
            <w:r>
              <w:rPr>
                <w:spacing w:val="-4"/>
              </w:rPr>
              <w:t>时，将未售出的证券全部退还给发行人的承销方式。</w:t>
            </w:r>
          </w:p>
          <w:p>
            <w:pPr>
              <w:pStyle w:val="8"/>
              <w:spacing w:before="31" w:line="223" w:lineRule="auto"/>
              <w:ind w:left="13" w:right="7" w:firstLine="504"/>
            </w:pPr>
            <w:r>
              <w:rPr>
                <w:spacing w:val="1"/>
              </w:rPr>
              <w:t>证券包销是指证券公司将发行人的证券按照协议全部购入或</w:t>
            </w:r>
            <w:r>
              <w:t xml:space="preserve"> </w:t>
            </w:r>
            <w:r>
              <w:rPr>
                <w:spacing w:val="-2"/>
              </w:rPr>
              <w:t>者在承销期结束时将售后剩余证券全部自行购入的</w:t>
            </w:r>
            <w:r>
              <w:rPr>
                <w:spacing w:val="-3"/>
              </w:rPr>
              <w:t>承销方式。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100" w:type="dxa"/>
            <w:gridSpan w:val="2"/>
            <w:tcBorders>
              <w:bottom w:val="nil"/>
            </w:tcBorders>
            <w:vAlign w:val="top"/>
          </w:tcPr>
          <w:p>
            <w:pPr>
              <w:pStyle w:val="8"/>
              <w:spacing w:before="36" w:line="187" w:lineRule="auto"/>
              <w:jc w:val="right"/>
            </w:pPr>
            <w:r>
              <w:rPr>
                <w:rFonts w:ascii="黑体" w:hAnsi="黑体" w:eastAsia="黑体" w:cs="黑体"/>
                <w:spacing w:val="3"/>
              </w:rPr>
              <w:t xml:space="preserve">第二十九条  </w:t>
            </w:r>
            <w:r>
              <w:rPr>
                <w:spacing w:val="3"/>
              </w:rPr>
              <w:t>公开发行证券的发行人有权依法自主选择承销的</w:t>
            </w:r>
          </w:p>
        </w:tc>
        <w:tc>
          <w:tcPr>
            <w:tcW w:w="6807" w:type="dxa"/>
            <w:vMerge w:val="restart"/>
            <w:tcBorders>
              <w:bottom w:val="nil"/>
            </w:tcBorders>
            <w:vAlign w:val="top"/>
          </w:tcPr>
          <w:p>
            <w:pPr>
              <w:pStyle w:val="8"/>
              <w:spacing w:before="37" w:line="219" w:lineRule="auto"/>
              <w:ind w:right="5"/>
              <w:jc w:val="right"/>
            </w:pPr>
            <w:r>
              <w:rPr>
                <w:rFonts w:ascii="黑体" w:hAnsi="黑体" w:eastAsia="黑体" w:cs="黑体"/>
                <w:spacing w:val="1"/>
              </w:rPr>
              <w:t xml:space="preserve">第二十七条  </w:t>
            </w:r>
            <w:r>
              <w:rPr>
                <w:spacing w:val="1"/>
              </w:rPr>
              <w:t>公开发行证券的发行人有权依法自主选择承销</w:t>
            </w:r>
          </w:p>
          <w:p>
            <w:pPr>
              <w:pStyle w:val="8"/>
              <w:spacing w:before="26" w:line="218" w:lineRule="auto"/>
              <w:ind w:left="32"/>
            </w:pPr>
            <w:r>
              <w:rPr>
                <w:spacing w:val="-11"/>
              </w:rPr>
              <w:t>的证券公司。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134" w:type="dxa"/>
            <w:tcBorders>
              <w:top w:val="nil"/>
              <w:right w:val="nil"/>
            </w:tcBorders>
            <w:vAlign w:val="top"/>
          </w:tcPr>
          <w:p>
            <w:pPr>
              <w:pStyle w:val="8"/>
              <w:spacing w:before="70" w:line="218" w:lineRule="auto"/>
              <w:jc w:val="right"/>
            </w:pPr>
            <w:r>
              <w:rPr>
                <w:spacing w:val="-19"/>
              </w:rPr>
              <w:t>证券公司。</w:t>
            </w:r>
          </w:p>
        </w:tc>
        <w:tc>
          <w:tcPr>
            <w:tcW w:w="5966" w:type="dxa"/>
            <w:tcBorders>
              <w:top w:val="nil"/>
              <w:left w:val="nil"/>
            </w:tcBorders>
            <w:vAlign w:val="top"/>
          </w:tcPr>
          <w:p>
            <w:pPr>
              <w:spacing w:line="23" w:lineRule="exact"/>
            </w:pPr>
          </w:p>
          <w:tbl>
            <w:tblPr>
              <w:tblStyle w:val="7"/>
              <w:tblW w:w="5534" w:type="dxa"/>
              <w:tblInd w:w="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534" w:type="dxa"/>
                  <w:vAlign w:val="top"/>
                </w:tcPr>
                <w:p>
                  <w:pPr>
                    <w:pStyle w:val="8"/>
                    <w:spacing w:before="41" w:line="207" w:lineRule="auto"/>
                    <w:ind w:left="21"/>
                  </w:pPr>
                  <w:r>
                    <w:rPr>
                      <w:spacing w:val="-8"/>
                      <w:shd w:val="clear" w:fill="D9D9D9"/>
                    </w:rPr>
                    <w:t>证券公司不得以不正当竞争手段招揽证券承销</w:t>
                  </w:r>
                  <w:r>
                    <w:rPr>
                      <w:spacing w:val="-9"/>
                      <w:shd w:val="clear" w:fill="D9D9D9"/>
                    </w:rPr>
                    <w:t>业务。</w:t>
                  </w:r>
                  <w:r>
                    <w:rPr>
                      <w:shd w:val="clear" w:fill="D9D9D9"/>
                    </w:rPr>
                    <w:t xml:space="preserve">  </w:t>
                  </w:r>
                </w:p>
              </w:tc>
            </w:tr>
          </w:tbl>
          <w:p>
            <w:pPr>
              <w:rPr>
                <w:rFonts w:ascii="Arial"/>
                <w:sz w:val="21"/>
              </w:rPr>
            </w:pPr>
          </w:p>
        </w:tc>
        <w:tc>
          <w:tcPr>
            <w:tcW w:w="68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2" w:hRule="atLeast"/>
        </w:trPr>
        <w:tc>
          <w:tcPr>
            <w:tcW w:w="7100" w:type="dxa"/>
            <w:gridSpan w:val="2"/>
            <w:vAlign w:val="top"/>
          </w:tcPr>
          <w:p>
            <w:pPr>
              <w:pStyle w:val="8"/>
              <w:spacing w:before="37" w:line="229" w:lineRule="auto"/>
              <w:ind w:left="9" w:firstLine="503"/>
            </w:pPr>
            <w:r>
              <w:rPr>
                <w:rFonts w:ascii="黑体" w:hAnsi="黑体" w:eastAsia="黑体" w:cs="黑体"/>
                <w:spacing w:val="-1"/>
              </w:rPr>
              <w:t xml:space="preserve">第三十条  </w:t>
            </w:r>
            <w:r>
              <w:rPr>
                <w:spacing w:val="-1"/>
              </w:rPr>
              <w:t>证券公司承销证券， 应当同发行人签订代销或者包</w:t>
            </w:r>
            <w:r>
              <w:t xml:space="preserve"> </w:t>
            </w:r>
            <w:r>
              <w:rPr>
                <w:spacing w:val="-6"/>
              </w:rPr>
              <w:t>销协议，载明下列事项：</w:t>
            </w:r>
          </w:p>
          <w:p>
            <w:pPr>
              <w:pStyle w:val="8"/>
              <w:spacing w:before="26" w:line="216" w:lineRule="auto"/>
              <w:ind w:left="503"/>
            </w:pPr>
            <w:r>
              <w:rPr>
                <w:spacing w:val="-3"/>
              </w:rPr>
              <w:t>（一）当事人的名称、住所及法定代表人姓名；</w:t>
            </w:r>
          </w:p>
          <w:p>
            <w:pPr>
              <w:pStyle w:val="8"/>
              <w:spacing w:before="29" w:line="216" w:lineRule="auto"/>
              <w:ind w:left="503"/>
            </w:pPr>
            <w:r>
              <w:rPr>
                <w:spacing w:val="-3"/>
              </w:rPr>
              <w:t>（二）代销、包销证券的种类、数量、金额及发行价格；</w:t>
            </w:r>
          </w:p>
          <w:p>
            <w:pPr>
              <w:pStyle w:val="8"/>
              <w:spacing w:before="33" w:line="217" w:lineRule="auto"/>
              <w:ind w:left="503"/>
            </w:pPr>
            <w:r>
              <w:rPr>
                <w:spacing w:val="-4"/>
              </w:rPr>
              <w:t>（三）代销、包销的期限及起止日期；</w:t>
            </w:r>
          </w:p>
          <w:p>
            <w:pPr>
              <w:pStyle w:val="8"/>
              <w:spacing w:before="29" w:line="217" w:lineRule="auto"/>
              <w:ind w:left="503"/>
            </w:pPr>
            <w:r>
              <w:rPr>
                <w:spacing w:val="-4"/>
              </w:rPr>
              <w:t>（四）代销、包销的付款方式及日期；</w:t>
            </w:r>
          </w:p>
          <w:p>
            <w:pPr>
              <w:pStyle w:val="8"/>
              <w:spacing w:before="27" w:line="217" w:lineRule="auto"/>
              <w:ind w:left="503"/>
            </w:pPr>
            <w:r>
              <w:rPr>
                <w:spacing w:val="-4"/>
              </w:rPr>
              <w:t>（五）代销、包销的费用和结算办法；</w:t>
            </w:r>
          </w:p>
          <w:p>
            <w:pPr>
              <w:pStyle w:val="8"/>
              <w:spacing w:before="31" w:line="217" w:lineRule="auto"/>
              <w:ind w:left="503"/>
            </w:pPr>
            <w:r>
              <w:rPr>
                <w:spacing w:val="-7"/>
              </w:rPr>
              <w:t>（六）违约责任；</w:t>
            </w:r>
          </w:p>
          <w:p>
            <w:pPr>
              <w:pStyle w:val="8"/>
              <w:spacing w:before="30" w:line="202" w:lineRule="auto"/>
              <w:ind w:left="503"/>
            </w:pPr>
            <w:r>
              <w:rPr>
                <w:spacing w:val="-3"/>
              </w:rPr>
              <w:t>（七）国务院证券监督管理机构规定的其他事项。</w:t>
            </w:r>
          </w:p>
        </w:tc>
        <w:tc>
          <w:tcPr>
            <w:tcW w:w="6807" w:type="dxa"/>
            <w:vAlign w:val="top"/>
          </w:tcPr>
          <w:p>
            <w:pPr>
              <w:pStyle w:val="8"/>
              <w:spacing w:before="37" w:line="229" w:lineRule="auto"/>
              <w:ind w:left="13" w:right="5" w:firstLine="497"/>
            </w:pPr>
            <w:r>
              <w:rPr>
                <w:rFonts w:ascii="黑体" w:hAnsi="黑体" w:eastAsia="黑体" w:cs="黑体"/>
                <w:spacing w:val="1"/>
              </w:rPr>
              <w:t xml:space="preserve">第二十八条  </w:t>
            </w:r>
            <w:r>
              <w:rPr>
                <w:spacing w:val="1"/>
              </w:rPr>
              <w:t>证券公司承销证券，应当同发行人签订代销或</w:t>
            </w:r>
            <w:r>
              <w:rPr>
                <w:spacing w:val="8"/>
              </w:rPr>
              <w:t xml:space="preserve"> </w:t>
            </w:r>
            <w:r>
              <w:rPr>
                <w:spacing w:val="-6"/>
              </w:rPr>
              <w:t>者包销协议，载明下列事项：</w:t>
            </w:r>
          </w:p>
          <w:p>
            <w:pPr>
              <w:pStyle w:val="8"/>
              <w:spacing w:before="26" w:line="216" w:lineRule="auto"/>
              <w:ind w:left="501"/>
            </w:pPr>
            <w:r>
              <w:rPr>
                <w:spacing w:val="-3"/>
              </w:rPr>
              <w:t>（一）当事人的名称、住所及法定代表人姓名；</w:t>
            </w:r>
          </w:p>
          <w:p>
            <w:pPr>
              <w:pStyle w:val="8"/>
              <w:spacing w:before="29" w:line="216" w:lineRule="auto"/>
              <w:ind w:left="501"/>
            </w:pPr>
            <w:r>
              <w:rPr>
                <w:spacing w:val="-3"/>
              </w:rPr>
              <w:t>（二）代销、包销证券的种类、数量、金额及发行价格；</w:t>
            </w:r>
          </w:p>
          <w:p>
            <w:pPr>
              <w:pStyle w:val="8"/>
              <w:spacing w:before="33" w:line="217" w:lineRule="auto"/>
              <w:ind w:left="501"/>
            </w:pPr>
            <w:r>
              <w:rPr>
                <w:spacing w:val="-4"/>
              </w:rPr>
              <w:t>（三）代销、包销的期限及起止日期；</w:t>
            </w:r>
          </w:p>
          <w:p>
            <w:pPr>
              <w:pStyle w:val="8"/>
              <w:spacing w:before="29" w:line="217" w:lineRule="auto"/>
              <w:ind w:left="501"/>
            </w:pPr>
            <w:r>
              <w:rPr>
                <w:spacing w:val="-4"/>
              </w:rPr>
              <w:t>（四）代销、包销的付款方式及日期；</w:t>
            </w:r>
          </w:p>
          <w:p>
            <w:pPr>
              <w:pStyle w:val="8"/>
              <w:spacing w:before="27" w:line="217" w:lineRule="auto"/>
              <w:ind w:left="501"/>
            </w:pPr>
            <w:r>
              <w:rPr>
                <w:spacing w:val="-4"/>
              </w:rPr>
              <w:t>（五）代销、包销的费用和结算办法；</w:t>
            </w:r>
          </w:p>
          <w:p>
            <w:pPr>
              <w:pStyle w:val="8"/>
              <w:spacing w:before="31" w:line="217" w:lineRule="auto"/>
              <w:ind w:left="501"/>
            </w:pPr>
            <w:r>
              <w:rPr>
                <w:spacing w:val="-7"/>
              </w:rPr>
              <w:t>（六）违约责任；</w:t>
            </w:r>
          </w:p>
          <w:p>
            <w:pPr>
              <w:pStyle w:val="8"/>
              <w:spacing w:before="30" w:line="202" w:lineRule="auto"/>
              <w:ind w:left="501"/>
            </w:pPr>
            <w:r>
              <w:rPr>
                <w:spacing w:val="-3"/>
              </w:rPr>
              <w:t>（七）国务院证券监督管理机构规定的其他事项。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0" w:hRule="atLeast"/>
        </w:trPr>
        <w:tc>
          <w:tcPr>
            <w:tcW w:w="7100" w:type="dxa"/>
            <w:gridSpan w:val="2"/>
            <w:vAlign w:val="top"/>
          </w:tcPr>
          <w:p>
            <w:pPr>
              <w:pStyle w:val="8"/>
              <w:spacing w:before="40" w:line="234" w:lineRule="auto"/>
              <w:ind w:left="9" w:firstLine="503"/>
              <w:jc w:val="both"/>
            </w:pPr>
            <w:r>
              <w:rPr>
                <w:rFonts w:ascii="黑体" w:hAnsi="黑体" w:eastAsia="黑体" w:cs="黑体"/>
                <w:spacing w:val="3"/>
              </w:rPr>
              <w:t xml:space="preserve">第三十一条  </w:t>
            </w:r>
            <w:r>
              <w:rPr>
                <w:spacing w:val="3"/>
              </w:rPr>
              <w:t>证券公司承销证券，应当对公开发行募集文件的</w:t>
            </w:r>
            <w:r>
              <w:rPr>
                <w:spacing w:val="4"/>
              </w:rPr>
              <w:t xml:space="preserve"> 真实性、准确性、完整性进行核查；发现有虚假记载、误导性</w:t>
            </w:r>
            <w:r>
              <w:rPr>
                <w:spacing w:val="3"/>
              </w:rPr>
              <w:t>陈述</w:t>
            </w:r>
            <w:r>
              <w:t xml:space="preserve"> </w:t>
            </w:r>
            <w:r>
              <w:rPr>
                <w:spacing w:val="-1"/>
              </w:rPr>
              <w:t>或者重大遗漏的，不得进行销售活动；</w:t>
            </w:r>
            <w:r>
              <w:rPr>
                <w:spacing w:val="31"/>
              </w:rPr>
              <w:t xml:space="preserve"> </w:t>
            </w:r>
            <w:r>
              <w:rPr>
                <w:spacing w:val="-1"/>
              </w:rPr>
              <w:t>已经销售</w:t>
            </w:r>
            <w:r>
              <w:rPr>
                <w:spacing w:val="-2"/>
              </w:rPr>
              <w:t>的，必须立即停止</w:t>
            </w:r>
            <w:r>
              <w:t xml:space="preserve"> </w:t>
            </w:r>
            <w:r>
              <w:rPr>
                <w:spacing w:val="-4"/>
              </w:rPr>
              <w:t>销售活动，并采取纠正措施。</w:t>
            </w:r>
          </w:p>
        </w:tc>
        <w:tc>
          <w:tcPr>
            <w:tcW w:w="6807" w:type="dxa"/>
            <w:vAlign w:val="top"/>
          </w:tcPr>
          <w:p>
            <w:pPr>
              <w:pStyle w:val="8"/>
              <w:spacing w:before="40" w:line="234" w:lineRule="auto"/>
              <w:ind w:left="32" w:right="4" w:firstLine="478"/>
              <w:jc w:val="both"/>
            </w:pPr>
            <w:r>
              <w:rPr>
                <w:rFonts w:ascii="黑体" w:hAnsi="黑体" w:eastAsia="黑体" w:cs="黑体"/>
                <w:spacing w:val="1"/>
              </w:rPr>
              <w:t xml:space="preserve">第二十九条  </w:t>
            </w:r>
            <w:r>
              <w:rPr>
                <w:spacing w:val="1"/>
              </w:rPr>
              <w:t>证券公司承销证券，应当对公开发行募集文件</w:t>
            </w:r>
            <w:r>
              <w:rPr>
                <w:spacing w:val="6"/>
              </w:rPr>
              <w:t xml:space="preserve"> </w:t>
            </w:r>
            <w:r>
              <w:rPr>
                <w:spacing w:val="1"/>
              </w:rPr>
              <w:t>的真实性、准确性、完整性进行核查。发现有虚假记载、误导性</w:t>
            </w:r>
            <w:r>
              <w:rPr>
                <w:spacing w:val="6"/>
              </w:rPr>
              <w:t xml:space="preserve"> </w:t>
            </w:r>
            <w:r>
              <w:rPr>
                <w:spacing w:val="-3"/>
              </w:rPr>
              <w:t>陈述或者重大遗漏的， 不得进行销售活动；已经销售的，必</w:t>
            </w:r>
            <w:r>
              <w:rPr>
                <w:spacing w:val="-4"/>
              </w:rPr>
              <w:t>须立</w:t>
            </w:r>
            <w:r>
              <w:t xml:space="preserve"> </w:t>
            </w:r>
            <w:r>
              <w:rPr>
                <w:spacing w:val="-5"/>
              </w:rPr>
              <w:t>即停止销售活动，并采取纠正措施。</w:t>
            </w:r>
          </w:p>
          <w:p>
            <w:pPr>
              <w:spacing w:before="28" w:line="213" w:lineRule="auto"/>
              <w:ind w:left="510"/>
              <w:rPr>
                <w:rFonts w:ascii="黑体" w:hAnsi="黑体" w:eastAsia="黑体" w:cs="黑体"/>
                <w:sz w:val="24"/>
                <w:szCs w:val="24"/>
              </w:rPr>
            </w:pPr>
            <w:r>
              <w:rPr>
                <w:rFonts w:ascii="黑体" w:hAnsi="黑体" w:eastAsia="黑体" w:cs="黑体"/>
                <w:spacing w:val="-3"/>
                <w:sz w:val="24"/>
                <w:szCs w:val="24"/>
              </w:rPr>
              <w:t>证券公司承销证券，不得有下列行为：</w:t>
            </w:r>
          </w:p>
          <w:p>
            <w:pPr>
              <w:spacing w:before="35" w:line="209" w:lineRule="auto"/>
              <w:ind w:right="15"/>
              <w:jc w:val="right"/>
              <w:rPr>
                <w:rFonts w:ascii="黑体" w:hAnsi="黑体" w:eastAsia="黑体" w:cs="黑体"/>
                <w:sz w:val="24"/>
                <w:szCs w:val="24"/>
              </w:rPr>
            </w:pPr>
            <w:r>
              <w:rPr>
                <w:rFonts w:ascii="黑体" w:hAnsi="黑体" w:eastAsia="黑体" w:cs="黑体"/>
                <w:sz w:val="24"/>
                <w:szCs w:val="24"/>
              </w:rPr>
              <w:t>（一）进行虚假的或者误导投资者的广告或者其他宣传推介</w:t>
            </w:r>
          </w:p>
        </w:tc>
      </w:tr>
    </w:tbl>
    <w:p>
      <w:pPr>
        <w:spacing w:line="190" w:lineRule="exact"/>
        <w:rPr>
          <w:rFonts w:ascii="Arial"/>
          <w:sz w:val="16"/>
        </w:rPr>
      </w:pPr>
    </w:p>
    <w:p>
      <w:pPr>
        <w:spacing w:line="190" w:lineRule="exact"/>
        <w:rPr>
          <w:rFonts w:ascii="Arial" w:hAnsi="Arial" w:eastAsia="Arial" w:cs="Arial"/>
          <w:sz w:val="16"/>
          <w:szCs w:val="16"/>
        </w:rPr>
        <w:sectPr>
          <w:footerReference r:id="rId13"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1" w:hRule="atLeast"/>
        </w:trPr>
        <w:tc>
          <w:tcPr>
            <w:tcW w:w="7100" w:type="dxa"/>
            <w:vAlign w:val="top"/>
          </w:tcPr>
          <w:p>
            <w:pPr>
              <w:rPr>
                <w:rFonts w:ascii="Arial"/>
                <w:sz w:val="21"/>
              </w:rPr>
            </w:pPr>
          </w:p>
        </w:tc>
        <w:tc>
          <w:tcPr>
            <w:tcW w:w="6807" w:type="dxa"/>
            <w:vAlign w:val="top"/>
          </w:tcPr>
          <w:p>
            <w:pPr>
              <w:spacing w:before="40" w:line="213" w:lineRule="auto"/>
              <w:ind w:left="17"/>
              <w:rPr>
                <w:rFonts w:ascii="黑体" w:hAnsi="黑体" w:eastAsia="黑体" w:cs="黑体"/>
                <w:sz w:val="24"/>
                <w:szCs w:val="24"/>
              </w:rPr>
            </w:pPr>
            <w:r>
              <w:rPr>
                <w:rFonts w:ascii="黑体" w:hAnsi="黑体" w:eastAsia="黑体" w:cs="黑体"/>
                <w:spacing w:val="-14"/>
                <w:sz w:val="24"/>
                <w:szCs w:val="24"/>
              </w:rPr>
              <w:t>活动；</w:t>
            </w:r>
          </w:p>
          <w:p>
            <w:pPr>
              <w:spacing w:before="35" w:line="213" w:lineRule="auto"/>
              <w:ind w:left="526"/>
              <w:rPr>
                <w:rFonts w:ascii="黑体" w:hAnsi="黑体" w:eastAsia="黑体" w:cs="黑体"/>
                <w:sz w:val="24"/>
                <w:szCs w:val="24"/>
              </w:rPr>
            </w:pPr>
            <w:r>
              <w:rPr>
                <w:rFonts w:ascii="黑体" w:hAnsi="黑体" w:eastAsia="黑体" w:cs="黑体"/>
                <w:spacing w:val="-4"/>
                <w:sz w:val="24"/>
                <w:szCs w:val="24"/>
              </w:rPr>
              <w:t>（二）以不正当竞争手段招揽承销业务；</w:t>
            </w:r>
          </w:p>
          <w:p>
            <w:pPr>
              <w:spacing w:before="32" w:line="221" w:lineRule="auto"/>
              <w:ind w:left="526"/>
              <w:rPr>
                <w:rFonts w:ascii="黑体" w:hAnsi="黑体" w:eastAsia="黑体" w:cs="黑体"/>
                <w:sz w:val="24"/>
                <w:szCs w:val="24"/>
              </w:rPr>
            </w:pPr>
            <w:r>
              <w:rPr>
                <w:rFonts w:ascii="黑体" w:hAnsi="黑体" w:eastAsia="黑体" w:cs="黑体"/>
                <w:spacing w:val="-3"/>
                <w:sz w:val="24"/>
                <w:szCs w:val="24"/>
              </w:rPr>
              <w:t>（三）其他违反证券承销业务规定的行为。</w:t>
            </w:r>
          </w:p>
          <w:p>
            <w:pPr>
              <w:spacing w:before="23" w:line="226" w:lineRule="auto"/>
              <w:ind w:left="9" w:right="7" w:firstLine="500"/>
              <w:rPr>
                <w:rFonts w:ascii="黑体" w:hAnsi="黑体" w:eastAsia="黑体" w:cs="黑体"/>
                <w:sz w:val="24"/>
                <w:szCs w:val="24"/>
              </w:rPr>
            </w:pPr>
            <w:r>
              <w:rPr>
                <w:rFonts w:ascii="黑体" w:hAnsi="黑体" w:eastAsia="黑体" w:cs="黑体"/>
                <w:spacing w:val="1"/>
                <w:sz w:val="24"/>
                <w:szCs w:val="24"/>
              </w:rPr>
              <w:t>证券公司有前款所列行为，给其他证券承销机构或者投资者</w:t>
            </w:r>
            <w:r>
              <w:rPr>
                <w:rFonts w:ascii="黑体" w:hAnsi="黑体" w:eastAsia="黑体" w:cs="黑体"/>
                <w:spacing w:val="7"/>
                <w:sz w:val="24"/>
                <w:szCs w:val="24"/>
              </w:rPr>
              <w:t xml:space="preserve"> </w:t>
            </w:r>
            <w:r>
              <w:rPr>
                <w:rFonts w:ascii="黑体" w:hAnsi="黑体" w:eastAsia="黑体" w:cs="黑体"/>
                <w:spacing w:val="-3"/>
                <w:sz w:val="24"/>
                <w:szCs w:val="24"/>
              </w:rPr>
              <w:t>造成损失的，依法承担赔偿责任。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7100" w:type="dxa"/>
            <w:vAlign w:val="top"/>
          </w:tcPr>
          <w:p>
            <w:pPr>
              <w:pStyle w:val="8"/>
              <w:spacing w:before="7"/>
              <w:ind w:right="14"/>
              <w:jc w:val="right"/>
            </w:pPr>
            <w:r>
              <w:drawing>
                <wp:anchor distT="0" distB="0" distL="0" distR="0" simplePos="0" relativeHeight="251667456" behindDoc="0" locked="0" layoutInCell="1" allowOverlap="1">
                  <wp:simplePos x="0" y="0"/>
                  <wp:positionH relativeFrom="rightMargin">
                    <wp:posOffset>-4490085</wp:posOffset>
                  </wp:positionH>
                  <wp:positionV relativeFrom="topMargin">
                    <wp:posOffset>208280</wp:posOffset>
                  </wp:positionV>
                  <wp:extent cx="2164080" cy="635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6"/>
                          <a:stretch>
                            <a:fillRect/>
                          </a:stretch>
                        </pic:blipFill>
                        <pic:spPr>
                          <a:xfrm>
                            <a:off x="0" y="0"/>
                            <a:ext cx="2164333" cy="6350"/>
                          </a:xfrm>
                          <a:prstGeom prst="rect">
                            <a:avLst/>
                          </a:prstGeom>
                        </pic:spPr>
                      </pic:pic>
                    </a:graphicData>
                  </a:graphic>
                </wp:anchor>
              </w:drawing>
            </w:r>
            <w:r>
              <w:drawing>
                <wp:anchor distT="0" distB="0" distL="0" distR="0" simplePos="0" relativeHeight="251668480" behindDoc="0" locked="0" layoutInCell="1" allowOverlap="1">
                  <wp:simplePos x="0" y="0"/>
                  <wp:positionH relativeFrom="rightMargin">
                    <wp:posOffset>-2025015</wp:posOffset>
                  </wp:positionH>
                  <wp:positionV relativeFrom="topMargin">
                    <wp:posOffset>202565</wp:posOffset>
                  </wp:positionV>
                  <wp:extent cx="2018030"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7"/>
                          <a:stretch>
                            <a:fillRect/>
                          </a:stretch>
                        </pic:blipFill>
                        <pic:spPr>
                          <a:xfrm>
                            <a:off x="0" y="0"/>
                            <a:ext cx="2018029" cy="6350"/>
                          </a:xfrm>
                          <a:prstGeom prst="rect">
                            <a:avLst/>
                          </a:prstGeom>
                        </pic:spPr>
                      </pic:pic>
                    </a:graphicData>
                  </a:graphic>
                </wp:anchor>
              </w:drawing>
            </w:r>
            <w:r>
              <w:rPr>
                <w:rFonts w:ascii="黑体" w:hAnsi="黑体" w:eastAsia="黑体" w:cs="黑体"/>
                <w:spacing w:val="1"/>
              </w:rPr>
              <w:t xml:space="preserve">第三十二条  </w:t>
            </w:r>
            <w:r>
              <w:rPr>
                <w:spacing w:val="1"/>
              </w:rPr>
              <w:t>向不特定对象发行</w:t>
            </w:r>
            <w:r>
              <w:rPr>
                <w:position w:val="-6"/>
              </w:rPr>
              <w:drawing>
                <wp:inline distT="0" distB="0" distL="0" distR="0">
                  <wp:extent cx="8255" cy="19812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8"/>
                          <a:stretch>
                            <a:fillRect/>
                          </a:stretch>
                        </pic:blipFill>
                        <pic:spPr>
                          <a:xfrm>
                            <a:off x="0" y="0"/>
                            <a:ext cx="8255" cy="198120"/>
                          </a:xfrm>
                          <a:prstGeom prst="rect">
                            <a:avLst/>
                          </a:prstGeom>
                        </pic:spPr>
                      </pic:pic>
                    </a:graphicData>
                  </a:graphic>
                </wp:inline>
              </w:drawing>
            </w:r>
            <w:r>
              <w:rPr>
                <w:spacing w:val="1"/>
                <w:shd w:val="clear" w:fill="D9D9D9"/>
              </w:rPr>
              <w:t>的</w:t>
            </w:r>
            <w:r>
              <w:rPr>
                <w:position w:val="-6"/>
              </w:rPr>
              <w:drawing>
                <wp:inline distT="0" distB="0" distL="0" distR="0">
                  <wp:extent cx="8255" cy="19812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76"/>
                          <a:stretch>
                            <a:fillRect/>
                          </a:stretch>
                        </pic:blipFill>
                        <pic:spPr>
                          <a:xfrm>
                            <a:off x="0" y="0"/>
                            <a:ext cx="8255" cy="198120"/>
                          </a:xfrm>
                          <a:prstGeom prst="rect">
                            <a:avLst/>
                          </a:prstGeom>
                        </pic:spPr>
                      </pic:pic>
                    </a:graphicData>
                  </a:graphic>
                </wp:inline>
              </w:drawing>
            </w:r>
            <w:r>
              <w:rPr>
                <w:spacing w:val="1"/>
              </w:rPr>
              <w:t>证券</w:t>
            </w:r>
            <w:r>
              <w:rPr>
                <w:position w:val="-6"/>
              </w:rPr>
              <w:drawing>
                <wp:inline distT="0" distB="0" distL="0" distR="0">
                  <wp:extent cx="8255" cy="19812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6"/>
                          <a:stretch>
                            <a:fillRect/>
                          </a:stretch>
                        </pic:blipFill>
                        <pic:spPr>
                          <a:xfrm>
                            <a:off x="0" y="0"/>
                            <a:ext cx="8255" cy="198120"/>
                          </a:xfrm>
                          <a:prstGeom prst="rect">
                            <a:avLst/>
                          </a:prstGeom>
                        </pic:spPr>
                      </pic:pic>
                    </a:graphicData>
                  </a:graphic>
                </wp:inline>
              </w:drawing>
            </w:r>
            <w:r>
              <w:rPr>
                <w:spacing w:val="1"/>
                <w:shd w:val="clear" w:fill="D9D9D9"/>
              </w:rPr>
              <w:t>票面总值超过人民币五</w:t>
            </w:r>
          </w:p>
          <w:p>
            <w:pPr>
              <w:pStyle w:val="8"/>
              <w:spacing w:before="47" w:line="217" w:lineRule="auto"/>
              <w:ind w:right="5"/>
              <w:jc w:val="right"/>
            </w:pPr>
            <w:r>
              <w:pict>
                <v:shape id="_x0000_s1036" o:spid="_x0000_s1036" o:spt="202" type="#_x0000_t202" style="position:absolute;left:0pt;margin-left:0.5pt;margin-top:-0.95pt;height:19.6pt;width:172.1pt;z-index:251669504;mso-width-relative:page;mso-height-relative:page;" filled="f" stroked="f" coordsize="21600,21600">
                  <v:path/>
                  <v:fill on="f" focussize="0,0"/>
                  <v:stroke on="f"/>
                  <v:imagedata o:title=""/>
                  <o:lock v:ext="edit" aspectratio="f"/>
                  <v:textbox inset="0mm,0mm,0mm,0mm">
                    <w:txbxContent>
                      <w:p>
                        <w:pPr>
                          <w:pStyle w:val="8"/>
                          <w:spacing w:before="20"/>
                          <w:ind w:left="20"/>
                        </w:pPr>
                        <w:r>
                          <w:rPr>
                            <w:spacing w:val="-6"/>
                            <w:u w:val="single" w:color="auto"/>
                            <w:shd w:val="clear" w:fill="D9D9D9"/>
                          </w:rPr>
                          <w:t>千万元的， 应当由承销团承销。</w:t>
                        </w:r>
                        <w:r>
                          <w:rPr>
                            <w:position w:val="-7"/>
                            <w:shd w:val="clear" w:fill="D9D9D9"/>
                          </w:rPr>
                          <w:drawing>
                            <wp:inline distT="0" distB="0" distL="0" distR="0">
                              <wp:extent cx="5715" cy="2101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9"/>
                                      <a:stretch>
                                        <a:fillRect/>
                                      </a:stretch>
                                    </pic:blipFill>
                                    <pic:spPr>
                                      <a:xfrm>
                                        <a:off x="0" y="0"/>
                                        <a:ext cx="6095" cy="210311"/>
                                      </a:xfrm>
                                      <a:prstGeom prst="rect">
                                        <a:avLst/>
                                      </a:prstGeom>
                                    </pic:spPr>
                                  </pic:pic>
                                </a:graphicData>
                              </a:graphic>
                            </wp:inline>
                          </w:drawing>
                        </w:r>
                      </w:p>
                    </w:txbxContent>
                  </v:textbox>
                </v:shape>
              </w:pict>
            </w:r>
            <w:r>
              <w:rPr>
                <w:spacing w:val="2"/>
              </w:rPr>
              <w:t>承销团应当由主承销和参与承销的</w:t>
            </w:r>
          </w:p>
          <w:p>
            <w:pPr>
              <w:pStyle w:val="8"/>
              <w:spacing w:before="37" w:line="218" w:lineRule="auto"/>
              <w:ind w:left="20"/>
            </w:pPr>
            <w:r>
              <w:rPr>
                <w:spacing w:val="-9"/>
              </w:rPr>
              <w:t>证券公司组成。</w:t>
            </w:r>
          </w:p>
        </w:tc>
        <w:tc>
          <w:tcPr>
            <w:tcW w:w="6807" w:type="dxa"/>
            <w:vAlign w:val="top"/>
          </w:tcPr>
          <w:p>
            <w:pPr>
              <w:pStyle w:val="8"/>
              <w:spacing w:before="29" w:line="229" w:lineRule="auto"/>
              <w:ind w:left="36" w:right="6" w:firstLine="455"/>
            </w:pPr>
            <w:r>
              <w:rPr>
                <w:rFonts w:ascii="黑体" w:hAnsi="黑体" w:eastAsia="黑体" w:cs="黑体"/>
                <w:spacing w:val="-3"/>
              </w:rPr>
              <w:t xml:space="preserve">第三十条  </w:t>
            </w:r>
            <w:r>
              <w:rPr>
                <w:spacing w:val="-3"/>
              </w:rPr>
              <w:t>向不特定对象发行证券</w:t>
            </w:r>
            <w:r>
              <w:rPr>
                <w:rFonts w:ascii="黑体" w:hAnsi="黑体" w:eastAsia="黑体" w:cs="黑体"/>
                <w:spacing w:val="-3"/>
              </w:rPr>
              <w:t>聘请</w:t>
            </w:r>
            <w:r>
              <w:rPr>
                <w:spacing w:val="-3"/>
              </w:rPr>
              <w:t>承销团承销</w:t>
            </w:r>
            <w:r>
              <w:rPr>
                <w:rFonts w:ascii="黑体" w:hAnsi="黑体" w:eastAsia="黑体" w:cs="黑体"/>
                <w:spacing w:val="-3"/>
              </w:rPr>
              <w:t xml:space="preserve">的， </w:t>
            </w:r>
            <w:r>
              <w:rPr>
                <w:spacing w:val="-3"/>
              </w:rPr>
              <w:t>承销</w:t>
            </w:r>
            <w:r>
              <w:rPr>
                <w:spacing w:val="16"/>
              </w:rPr>
              <w:t xml:space="preserve"> </w:t>
            </w:r>
            <w:r>
              <w:rPr>
                <w:spacing w:val="-4"/>
              </w:rPr>
              <w:t>团应当由主承销和参与承销的证券公司组成。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7100" w:type="dxa"/>
            <w:vAlign w:val="top"/>
          </w:tcPr>
          <w:p>
            <w:pPr>
              <w:pStyle w:val="8"/>
              <w:spacing w:before="38" w:line="221" w:lineRule="auto"/>
              <w:ind w:left="513"/>
            </w:pPr>
            <w:r>
              <w:rPr>
                <w:rFonts w:ascii="黑体" w:hAnsi="黑体" w:eastAsia="黑体" w:cs="黑体"/>
                <w:spacing w:val="-2"/>
              </w:rPr>
              <w:t xml:space="preserve">第三十三条  </w:t>
            </w:r>
            <w:r>
              <w:rPr>
                <w:spacing w:val="-2"/>
              </w:rPr>
              <w:t>证券的代销、包销期限最长不得超过九十</w:t>
            </w:r>
            <w:r>
              <w:rPr>
                <w:spacing w:val="-3"/>
              </w:rPr>
              <w:t>日。</w:t>
            </w:r>
          </w:p>
          <w:p>
            <w:pPr>
              <w:pStyle w:val="8"/>
              <w:spacing w:before="27" w:line="227" w:lineRule="auto"/>
              <w:ind w:left="17" w:firstLine="503"/>
            </w:pPr>
            <w:r>
              <w:rPr>
                <w:spacing w:val="3"/>
              </w:rPr>
              <w:t>证券公司在代销、包销期内，对所代销、包销的证券应当保证</w:t>
            </w:r>
            <w:r>
              <w:t xml:space="preserve"> </w:t>
            </w:r>
            <w:r>
              <w:rPr>
                <w:spacing w:val="4"/>
              </w:rPr>
              <w:t>先行出售给认购人，证券公司不得为本公司</w:t>
            </w:r>
            <w:r>
              <w:rPr>
                <w:spacing w:val="3"/>
              </w:rPr>
              <w:t>预留所代销的证券和预</w:t>
            </w:r>
            <w:r>
              <w:t xml:space="preserve"> </w:t>
            </w:r>
            <w:r>
              <w:rPr>
                <w:spacing w:val="-5"/>
              </w:rPr>
              <w:t>先购入并留存所包销的证券。</w:t>
            </w:r>
          </w:p>
        </w:tc>
        <w:tc>
          <w:tcPr>
            <w:tcW w:w="6807" w:type="dxa"/>
            <w:vAlign w:val="top"/>
          </w:tcPr>
          <w:p>
            <w:pPr>
              <w:pStyle w:val="8"/>
              <w:spacing w:before="38" w:line="221" w:lineRule="auto"/>
              <w:ind w:left="510"/>
            </w:pPr>
            <w:r>
              <w:rPr>
                <w:rFonts w:ascii="黑体" w:hAnsi="黑体" w:eastAsia="黑体" w:cs="黑体"/>
                <w:spacing w:val="-2"/>
              </w:rPr>
              <w:t xml:space="preserve">第三十一条  </w:t>
            </w:r>
            <w:r>
              <w:rPr>
                <w:spacing w:val="-2"/>
              </w:rPr>
              <w:t>证券的代销、包销期限最长不得超过九十</w:t>
            </w:r>
            <w:r>
              <w:rPr>
                <w:spacing w:val="-3"/>
              </w:rPr>
              <w:t>日。</w:t>
            </w:r>
          </w:p>
          <w:p>
            <w:pPr>
              <w:pStyle w:val="8"/>
              <w:spacing w:before="27" w:line="227" w:lineRule="auto"/>
              <w:ind w:left="17" w:right="7" w:firstLine="481"/>
            </w:pPr>
            <w:r>
              <w:rPr>
                <w:spacing w:val="1"/>
              </w:rPr>
              <w:t>证券公司在代销、包销期内，对所代销、包销的证券应当保</w:t>
            </w:r>
            <w:r>
              <w:rPr>
                <w:spacing w:val="18"/>
              </w:rPr>
              <w:t xml:space="preserve"> </w:t>
            </w:r>
            <w:r>
              <w:rPr>
                <w:spacing w:val="-3"/>
              </w:rPr>
              <w:t>证先行出售给认购人， 证券公司不得为本公司预留所代销的证券</w:t>
            </w:r>
            <w:r>
              <w:rPr>
                <w:spacing w:val="13"/>
              </w:rPr>
              <w:t xml:space="preserve"> </w:t>
            </w:r>
            <w:r>
              <w:rPr>
                <w:spacing w:val="-4"/>
              </w:rPr>
              <w:t>和预先购入并留存所包销的证券。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7100" w:type="dxa"/>
            <w:vAlign w:val="top"/>
          </w:tcPr>
          <w:p>
            <w:pPr>
              <w:pStyle w:val="8"/>
              <w:spacing w:before="39" w:line="229" w:lineRule="auto"/>
              <w:ind w:left="26" w:firstLine="486"/>
            </w:pPr>
            <w:r>
              <w:rPr>
                <w:rFonts w:ascii="黑体" w:hAnsi="黑体" w:eastAsia="黑体" w:cs="黑体"/>
                <w:spacing w:val="3"/>
              </w:rPr>
              <w:t xml:space="preserve">第三十四条  </w:t>
            </w:r>
            <w:r>
              <w:rPr>
                <w:spacing w:val="3"/>
              </w:rPr>
              <w:t>股票发行采取溢价发行的，其发行价格由发行人</w:t>
            </w:r>
            <w:r>
              <w:rPr>
                <w:spacing w:val="6"/>
              </w:rPr>
              <w:t xml:space="preserve"> </w:t>
            </w:r>
            <w:r>
              <w:rPr>
                <w:spacing w:val="-6"/>
              </w:rPr>
              <w:t>与承销的证券公司协商确定。</w:t>
            </w:r>
          </w:p>
        </w:tc>
        <w:tc>
          <w:tcPr>
            <w:tcW w:w="6807" w:type="dxa"/>
            <w:vAlign w:val="top"/>
          </w:tcPr>
          <w:p>
            <w:pPr>
              <w:pStyle w:val="8"/>
              <w:spacing w:before="39" w:line="229" w:lineRule="auto"/>
              <w:ind w:left="13" w:right="7" w:firstLine="478"/>
            </w:pPr>
            <w:r>
              <w:rPr>
                <w:rFonts w:ascii="黑体" w:hAnsi="黑体" w:eastAsia="黑体" w:cs="黑体"/>
                <w:spacing w:val="-3"/>
              </w:rPr>
              <w:t xml:space="preserve">第三十二条  </w:t>
            </w:r>
            <w:r>
              <w:rPr>
                <w:spacing w:val="-3"/>
              </w:rPr>
              <w:t>股票发行采取溢价发行的， 其发行价格由发行</w:t>
            </w:r>
            <w:r>
              <w:rPr>
                <w:spacing w:val="15"/>
              </w:rPr>
              <w:t xml:space="preserve"> </w:t>
            </w:r>
            <w:r>
              <w:rPr>
                <w:spacing w:val="-4"/>
              </w:rPr>
              <w:t>人与承销的证券公司协商确定。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7100" w:type="dxa"/>
            <w:vAlign w:val="top"/>
          </w:tcPr>
          <w:p>
            <w:pPr>
              <w:pStyle w:val="8"/>
              <w:spacing w:before="43" w:line="230" w:lineRule="auto"/>
              <w:ind w:left="13" w:firstLine="499"/>
              <w:jc w:val="both"/>
            </w:pPr>
            <w:r>
              <w:rPr>
                <w:rFonts w:ascii="黑体" w:hAnsi="黑体" w:eastAsia="黑体" w:cs="黑体"/>
                <w:spacing w:val="-1"/>
              </w:rPr>
              <w:t xml:space="preserve">第三十五条  </w:t>
            </w:r>
            <w:r>
              <w:rPr>
                <w:spacing w:val="-1"/>
              </w:rPr>
              <w:t xml:space="preserve">股票发行采用代销方式，代销期限届满， </w:t>
            </w:r>
            <w:r>
              <w:rPr>
                <w:spacing w:val="-2"/>
              </w:rPr>
              <w:t>向投资</w:t>
            </w:r>
            <w:r>
              <w:t xml:space="preserve"> 者出售的股票数量未达到拟公开发行股票数量</w:t>
            </w:r>
            <w:r>
              <w:rPr>
                <w:spacing w:val="-1"/>
              </w:rPr>
              <w:t>百分之七十的， 为发</w:t>
            </w:r>
            <w:r>
              <w:t xml:space="preserve"> </w:t>
            </w:r>
            <w:r>
              <w:rPr>
                <w:spacing w:val="4"/>
              </w:rPr>
              <w:t>行失败。发行人应当按照发行价并加算银行同期存款</w:t>
            </w:r>
            <w:r>
              <w:rPr>
                <w:spacing w:val="3"/>
              </w:rPr>
              <w:t>利息返还股票</w:t>
            </w:r>
            <w:r>
              <w:t xml:space="preserve"> </w:t>
            </w:r>
            <w:r>
              <w:rPr>
                <w:spacing w:val="-11"/>
              </w:rPr>
              <w:t>认购人。</w:t>
            </w:r>
          </w:p>
        </w:tc>
        <w:tc>
          <w:tcPr>
            <w:tcW w:w="6807" w:type="dxa"/>
            <w:vAlign w:val="top"/>
          </w:tcPr>
          <w:p>
            <w:pPr>
              <w:pStyle w:val="8"/>
              <w:spacing w:before="43" w:line="230" w:lineRule="auto"/>
              <w:ind w:left="14" w:right="5" w:firstLine="496"/>
            </w:pPr>
            <w:r>
              <w:rPr>
                <w:rFonts w:ascii="黑体" w:hAnsi="黑体" w:eastAsia="黑体" w:cs="黑体"/>
                <w:spacing w:val="-3"/>
              </w:rPr>
              <w:t xml:space="preserve">第三十三条  </w:t>
            </w:r>
            <w:r>
              <w:rPr>
                <w:spacing w:val="-3"/>
              </w:rPr>
              <w:t>股票发行采用代销方式， 代销期限届满，向投</w:t>
            </w:r>
            <w:r>
              <w:t xml:space="preserve"> 资者出售的股票数量未达到拟公开发行股票数量百</w:t>
            </w:r>
            <w:r>
              <w:rPr>
                <w:spacing w:val="-1"/>
              </w:rPr>
              <w:t>分之七十的，</w:t>
            </w:r>
            <w:r>
              <w:t xml:space="preserve"> </w:t>
            </w:r>
            <w:r>
              <w:rPr>
                <w:spacing w:val="2"/>
              </w:rPr>
              <w:t>为发行失败。发行人应当按照发行价并加算银行</w:t>
            </w:r>
            <w:r>
              <w:rPr>
                <w:spacing w:val="1"/>
              </w:rPr>
              <w:t>同期存款利息返</w:t>
            </w:r>
            <w:r>
              <w:t xml:space="preserve"> </w:t>
            </w:r>
            <w:r>
              <w:rPr>
                <w:spacing w:val="-8"/>
              </w:rPr>
              <w:t>还股票认购人。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7100" w:type="dxa"/>
            <w:vAlign w:val="top"/>
          </w:tcPr>
          <w:p>
            <w:pPr>
              <w:pStyle w:val="8"/>
              <w:spacing w:before="45" w:line="232" w:lineRule="auto"/>
              <w:ind w:left="19" w:firstLine="493"/>
              <w:jc w:val="both"/>
            </w:pPr>
            <w:r>
              <w:rPr>
                <w:rFonts w:ascii="黑体" w:hAnsi="黑体" w:eastAsia="黑体" w:cs="黑体"/>
                <w:spacing w:val="3"/>
              </w:rPr>
              <w:t xml:space="preserve">第三十六条  </w:t>
            </w:r>
            <w:r>
              <w:rPr>
                <w:spacing w:val="3"/>
              </w:rPr>
              <w:t>公开发行股票，代销、包销期限届满，发行人应</w:t>
            </w:r>
            <w:r>
              <w:rPr>
                <w:spacing w:val="6"/>
              </w:rPr>
              <w:t xml:space="preserve"> </w:t>
            </w:r>
            <w:r>
              <w:rPr>
                <w:spacing w:val="12"/>
              </w:rPr>
              <w:t>当在规定的期限内将股票发行情况报国务院证券监督管理机构备</w:t>
            </w:r>
            <w:r>
              <w:rPr>
                <w:spacing w:val="7"/>
              </w:rPr>
              <w:t xml:space="preserve"> </w:t>
            </w:r>
            <w:r>
              <w:rPr>
                <w:spacing w:val="-16"/>
              </w:rPr>
              <w:t>案。</w:t>
            </w:r>
          </w:p>
        </w:tc>
        <w:tc>
          <w:tcPr>
            <w:tcW w:w="6807" w:type="dxa"/>
            <w:vAlign w:val="top"/>
          </w:tcPr>
          <w:p>
            <w:pPr>
              <w:pStyle w:val="8"/>
              <w:spacing w:before="45" w:line="232" w:lineRule="auto"/>
              <w:ind w:left="14" w:right="6" w:firstLine="496"/>
              <w:jc w:val="both"/>
            </w:pPr>
            <w:r>
              <w:rPr>
                <w:rFonts w:ascii="黑体" w:hAnsi="黑体" w:eastAsia="黑体" w:cs="黑体"/>
                <w:spacing w:val="1"/>
              </w:rPr>
              <w:t xml:space="preserve">第三十四条  </w:t>
            </w:r>
            <w:r>
              <w:rPr>
                <w:spacing w:val="1"/>
              </w:rPr>
              <w:t>公开发行股票，代销、包销期限届满，发行人</w:t>
            </w:r>
            <w:r>
              <w:rPr>
                <w:spacing w:val="6"/>
              </w:rPr>
              <w:t xml:space="preserve"> </w:t>
            </w:r>
            <w:r>
              <w:rPr>
                <w:spacing w:val="2"/>
              </w:rPr>
              <w:t>应当在规定的期限内将股票发行情况报国务院</w:t>
            </w:r>
            <w:r>
              <w:rPr>
                <w:spacing w:val="1"/>
              </w:rPr>
              <w:t>证券监督管理机构</w:t>
            </w:r>
            <w:r>
              <w:t xml:space="preserve"> </w:t>
            </w:r>
            <w:r>
              <w:rPr>
                <w:spacing w:val="-14"/>
              </w:rPr>
              <w:t>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100" w:type="dxa"/>
            <w:vAlign w:val="top"/>
          </w:tcPr>
          <w:p>
            <w:pPr>
              <w:spacing w:before="41" w:line="222" w:lineRule="auto"/>
              <w:ind w:left="2591"/>
              <w:rPr>
                <w:rFonts w:ascii="黑体" w:hAnsi="黑体" w:eastAsia="黑体" w:cs="黑体"/>
                <w:sz w:val="24"/>
                <w:szCs w:val="24"/>
              </w:rPr>
            </w:pPr>
            <w:r>
              <w:rPr>
                <w:rFonts w:ascii="黑体" w:hAnsi="黑体" w:eastAsia="黑体" w:cs="黑体"/>
                <w:spacing w:val="-1"/>
                <w:sz w:val="24"/>
                <w:szCs w:val="24"/>
              </w:rPr>
              <w:t>第三章  证券交易</w:t>
            </w:r>
          </w:p>
        </w:tc>
        <w:tc>
          <w:tcPr>
            <w:tcW w:w="6807" w:type="dxa"/>
            <w:vAlign w:val="top"/>
          </w:tcPr>
          <w:p>
            <w:pPr>
              <w:spacing w:before="41" w:line="222" w:lineRule="auto"/>
              <w:ind w:left="2442"/>
              <w:rPr>
                <w:rFonts w:ascii="黑体" w:hAnsi="黑体" w:eastAsia="黑体" w:cs="黑体"/>
                <w:sz w:val="24"/>
                <w:szCs w:val="24"/>
              </w:rPr>
            </w:pPr>
            <w:r>
              <w:rPr>
                <w:rFonts w:ascii="黑体" w:hAnsi="黑体" w:eastAsia="黑体" w:cs="黑体"/>
                <w:spacing w:val="-1"/>
                <w:sz w:val="24"/>
                <w:szCs w:val="24"/>
              </w:rPr>
              <w:t>第三章  证券交易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100" w:type="dxa"/>
            <w:vAlign w:val="top"/>
          </w:tcPr>
          <w:p>
            <w:pPr>
              <w:spacing w:before="42" w:line="221" w:lineRule="auto"/>
              <w:ind w:left="2591"/>
              <w:rPr>
                <w:rFonts w:ascii="黑体" w:hAnsi="黑体" w:eastAsia="黑体" w:cs="黑体"/>
                <w:sz w:val="24"/>
                <w:szCs w:val="24"/>
              </w:rPr>
            </w:pPr>
            <w:r>
              <w:rPr>
                <w:rFonts w:ascii="黑体" w:hAnsi="黑体" w:eastAsia="黑体" w:cs="黑体"/>
                <w:spacing w:val="-1"/>
                <w:sz w:val="24"/>
                <w:szCs w:val="24"/>
              </w:rPr>
              <w:t>第一节  一般规定</w:t>
            </w:r>
          </w:p>
        </w:tc>
        <w:tc>
          <w:tcPr>
            <w:tcW w:w="6807" w:type="dxa"/>
            <w:vAlign w:val="top"/>
          </w:tcPr>
          <w:p>
            <w:pPr>
              <w:spacing w:before="42" w:line="221" w:lineRule="auto"/>
              <w:ind w:left="2442"/>
              <w:rPr>
                <w:rFonts w:ascii="黑体" w:hAnsi="黑体" w:eastAsia="黑体" w:cs="黑体"/>
                <w:sz w:val="24"/>
                <w:szCs w:val="24"/>
              </w:rPr>
            </w:pPr>
            <w:r>
              <w:rPr>
                <w:rFonts w:ascii="黑体" w:hAnsi="黑体" w:eastAsia="黑体" w:cs="黑体"/>
                <w:spacing w:val="-1"/>
                <w:sz w:val="24"/>
                <w:szCs w:val="24"/>
              </w:rPr>
              <w:t>第一节  一般规定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100" w:type="dxa"/>
            <w:vAlign w:val="top"/>
          </w:tcPr>
          <w:p>
            <w:pPr>
              <w:pStyle w:val="8"/>
              <w:spacing w:before="44" w:line="224" w:lineRule="auto"/>
              <w:ind w:left="13" w:firstLine="499"/>
            </w:pPr>
            <w:r>
              <w:rPr>
                <w:rFonts w:ascii="黑体" w:hAnsi="黑体" w:eastAsia="黑体" w:cs="黑体"/>
                <w:spacing w:val="-1"/>
              </w:rPr>
              <w:t xml:space="preserve">第三十七条  </w:t>
            </w:r>
            <w:r>
              <w:rPr>
                <w:spacing w:val="-1"/>
              </w:rPr>
              <w:t>证券交易当事人依法买卖的证券， 必须是依法发</w:t>
            </w:r>
            <w:r>
              <w:t xml:space="preserve"> </w:t>
            </w:r>
            <w:r>
              <w:rPr>
                <w:spacing w:val="-7"/>
              </w:rPr>
              <w:t>行并交付的证券。</w:t>
            </w:r>
          </w:p>
        </w:tc>
        <w:tc>
          <w:tcPr>
            <w:tcW w:w="6807" w:type="dxa"/>
            <w:vAlign w:val="top"/>
          </w:tcPr>
          <w:p>
            <w:pPr>
              <w:pStyle w:val="8"/>
              <w:spacing w:before="44" w:line="224" w:lineRule="auto"/>
              <w:ind w:left="11" w:right="5" w:firstLine="499"/>
            </w:pPr>
            <w:r>
              <w:rPr>
                <w:rFonts w:ascii="黑体" w:hAnsi="黑体" w:eastAsia="黑体" w:cs="黑体"/>
                <w:spacing w:val="-5"/>
              </w:rPr>
              <w:t xml:space="preserve">第三十五条  </w:t>
            </w:r>
            <w:r>
              <w:rPr>
                <w:spacing w:val="-5"/>
              </w:rPr>
              <w:t>证券交易当事人依法买卖的证券，</w:t>
            </w:r>
            <w:r>
              <w:rPr>
                <w:spacing w:val="50"/>
              </w:rPr>
              <w:t xml:space="preserve"> </w:t>
            </w:r>
            <w:r>
              <w:rPr>
                <w:spacing w:val="-5"/>
              </w:rPr>
              <w:t>必须是依法</w:t>
            </w:r>
            <w:r>
              <w:t xml:space="preserve"> </w:t>
            </w:r>
            <w:r>
              <w:rPr>
                <w:spacing w:val="-6"/>
              </w:rPr>
              <w:t>发行并交付的证券。</w:t>
            </w:r>
          </w:p>
        </w:tc>
      </w:tr>
    </w:tbl>
    <w:p>
      <w:pPr>
        <w:spacing w:line="180" w:lineRule="exact"/>
        <w:rPr>
          <w:rFonts w:ascii="Arial"/>
          <w:sz w:val="15"/>
        </w:rPr>
      </w:pPr>
    </w:p>
    <w:p>
      <w:pPr>
        <w:spacing w:line="180" w:lineRule="exact"/>
        <w:rPr>
          <w:rFonts w:ascii="Arial" w:hAnsi="Arial" w:eastAsia="Arial" w:cs="Arial"/>
          <w:sz w:val="15"/>
          <w:szCs w:val="15"/>
        </w:rPr>
        <w:sectPr>
          <w:footerReference r:id="rId1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3"/>
        <w:gridCol w:w="1479"/>
        <w:gridCol w:w="1218"/>
        <w:gridCol w:w="2096"/>
        <w:gridCol w:w="343"/>
        <w:gridCol w:w="379"/>
        <w:gridCol w:w="1081"/>
        <w:gridCol w:w="6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099" w:type="dxa"/>
            <w:gridSpan w:val="7"/>
            <w:vAlign w:val="top"/>
          </w:tcPr>
          <w:p>
            <w:pPr>
              <w:pStyle w:val="8"/>
              <w:spacing w:before="41" w:line="216" w:lineRule="auto"/>
              <w:ind w:left="526"/>
            </w:pPr>
            <w:r>
              <w:rPr>
                <w:spacing w:val="-5"/>
              </w:rPr>
              <w:t>非依法发行的证券，不得买卖。</w:t>
            </w:r>
          </w:p>
        </w:tc>
        <w:tc>
          <w:tcPr>
            <w:tcW w:w="6808" w:type="dxa"/>
            <w:vAlign w:val="top"/>
          </w:tcPr>
          <w:p>
            <w:pPr>
              <w:pStyle w:val="8"/>
              <w:spacing w:before="41" w:line="216" w:lineRule="auto"/>
              <w:ind w:left="525"/>
            </w:pPr>
            <w:r>
              <w:rPr>
                <w:spacing w:val="-5"/>
              </w:rPr>
              <w:t>非依法发行的证券，不得买卖。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3200" w:type="dxa"/>
            <w:gridSpan w:val="3"/>
            <w:tcBorders>
              <w:bottom w:val="nil"/>
              <w:right w:val="single" w:color="000000" w:sz="2" w:space="0"/>
            </w:tcBorders>
            <w:vAlign w:val="top"/>
          </w:tcPr>
          <w:p>
            <w:pPr>
              <w:pStyle w:val="8"/>
              <w:spacing w:before="25" w:line="200" w:lineRule="auto"/>
              <w:ind w:right="10"/>
              <w:jc w:val="right"/>
            </w:pPr>
            <w:r>
              <w:rPr>
                <w:rFonts w:ascii="黑体" w:hAnsi="黑体" w:eastAsia="黑体" w:cs="黑体"/>
                <w:spacing w:val="2"/>
              </w:rPr>
              <w:t xml:space="preserve">第三十八条  </w:t>
            </w:r>
            <w:r>
              <w:rPr>
                <w:spacing w:val="2"/>
              </w:rPr>
              <w:t>依法发行的</w:t>
            </w:r>
          </w:p>
        </w:tc>
        <w:tc>
          <w:tcPr>
            <w:tcW w:w="2439" w:type="dxa"/>
            <w:gridSpan w:val="2"/>
            <w:tcBorders>
              <w:left w:val="single" w:color="000000" w:sz="2" w:space="0"/>
              <w:bottom w:val="single" w:color="000000" w:sz="2" w:space="0"/>
              <w:right w:val="single" w:color="000000" w:sz="2" w:space="0"/>
            </w:tcBorders>
            <w:shd w:val="clear" w:color="auto" w:fill="D9D9D9"/>
            <w:vAlign w:val="top"/>
          </w:tcPr>
          <w:p>
            <w:pPr>
              <w:pStyle w:val="8"/>
              <w:spacing w:before="26" w:line="199" w:lineRule="auto"/>
              <w:ind w:left="4"/>
            </w:pPr>
            <w:r>
              <w:rPr>
                <w:spacing w:val="2"/>
              </w:rPr>
              <w:t>股票、公司债券及其他</w:t>
            </w:r>
          </w:p>
        </w:tc>
        <w:tc>
          <w:tcPr>
            <w:tcW w:w="1460" w:type="dxa"/>
            <w:gridSpan w:val="2"/>
            <w:tcBorders>
              <w:left w:val="single" w:color="000000" w:sz="2" w:space="0"/>
              <w:bottom w:val="nil"/>
            </w:tcBorders>
            <w:vAlign w:val="top"/>
          </w:tcPr>
          <w:p>
            <w:pPr>
              <w:pStyle w:val="8"/>
              <w:spacing w:before="26" w:line="199" w:lineRule="auto"/>
              <w:jc w:val="right"/>
            </w:pPr>
            <w:r>
              <w:rPr>
                <w:spacing w:val="-19"/>
              </w:rPr>
              <w:t>证</w:t>
            </w:r>
            <w:r>
              <w:rPr>
                <w:spacing w:val="-18"/>
              </w:rPr>
              <w:t>券， 法律</w:t>
            </w:r>
            <w:r>
              <w:rPr>
                <w:spacing w:val="-17"/>
              </w:rPr>
              <w:t>对</w:t>
            </w:r>
          </w:p>
        </w:tc>
        <w:tc>
          <w:tcPr>
            <w:tcW w:w="6808" w:type="dxa"/>
            <w:vMerge w:val="restart"/>
            <w:tcBorders>
              <w:bottom w:val="nil"/>
            </w:tcBorders>
            <w:vAlign w:val="top"/>
          </w:tcPr>
          <w:p>
            <w:pPr>
              <w:pStyle w:val="8"/>
              <w:spacing w:before="28" w:line="233" w:lineRule="auto"/>
              <w:ind w:left="10" w:right="4" w:firstLine="501"/>
              <w:jc w:val="both"/>
            </w:pPr>
            <w:r>
              <w:rPr>
                <w:rFonts w:ascii="黑体" w:hAnsi="黑体" w:eastAsia="黑体" w:cs="黑体"/>
                <w:spacing w:val="-5"/>
              </w:rPr>
              <w:t xml:space="preserve">第三十六条  </w:t>
            </w:r>
            <w:r>
              <w:rPr>
                <w:spacing w:val="-5"/>
              </w:rPr>
              <w:t>依法发行的证券，</w:t>
            </w:r>
            <w:r>
              <w:rPr>
                <w:spacing w:val="51"/>
              </w:rPr>
              <w:t xml:space="preserve"> </w:t>
            </w:r>
            <w:r>
              <w:rPr>
                <w:rFonts w:ascii="黑体" w:hAnsi="黑体" w:eastAsia="黑体" w:cs="黑体"/>
                <w:spacing w:val="-5"/>
              </w:rPr>
              <w:t>《中华人民共和国公司</w:t>
            </w:r>
            <w:r>
              <w:rPr>
                <w:rFonts w:ascii="黑体" w:hAnsi="黑体" w:eastAsia="黑体" w:cs="黑体"/>
                <w:spacing w:val="-6"/>
              </w:rPr>
              <w:t>法》</w:t>
            </w:r>
            <w:r>
              <w:rPr>
                <w:rFonts w:ascii="黑体" w:hAnsi="黑体" w:eastAsia="黑体" w:cs="黑体"/>
              </w:rPr>
              <w:t xml:space="preserve"> </w:t>
            </w:r>
            <w:r>
              <w:rPr>
                <w:rFonts w:ascii="黑体" w:hAnsi="黑体" w:eastAsia="黑体" w:cs="黑体"/>
                <w:spacing w:val="-2"/>
              </w:rPr>
              <w:t>和其他</w:t>
            </w:r>
            <w:r>
              <w:rPr>
                <w:spacing w:val="-2"/>
              </w:rPr>
              <w:t>法律对其转让期限有限制性规定的， 在限定</w:t>
            </w:r>
            <w:r>
              <w:rPr>
                <w:spacing w:val="-3"/>
              </w:rPr>
              <w:t>的期限内不得</w:t>
            </w:r>
            <w:r>
              <w:t xml:space="preserve"> </w:t>
            </w:r>
            <w:r>
              <w:rPr>
                <w:rFonts w:ascii="黑体" w:hAnsi="黑体" w:eastAsia="黑体" w:cs="黑体"/>
                <w:spacing w:val="-3"/>
              </w:rPr>
              <w:t>转让</w:t>
            </w:r>
            <w:r>
              <w:rPr>
                <w:spacing w:val="-3"/>
              </w:rPr>
              <w:t>。</w:t>
            </w:r>
          </w:p>
          <w:p>
            <w:pPr>
              <w:spacing w:before="25" w:line="234" w:lineRule="auto"/>
              <w:ind w:left="10" w:right="6" w:firstLine="504"/>
              <w:jc w:val="both"/>
              <w:rPr>
                <w:rFonts w:ascii="黑体" w:hAnsi="黑体" w:eastAsia="黑体" w:cs="黑体"/>
                <w:sz w:val="24"/>
                <w:szCs w:val="24"/>
              </w:rPr>
            </w:pPr>
            <w:r>
              <w:rPr>
                <w:rFonts w:ascii="黑体" w:hAnsi="黑体" w:eastAsia="黑体" w:cs="黑体"/>
                <w:spacing w:val="1"/>
                <w:sz w:val="24"/>
                <w:szCs w:val="24"/>
              </w:rPr>
              <w:t>上市公司持股百分之五以上的股东、实际控制</w:t>
            </w:r>
            <w:r>
              <w:rPr>
                <w:rFonts w:ascii="黑体" w:hAnsi="黑体" w:eastAsia="黑体" w:cs="黑体"/>
                <w:sz w:val="24"/>
                <w:szCs w:val="24"/>
              </w:rPr>
              <w:t xml:space="preserve">人、董事、监 </w:t>
            </w:r>
            <w:r>
              <w:rPr>
                <w:rFonts w:ascii="黑体" w:hAnsi="黑体" w:eastAsia="黑体" w:cs="黑体"/>
                <w:spacing w:val="2"/>
                <w:sz w:val="24"/>
                <w:szCs w:val="24"/>
              </w:rPr>
              <w:t>事、高级管理人员，以及其他持有发行人首次公开发行前发</w:t>
            </w:r>
            <w:r>
              <w:rPr>
                <w:rFonts w:ascii="黑体" w:hAnsi="黑体" w:eastAsia="黑体" w:cs="黑体"/>
                <w:spacing w:val="1"/>
                <w:sz w:val="24"/>
                <w:szCs w:val="24"/>
              </w:rPr>
              <w:t>行的</w:t>
            </w:r>
            <w:r>
              <w:rPr>
                <w:rFonts w:ascii="黑体" w:hAnsi="黑体" w:eastAsia="黑体" w:cs="黑体"/>
                <w:sz w:val="24"/>
                <w:szCs w:val="24"/>
              </w:rPr>
              <w:t xml:space="preserve"> </w:t>
            </w:r>
            <w:r>
              <w:rPr>
                <w:rFonts w:ascii="黑体" w:hAnsi="黑体" w:eastAsia="黑体" w:cs="黑体"/>
                <w:spacing w:val="-2"/>
                <w:sz w:val="24"/>
                <w:szCs w:val="24"/>
              </w:rPr>
              <w:t>股份或者上市公司向特定对象发行的股份的股</w:t>
            </w:r>
            <w:r>
              <w:rPr>
                <w:rFonts w:ascii="黑体" w:hAnsi="黑体" w:eastAsia="黑体" w:cs="黑体"/>
                <w:spacing w:val="-3"/>
                <w:sz w:val="24"/>
                <w:szCs w:val="24"/>
              </w:rPr>
              <w:t>东， 转让其持有的</w:t>
            </w:r>
            <w:r>
              <w:rPr>
                <w:rFonts w:ascii="黑体" w:hAnsi="黑体" w:eastAsia="黑体" w:cs="黑体"/>
                <w:sz w:val="24"/>
                <w:szCs w:val="24"/>
              </w:rPr>
              <w:t xml:space="preserve"> </w:t>
            </w:r>
            <w:r>
              <w:rPr>
                <w:rFonts w:ascii="黑体" w:hAnsi="黑体" w:eastAsia="黑体" w:cs="黑体"/>
                <w:spacing w:val="2"/>
                <w:sz w:val="24"/>
                <w:szCs w:val="24"/>
              </w:rPr>
              <w:t>本公司股份的，不得违反法律、行政法规和国务院证券监</w:t>
            </w:r>
            <w:r>
              <w:rPr>
                <w:rFonts w:ascii="黑体" w:hAnsi="黑体" w:eastAsia="黑体" w:cs="黑体"/>
                <w:spacing w:val="1"/>
                <w:sz w:val="24"/>
                <w:szCs w:val="24"/>
              </w:rPr>
              <w:t>督管理</w:t>
            </w:r>
            <w:r>
              <w:rPr>
                <w:rFonts w:ascii="黑体" w:hAnsi="黑体" w:eastAsia="黑体" w:cs="黑体"/>
                <w:sz w:val="24"/>
                <w:szCs w:val="24"/>
              </w:rPr>
              <w:t xml:space="preserve"> </w:t>
            </w:r>
            <w:r>
              <w:rPr>
                <w:rFonts w:ascii="黑体" w:hAnsi="黑体" w:eastAsia="黑体" w:cs="黑体"/>
                <w:spacing w:val="2"/>
                <w:sz w:val="24"/>
                <w:szCs w:val="24"/>
              </w:rPr>
              <w:t>机构关于持有期限、卖出时间、卖出数量、卖出方式、信</w:t>
            </w:r>
            <w:r>
              <w:rPr>
                <w:rFonts w:ascii="黑体" w:hAnsi="黑体" w:eastAsia="黑体" w:cs="黑体"/>
                <w:spacing w:val="1"/>
                <w:sz w:val="24"/>
                <w:szCs w:val="24"/>
              </w:rPr>
              <w:t>息披露</w:t>
            </w:r>
            <w:r>
              <w:rPr>
                <w:rFonts w:ascii="黑体" w:hAnsi="黑体" w:eastAsia="黑体" w:cs="黑体"/>
                <w:sz w:val="24"/>
                <w:szCs w:val="24"/>
              </w:rPr>
              <w:t xml:space="preserve"> </w:t>
            </w:r>
            <w:r>
              <w:rPr>
                <w:rFonts w:ascii="黑体" w:hAnsi="黑体" w:eastAsia="黑体" w:cs="黑体"/>
                <w:spacing w:val="-3"/>
                <w:sz w:val="24"/>
                <w:szCs w:val="24"/>
              </w:rPr>
              <w:t>等规定，并遵守证券交易所的业务规则。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296" w:type="dxa"/>
            <w:gridSpan w:val="4"/>
            <w:vMerge w:val="restart"/>
            <w:tcBorders>
              <w:top w:val="nil"/>
              <w:bottom w:val="nil"/>
              <w:right w:val="nil"/>
            </w:tcBorders>
            <w:vAlign w:val="top"/>
          </w:tcPr>
          <w:p>
            <w:pPr>
              <w:pStyle w:val="8"/>
              <w:spacing w:before="37" w:line="214" w:lineRule="auto"/>
              <w:ind w:right="1"/>
              <w:jc w:val="right"/>
            </w:pPr>
            <w:r>
              <w:rPr>
                <w:spacing w:val="-1"/>
              </w:rPr>
              <w:t>其转让期限有限制性规定的，在限定的期限内不得</w:t>
            </w:r>
          </w:p>
        </w:tc>
        <w:tc>
          <w:tcPr>
            <w:tcW w:w="722"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38" w:line="196" w:lineRule="auto"/>
              <w:ind w:left="19"/>
            </w:pPr>
            <w:r>
              <w:rPr>
                <w:spacing w:val="-16"/>
              </w:rPr>
              <w:t>买卖。</w:t>
            </w:r>
          </w:p>
        </w:tc>
        <w:tc>
          <w:tcPr>
            <w:tcW w:w="1081" w:type="dxa"/>
            <w:tcBorders>
              <w:top w:val="nil"/>
              <w:left w:val="single" w:color="000000" w:sz="2" w:space="0"/>
              <w:bottom w:val="nil"/>
            </w:tcBorders>
            <w:vAlign w:val="top"/>
          </w:tcPr>
          <w:p>
            <w:pPr>
              <w:rPr>
                <w:rFonts w:ascii="Arial"/>
                <w:sz w:val="21"/>
              </w:rPr>
            </w:pP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0" w:hRule="atLeast"/>
        </w:trPr>
        <w:tc>
          <w:tcPr>
            <w:tcW w:w="5296" w:type="dxa"/>
            <w:gridSpan w:val="4"/>
            <w:vMerge w:val="continue"/>
            <w:tcBorders>
              <w:top w:val="nil"/>
              <w:right w:val="nil"/>
            </w:tcBorders>
            <w:vAlign w:val="top"/>
          </w:tcPr>
          <w:p>
            <w:pPr>
              <w:rPr>
                <w:rFonts w:ascii="Arial"/>
                <w:sz w:val="21"/>
              </w:rPr>
            </w:pPr>
          </w:p>
        </w:tc>
        <w:tc>
          <w:tcPr>
            <w:tcW w:w="1803" w:type="dxa"/>
            <w:gridSpan w:val="3"/>
            <w:tcBorders>
              <w:top w:val="nil"/>
              <w:left w:val="nil"/>
            </w:tcBorders>
            <w:vAlign w:val="top"/>
          </w:tcPr>
          <w:p>
            <w:pPr>
              <w:rPr>
                <w:rFonts w:ascii="Arial"/>
                <w:sz w:val="21"/>
              </w:rPr>
            </w:pPr>
          </w:p>
        </w:tc>
        <w:tc>
          <w:tcPr>
            <w:tcW w:w="68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1982" w:type="dxa"/>
            <w:gridSpan w:val="2"/>
            <w:tcBorders>
              <w:right w:val="nil"/>
            </w:tcBorders>
            <w:vAlign w:val="top"/>
          </w:tcPr>
          <w:p>
            <w:pPr>
              <w:spacing w:before="34" w:line="222" w:lineRule="auto"/>
              <w:ind w:left="513"/>
              <w:rPr>
                <w:rFonts w:ascii="黑体" w:hAnsi="黑体" w:eastAsia="黑体" w:cs="黑体"/>
                <w:sz w:val="24"/>
                <w:szCs w:val="24"/>
              </w:rPr>
            </w:pPr>
            <w:r>
              <w:rPr>
                <w:rFonts w:ascii="黑体" w:hAnsi="黑体" w:eastAsia="黑体" w:cs="黑体"/>
                <w:spacing w:val="1"/>
                <w:sz w:val="24"/>
                <w:szCs w:val="24"/>
              </w:rPr>
              <w:t>第三十九条</w:t>
            </w:r>
          </w:p>
          <w:p>
            <w:pPr>
              <w:pStyle w:val="8"/>
              <w:spacing w:before="23" w:line="226" w:lineRule="auto"/>
              <w:ind w:left="21" w:right="19" w:firstLine="21"/>
            </w:pPr>
            <w:r>
              <w:rPr>
                <w:spacing w:val="-2"/>
              </w:rPr>
              <w:t>当在依法</w:t>
            </w:r>
            <w:r>
              <w:rPr>
                <w:spacing w:val="-2"/>
                <w:u w:val="single" w:color="auto"/>
              </w:rPr>
              <w:t>设立</w:t>
            </w:r>
            <w:r>
              <w:rPr>
                <w:spacing w:val="-2"/>
              </w:rPr>
              <w:t>的证</w:t>
            </w:r>
            <w:r>
              <w:rPr>
                <w:spacing w:val="6"/>
              </w:rPr>
              <w:t xml:space="preserve"> </w:t>
            </w:r>
            <w:r>
              <w:rPr>
                <w:spacing w:val="-3"/>
              </w:rPr>
              <w:t>交易场所</w:t>
            </w:r>
            <w:r>
              <w:rPr>
                <w:position w:val="-7"/>
              </w:rPr>
              <w:drawing>
                <wp:inline distT="0" distB="0" distL="0" distR="0">
                  <wp:extent cx="1270" cy="19494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4"/>
                          <a:stretch>
                            <a:fillRect/>
                          </a:stretch>
                        </pic:blipFill>
                        <pic:spPr>
                          <a:xfrm>
                            <a:off x="0" y="0"/>
                            <a:ext cx="1651" cy="195071"/>
                          </a:xfrm>
                          <a:prstGeom prst="rect">
                            <a:avLst/>
                          </a:prstGeom>
                        </pic:spPr>
                      </pic:pic>
                    </a:graphicData>
                  </a:graphic>
                </wp:inline>
              </w:drawing>
            </w:r>
            <w:r>
              <w:rPr>
                <w:spacing w:val="-3"/>
                <w:u w:val="single" w:color="auto"/>
                <w:shd w:val="clear" w:fill="D9D9D9"/>
              </w:rPr>
              <w:t>转让</w:t>
            </w:r>
            <w:r>
              <w:rPr>
                <w:position w:val="-7"/>
              </w:rPr>
              <w:drawing>
                <wp:inline distT="0" distB="0" distL="0" distR="0">
                  <wp:extent cx="1270" cy="19494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4"/>
                          <a:stretch>
                            <a:fillRect/>
                          </a:stretch>
                        </pic:blipFill>
                        <pic:spPr>
                          <a:xfrm>
                            <a:off x="0" y="0"/>
                            <a:ext cx="1650" cy="195071"/>
                          </a:xfrm>
                          <a:prstGeom prst="rect">
                            <a:avLst/>
                          </a:prstGeom>
                        </pic:spPr>
                      </pic:pic>
                    </a:graphicData>
                  </a:graphic>
                </wp:inline>
              </w:drawing>
            </w:r>
            <w:r>
              <w:rPr>
                <w:spacing w:val="-3"/>
              </w:rPr>
              <w:t>。</w:t>
            </w:r>
          </w:p>
        </w:tc>
        <w:tc>
          <w:tcPr>
            <w:tcW w:w="5117" w:type="dxa"/>
            <w:gridSpan w:val="5"/>
            <w:tcBorders>
              <w:left w:val="nil"/>
            </w:tcBorders>
            <w:vAlign w:val="top"/>
          </w:tcPr>
          <w:p>
            <w:pPr>
              <w:pStyle w:val="8"/>
              <w:spacing w:before="5" w:line="239" w:lineRule="auto"/>
              <w:ind w:firstLine="3"/>
            </w:pPr>
            <w:r>
              <w:rPr>
                <w:u w:val="single" w:color="auto"/>
                <w:shd w:val="clear" w:fill="D9D9D9"/>
              </w:rPr>
              <w:t>依法</w:t>
            </w:r>
            <w:r>
              <w:rPr>
                <w:position w:val="-7"/>
              </w:rPr>
              <w:drawing>
                <wp:inline distT="0" distB="0" distL="0" distR="0">
                  <wp:extent cx="3175" cy="19494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4"/>
                          <a:stretch>
                            <a:fillRect/>
                          </a:stretch>
                        </pic:blipFill>
                        <pic:spPr>
                          <a:xfrm>
                            <a:off x="0" y="0"/>
                            <a:ext cx="3781" cy="195071"/>
                          </a:xfrm>
                          <a:prstGeom prst="rect">
                            <a:avLst/>
                          </a:prstGeom>
                        </pic:spPr>
                      </pic:pic>
                    </a:graphicData>
                  </a:graphic>
                </wp:inline>
              </w:drawing>
            </w:r>
            <w:r>
              <w:t>公开发行的</w:t>
            </w:r>
            <w:r>
              <w:rPr>
                <w:position w:val="-7"/>
              </w:rPr>
              <w:drawing>
                <wp:inline distT="0" distB="0" distL="0" distR="0">
                  <wp:extent cx="3175" cy="19494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4"/>
                          <a:stretch>
                            <a:fillRect/>
                          </a:stretch>
                        </pic:blipFill>
                        <pic:spPr>
                          <a:xfrm>
                            <a:off x="0" y="0"/>
                            <a:ext cx="3781" cy="195071"/>
                          </a:xfrm>
                          <a:prstGeom prst="rect">
                            <a:avLst/>
                          </a:prstGeom>
                        </pic:spPr>
                      </pic:pic>
                    </a:graphicData>
                  </a:graphic>
                </wp:inline>
              </w:drawing>
            </w:r>
            <w:r>
              <w:rPr>
                <w:u w:val="single" w:color="auto"/>
                <w:shd w:val="clear" w:fill="D9D9D9"/>
              </w:rPr>
              <w:t>股票、公司债券及其他</w:t>
            </w:r>
            <w:r>
              <w:rPr>
                <w:position w:val="-7"/>
              </w:rPr>
              <w:drawing>
                <wp:inline distT="0" distB="0" distL="0" distR="0">
                  <wp:extent cx="3175" cy="19494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4"/>
                          <a:stretch>
                            <a:fillRect/>
                          </a:stretch>
                        </pic:blipFill>
                        <pic:spPr>
                          <a:xfrm>
                            <a:off x="0" y="0"/>
                            <a:ext cx="3780" cy="195071"/>
                          </a:xfrm>
                          <a:prstGeom prst="rect">
                            <a:avLst/>
                          </a:prstGeom>
                        </pic:spPr>
                      </pic:pic>
                    </a:graphicData>
                  </a:graphic>
                </wp:inline>
              </w:drawing>
            </w:r>
            <w:r>
              <w:t>证券，应</w:t>
            </w:r>
            <w:r>
              <w:rPr>
                <w:spacing w:val="15"/>
              </w:rPr>
              <w:t xml:space="preserve"> </w:t>
            </w:r>
            <w:r>
              <w:rPr>
                <w:spacing w:val="3"/>
              </w:rPr>
              <w:t>券交易所上市交易或者在国务院批准的其他证券</w:t>
            </w:r>
          </w:p>
        </w:tc>
        <w:tc>
          <w:tcPr>
            <w:tcW w:w="6808" w:type="dxa"/>
            <w:vAlign w:val="top"/>
          </w:tcPr>
          <w:p>
            <w:pPr>
              <w:pStyle w:val="8"/>
              <w:spacing w:before="37" w:line="228" w:lineRule="auto"/>
              <w:ind w:left="13" w:right="5" w:firstLine="498"/>
            </w:pPr>
            <w:r>
              <w:rPr>
                <w:rFonts w:ascii="黑体" w:hAnsi="黑体" w:eastAsia="黑体" w:cs="黑体"/>
                <w:spacing w:val="-3"/>
              </w:rPr>
              <w:t xml:space="preserve">第三十七条  </w:t>
            </w:r>
            <w:r>
              <w:rPr>
                <w:spacing w:val="-3"/>
              </w:rPr>
              <w:t>公开发行的证券， 应当在依法设立的证券交易</w:t>
            </w:r>
            <w:r>
              <w:t xml:space="preserve"> </w:t>
            </w:r>
            <w:r>
              <w:rPr>
                <w:spacing w:val="-1"/>
              </w:rPr>
              <w:t>所上市交易或者在国务院批准的其他全国性证券交易场所</w:t>
            </w:r>
            <w:r>
              <w:rPr>
                <w:rFonts w:ascii="黑体" w:hAnsi="黑体" w:eastAsia="黑体" w:cs="黑体"/>
                <w:spacing w:val="-1"/>
              </w:rPr>
              <w:t>交易</w:t>
            </w:r>
            <w:r>
              <w:rPr>
                <w:spacing w:val="-1"/>
              </w:rPr>
              <w:t>。</w:t>
            </w:r>
          </w:p>
          <w:p>
            <w:pPr>
              <w:spacing w:before="27" w:line="229" w:lineRule="auto"/>
              <w:ind w:left="14" w:right="7" w:firstLine="501"/>
              <w:rPr>
                <w:rFonts w:ascii="黑体" w:hAnsi="黑体" w:eastAsia="黑体" w:cs="黑体"/>
                <w:sz w:val="24"/>
                <w:szCs w:val="24"/>
              </w:rPr>
            </w:pPr>
            <w:r>
              <w:rPr>
                <w:rFonts w:ascii="黑体" w:hAnsi="黑体" w:eastAsia="黑体" w:cs="黑体"/>
                <w:spacing w:val="1"/>
                <w:sz w:val="24"/>
                <w:szCs w:val="24"/>
              </w:rPr>
              <w:t>非公开发行的证券，可以在证券交易所、国务院批准的其他</w:t>
            </w:r>
            <w:r>
              <w:rPr>
                <w:rFonts w:ascii="黑体" w:hAnsi="黑体" w:eastAsia="黑体" w:cs="黑体"/>
                <w:spacing w:val="3"/>
                <w:sz w:val="24"/>
                <w:szCs w:val="24"/>
              </w:rPr>
              <w:t xml:space="preserve"> </w:t>
            </w:r>
            <w:r>
              <w:rPr>
                <w:rFonts w:ascii="黑体" w:hAnsi="黑体" w:eastAsia="黑体" w:cs="黑体"/>
                <w:spacing w:val="2"/>
                <w:sz w:val="24"/>
                <w:szCs w:val="24"/>
              </w:rPr>
              <w:t>全国性证券交易场所、按照国务院规定设立的区</w:t>
            </w:r>
            <w:r>
              <w:rPr>
                <w:rFonts w:ascii="黑体" w:hAnsi="黑体" w:eastAsia="黑体" w:cs="黑体"/>
                <w:spacing w:val="1"/>
                <w:sz w:val="24"/>
                <w:szCs w:val="24"/>
              </w:rPr>
              <w:t>域性股权市场转</w:t>
            </w:r>
            <w:r>
              <w:rPr>
                <w:rFonts w:ascii="黑体" w:hAnsi="黑体" w:eastAsia="黑体" w:cs="黑体"/>
                <w:sz w:val="24"/>
                <w:szCs w:val="24"/>
              </w:rPr>
              <w:t xml:space="preserve"> </w:t>
            </w:r>
            <w:r>
              <w:rPr>
                <w:rFonts w:ascii="黑体" w:hAnsi="黑体" w:eastAsia="黑体" w:cs="黑体"/>
                <w:spacing w:val="-11"/>
                <w:sz w:val="24"/>
                <w:szCs w:val="24"/>
              </w:rPr>
              <w:t>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099" w:type="dxa"/>
            <w:gridSpan w:val="7"/>
            <w:vAlign w:val="top"/>
          </w:tcPr>
          <w:p>
            <w:pPr>
              <w:pStyle w:val="8"/>
              <w:spacing w:before="36" w:line="224" w:lineRule="auto"/>
              <w:ind w:left="21" w:firstLine="491"/>
            </w:pPr>
            <w:r>
              <w:rPr>
                <w:rFonts w:ascii="黑体" w:hAnsi="黑体" w:eastAsia="黑体" w:cs="黑体"/>
                <w:spacing w:val="3"/>
              </w:rPr>
              <w:t xml:space="preserve">第四十条  </w:t>
            </w:r>
            <w:r>
              <w:rPr>
                <w:spacing w:val="3"/>
              </w:rPr>
              <w:t>证券在证券交易所上市交易，应当采用公开的集中</w:t>
            </w:r>
            <w:r>
              <w:rPr>
                <w:spacing w:val="5"/>
              </w:rPr>
              <w:t xml:space="preserve"> </w:t>
            </w:r>
            <w:r>
              <w:rPr>
                <w:spacing w:val="-3"/>
              </w:rPr>
              <w:t>交易方式或者国务院证券监督管理机构批准的其他方式。</w:t>
            </w:r>
          </w:p>
        </w:tc>
        <w:tc>
          <w:tcPr>
            <w:tcW w:w="6808" w:type="dxa"/>
            <w:vAlign w:val="top"/>
          </w:tcPr>
          <w:p>
            <w:pPr>
              <w:pStyle w:val="8"/>
              <w:spacing w:before="36" w:line="224" w:lineRule="auto"/>
              <w:ind w:left="17" w:right="5" w:firstLine="494"/>
            </w:pPr>
            <w:r>
              <w:rPr>
                <w:rFonts w:ascii="黑体" w:hAnsi="黑体" w:eastAsia="黑体" w:cs="黑体"/>
                <w:spacing w:val="1"/>
              </w:rPr>
              <w:t xml:space="preserve">第三十八条  </w:t>
            </w:r>
            <w:r>
              <w:rPr>
                <w:spacing w:val="1"/>
              </w:rPr>
              <w:t>证券在证券交易所上市交易，应当采用公开的</w:t>
            </w:r>
            <w:r>
              <w:rPr>
                <w:spacing w:val="8"/>
              </w:rPr>
              <w:t xml:space="preserve"> </w:t>
            </w:r>
            <w:r>
              <w:rPr>
                <w:spacing w:val="-2"/>
              </w:rPr>
              <w:t>集中交易方式或者国务院证券监督管理机构</w:t>
            </w:r>
            <w:r>
              <w:rPr>
                <w:spacing w:val="-3"/>
              </w:rPr>
              <w:t>批准的其他方式。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099" w:type="dxa"/>
            <w:gridSpan w:val="7"/>
            <w:vAlign w:val="top"/>
          </w:tcPr>
          <w:p>
            <w:pPr>
              <w:pStyle w:val="8"/>
              <w:spacing w:before="34" w:line="224" w:lineRule="auto"/>
              <w:ind w:left="15" w:firstLine="497"/>
            </w:pPr>
            <w:r>
              <w:rPr>
                <w:rFonts w:ascii="黑体" w:hAnsi="黑体" w:eastAsia="黑体" w:cs="黑体"/>
                <w:spacing w:val="3"/>
              </w:rPr>
              <w:t xml:space="preserve">第四十一条  </w:t>
            </w:r>
            <w:r>
              <w:rPr>
                <w:spacing w:val="3"/>
              </w:rPr>
              <w:t>证券交易当事人买卖的证券可以采用纸面形式或</w:t>
            </w:r>
            <w:r>
              <w:rPr>
                <w:spacing w:val="5"/>
              </w:rPr>
              <w:t xml:space="preserve"> </w:t>
            </w:r>
            <w:r>
              <w:rPr>
                <w:spacing w:val="-3"/>
              </w:rPr>
              <w:t>者国务院证券监督管理机构规定的其他形式。</w:t>
            </w:r>
          </w:p>
        </w:tc>
        <w:tc>
          <w:tcPr>
            <w:tcW w:w="6808" w:type="dxa"/>
            <w:vAlign w:val="top"/>
          </w:tcPr>
          <w:p>
            <w:pPr>
              <w:pStyle w:val="8"/>
              <w:spacing w:before="34" w:line="224" w:lineRule="auto"/>
              <w:ind w:left="12" w:right="5" w:firstLine="499"/>
            </w:pPr>
            <w:r>
              <w:rPr>
                <w:rFonts w:ascii="黑体" w:hAnsi="黑体" w:eastAsia="黑体" w:cs="黑体"/>
                <w:spacing w:val="1"/>
              </w:rPr>
              <w:t xml:space="preserve">第三十九条  </w:t>
            </w:r>
            <w:r>
              <w:rPr>
                <w:spacing w:val="1"/>
              </w:rPr>
              <w:t>证券交易当事人买卖的证券可以采用纸面形式</w:t>
            </w:r>
            <w:r>
              <w:rPr>
                <w:spacing w:val="8"/>
              </w:rPr>
              <w:t xml:space="preserve"> </w:t>
            </w:r>
            <w:r>
              <w:rPr>
                <w:spacing w:val="-3"/>
              </w:rPr>
              <w:t>或者国务院证券监督管理机构规定的其他形式。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503" w:type="dxa"/>
            <w:tcBorders>
              <w:bottom w:val="single" w:color="000000" w:sz="2" w:space="0"/>
              <w:right w:val="nil"/>
            </w:tcBorders>
            <w:vAlign w:val="top"/>
          </w:tcPr>
          <w:p>
            <w:pPr>
              <w:rPr>
                <w:rFonts w:ascii="Arial"/>
                <w:sz w:val="21"/>
              </w:rPr>
            </w:pPr>
          </w:p>
        </w:tc>
        <w:tc>
          <w:tcPr>
            <w:tcW w:w="1479" w:type="dxa"/>
            <w:vMerge w:val="restart"/>
            <w:tcBorders>
              <w:left w:val="nil"/>
              <w:bottom w:val="nil"/>
              <w:right w:val="nil"/>
            </w:tcBorders>
            <w:vAlign w:val="top"/>
          </w:tcPr>
          <w:p>
            <w:pPr>
              <w:spacing w:before="33" w:line="222" w:lineRule="auto"/>
              <w:ind w:left="17"/>
              <w:rPr>
                <w:rFonts w:ascii="黑体" w:hAnsi="黑体" w:eastAsia="黑体" w:cs="黑体"/>
                <w:sz w:val="24"/>
                <w:szCs w:val="24"/>
              </w:rPr>
            </w:pPr>
            <w:r>
              <w:rPr>
                <w:rFonts w:ascii="黑体" w:hAnsi="黑体" w:eastAsia="黑体" w:cs="黑体"/>
                <w:spacing w:val="1"/>
                <w:sz w:val="24"/>
                <w:szCs w:val="24"/>
              </w:rPr>
              <w:t>第四十二条</w:t>
            </w:r>
          </w:p>
        </w:tc>
        <w:tc>
          <w:tcPr>
            <w:tcW w:w="5117" w:type="dxa"/>
            <w:gridSpan w:val="5"/>
            <w:tcBorders>
              <w:left w:val="single" w:color="000000" w:sz="2" w:space="0"/>
              <w:bottom w:val="single" w:color="000000" w:sz="2" w:space="0"/>
            </w:tcBorders>
            <w:shd w:val="clear" w:color="auto" w:fill="D9D9D9"/>
            <w:vAlign w:val="top"/>
          </w:tcPr>
          <w:p>
            <w:pPr>
              <w:pStyle w:val="8"/>
              <w:spacing w:before="35" w:line="192" w:lineRule="auto"/>
              <w:jc w:val="right"/>
            </w:pPr>
            <w:r>
              <w:rPr>
                <w:spacing w:val="2"/>
              </w:rPr>
              <w:t>证券交易以现货和国务院规定的其他方式进行交</w:t>
            </w:r>
          </w:p>
        </w:tc>
        <w:tc>
          <w:tcPr>
            <w:tcW w:w="6808" w:type="dxa"/>
            <w:vMerge w:val="restart"/>
            <w:tcBorders>
              <w:bottom w:val="nil"/>
            </w:tcBorders>
            <w:vAlign w:val="top"/>
          </w:tcPr>
          <w:p>
            <w:pPr>
              <w:spacing w:before="36" w:line="222" w:lineRule="auto"/>
              <w:ind w:left="527"/>
              <w:rPr>
                <w:rFonts w:ascii="黑体" w:hAnsi="黑体" w:eastAsia="黑体" w:cs="黑体"/>
                <w:sz w:val="24"/>
                <w:szCs w:val="24"/>
              </w:rPr>
            </w:pPr>
            <w:r>
              <w:rPr>
                <w:rFonts w:ascii="黑体" w:hAnsi="黑体" w:eastAsia="黑体" w:cs="黑体"/>
                <w:spacing w:val="-10"/>
                <w:sz w:val="24"/>
                <w:szCs w:val="24"/>
              </w:rPr>
              <w:t>（删除）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503" w:type="dxa"/>
            <w:tcBorders>
              <w:top w:val="single" w:color="000000" w:sz="2" w:space="0"/>
              <w:right w:val="single" w:color="000000" w:sz="2" w:space="0"/>
            </w:tcBorders>
            <w:shd w:val="clear" w:color="auto" w:fill="D9D9D9"/>
            <w:vAlign w:val="top"/>
          </w:tcPr>
          <w:p>
            <w:pPr>
              <w:pStyle w:val="8"/>
              <w:spacing w:before="44" w:line="210" w:lineRule="auto"/>
              <w:ind w:left="30"/>
            </w:pPr>
            <w:r>
              <w:rPr>
                <w:spacing w:val="-19"/>
              </w:rPr>
              <w:t>易。</w:t>
            </w:r>
          </w:p>
        </w:tc>
        <w:tc>
          <w:tcPr>
            <w:tcW w:w="1479" w:type="dxa"/>
            <w:vMerge w:val="continue"/>
            <w:tcBorders>
              <w:top w:val="nil"/>
              <w:left w:val="nil"/>
              <w:right w:val="nil"/>
            </w:tcBorders>
            <w:vAlign w:val="top"/>
          </w:tcPr>
          <w:p>
            <w:pPr>
              <w:rPr>
                <w:rFonts w:ascii="Arial"/>
                <w:sz w:val="21"/>
              </w:rPr>
            </w:pPr>
          </w:p>
        </w:tc>
        <w:tc>
          <w:tcPr>
            <w:tcW w:w="5117" w:type="dxa"/>
            <w:gridSpan w:val="5"/>
            <w:tcBorders>
              <w:top w:val="single" w:color="000000" w:sz="2" w:space="0"/>
              <w:left w:val="nil"/>
            </w:tcBorders>
            <w:vAlign w:val="top"/>
          </w:tcPr>
          <w:p>
            <w:pPr>
              <w:rPr>
                <w:rFonts w:ascii="Arial"/>
                <w:sz w:val="21"/>
              </w:rPr>
            </w:pPr>
          </w:p>
        </w:tc>
        <w:tc>
          <w:tcPr>
            <w:tcW w:w="680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1707"/>
        <w:gridCol w:w="489"/>
        <w:gridCol w:w="3895"/>
        <w:gridCol w:w="486"/>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1" w:hRule="atLeast"/>
        </w:trPr>
        <w:tc>
          <w:tcPr>
            <w:tcW w:w="7097" w:type="dxa"/>
            <w:gridSpan w:val="5"/>
            <w:vAlign w:val="top"/>
          </w:tcPr>
          <w:p>
            <w:pPr>
              <w:pStyle w:val="8"/>
              <w:spacing w:before="40" w:line="234" w:lineRule="auto"/>
              <w:ind w:left="21" w:firstLine="490"/>
              <w:jc w:val="both"/>
            </w:pPr>
            <w:r>
              <w:rPr>
                <w:rFonts w:ascii="黑体" w:hAnsi="黑体" w:eastAsia="黑体" w:cs="黑体"/>
                <w:spacing w:val="3"/>
              </w:rPr>
              <w:t xml:space="preserve">第四十三条  </w:t>
            </w:r>
            <w:r>
              <w:rPr>
                <w:spacing w:val="3"/>
              </w:rPr>
              <w:t>证券交易所、证券公司和证券登记结算机构的从</w:t>
            </w:r>
            <w:r>
              <w:rPr>
                <w:spacing w:val="1"/>
              </w:rPr>
              <w:t xml:space="preserve"> </w:t>
            </w:r>
            <w:r>
              <w:rPr>
                <w:spacing w:val="3"/>
              </w:rPr>
              <w:t>业人员、证券监督管理机构的工作人员以及法律、行政法规禁止参</w:t>
            </w:r>
            <w:r>
              <w:rPr>
                <w:spacing w:val="11"/>
              </w:rPr>
              <w:t xml:space="preserve"> </w:t>
            </w:r>
            <w:r>
              <w:rPr>
                <w:spacing w:val="-1"/>
              </w:rPr>
              <w:t>与股票交易的其他人员， 在任期或者法定限期内，不得直接或者以</w:t>
            </w:r>
            <w:r>
              <w:rPr>
                <w:spacing w:val="9"/>
              </w:rPr>
              <w:t xml:space="preserve"> </w:t>
            </w:r>
            <w:r>
              <w:rPr>
                <w:spacing w:val="-3"/>
              </w:rPr>
              <w:t>化名、借他人名义持有、买卖股票，也不得收受他人赠送的股票。</w:t>
            </w:r>
          </w:p>
          <w:p>
            <w:pPr>
              <w:pStyle w:val="8"/>
              <w:spacing w:before="30" w:line="226" w:lineRule="auto"/>
              <w:ind w:left="25" w:firstLine="491"/>
              <w:jc w:val="both"/>
            </w:pPr>
            <w:r>
              <w:rPr>
                <w:spacing w:val="-1"/>
              </w:rPr>
              <w:t>任何人在成为前款所列人员时， 其原已持有</w:t>
            </w:r>
            <w:r>
              <w:rPr>
                <w:spacing w:val="-2"/>
              </w:rPr>
              <w:t>的股票，必须依法</w:t>
            </w:r>
            <w:r>
              <w:t xml:space="preserve"> </w:t>
            </w:r>
            <w:r>
              <w:rPr>
                <w:spacing w:val="-16"/>
              </w:rPr>
              <w:t>转让。</w:t>
            </w:r>
          </w:p>
        </w:tc>
        <w:tc>
          <w:tcPr>
            <w:tcW w:w="6810" w:type="dxa"/>
            <w:vAlign w:val="top"/>
          </w:tcPr>
          <w:p>
            <w:pPr>
              <w:pStyle w:val="8"/>
              <w:spacing w:before="44" w:line="236" w:lineRule="auto"/>
              <w:ind w:left="14" w:right="4" w:firstLine="499"/>
            </w:pPr>
            <w:r>
              <w:rPr>
                <w:rFonts w:ascii="黑体" w:hAnsi="黑体" w:eastAsia="黑体" w:cs="黑体"/>
                <w:spacing w:val="1"/>
              </w:rPr>
              <w:t xml:space="preserve">第四十条  </w:t>
            </w:r>
            <w:r>
              <w:rPr>
                <w:spacing w:val="1"/>
              </w:rPr>
              <w:t>证券交易场所、证券公司和证券登记结算机构的</w:t>
            </w:r>
            <w:r>
              <w:rPr>
                <w:spacing w:val="8"/>
              </w:rPr>
              <w:t xml:space="preserve"> </w:t>
            </w:r>
            <w:r>
              <w:rPr>
                <w:spacing w:val="2"/>
              </w:rPr>
              <w:t>从业人员、证券监督管理机构的工作人员以及法律、</w:t>
            </w:r>
            <w:r>
              <w:rPr>
                <w:spacing w:val="1"/>
              </w:rPr>
              <w:t>行政法规规</w:t>
            </w:r>
            <w:r>
              <w:t xml:space="preserve"> </w:t>
            </w:r>
            <w:r>
              <w:rPr>
                <w:spacing w:val="-3"/>
              </w:rPr>
              <w:t>定禁止参与股票交易的其他人员，在任期或者法定限期内， 不得</w:t>
            </w:r>
            <w:r>
              <w:rPr>
                <w:spacing w:val="18"/>
              </w:rPr>
              <w:t xml:space="preserve"> </w:t>
            </w:r>
            <w:r>
              <w:rPr>
                <w:spacing w:val="2"/>
              </w:rPr>
              <w:t>直接或者以化名、借他人名义持有、买卖股票</w:t>
            </w:r>
            <w:r>
              <w:rPr>
                <w:rFonts w:ascii="黑体" w:hAnsi="黑体" w:eastAsia="黑体" w:cs="黑体"/>
                <w:spacing w:val="2"/>
              </w:rPr>
              <w:t>或者其他</w:t>
            </w:r>
            <w:r>
              <w:rPr>
                <w:rFonts w:ascii="黑体" w:hAnsi="黑体" w:eastAsia="黑体" w:cs="黑体"/>
                <w:spacing w:val="1"/>
              </w:rPr>
              <w:t>具有股权</w:t>
            </w:r>
            <w:r>
              <w:rPr>
                <w:rFonts w:ascii="黑体" w:hAnsi="黑体" w:eastAsia="黑体" w:cs="黑体"/>
              </w:rPr>
              <w:t xml:space="preserve"> </w:t>
            </w:r>
            <w:r>
              <w:rPr>
                <w:rFonts w:ascii="黑体" w:hAnsi="黑体" w:eastAsia="黑体" w:cs="黑体"/>
                <w:spacing w:val="2"/>
              </w:rPr>
              <w:t>性质的证券</w:t>
            </w:r>
            <w:r>
              <w:rPr>
                <w:spacing w:val="2"/>
              </w:rPr>
              <w:t>，也不得收受他人赠送的股票</w:t>
            </w:r>
            <w:r>
              <w:rPr>
                <w:rFonts w:ascii="黑体" w:hAnsi="黑体" w:eastAsia="黑体" w:cs="黑体"/>
                <w:spacing w:val="2"/>
              </w:rPr>
              <w:t>或者其他具有</w:t>
            </w:r>
            <w:r>
              <w:rPr>
                <w:rFonts w:ascii="黑体" w:hAnsi="黑体" w:eastAsia="黑体" w:cs="黑体"/>
                <w:spacing w:val="1"/>
              </w:rPr>
              <w:t>股权性质</w:t>
            </w:r>
            <w:r>
              <w:rPr>
                <w:rFonts w:ascii="黑体" w:hAnsi="黑体" w:eastAsia="黑体" w:cs="黑体"/>
              </w:rPr>
              <w:t xml:space="preserve"> </w:t>
            </w:r>
            <w:r>
              <w:rPr>
                <w:rFonts w:ascii="黑体" w:hAnsi="黑体" w:eastAsia="黑体" w:cs="黑体"/>
                <w:spacing w:val="-3"/>
              </w:rPr>
              <w:t>的证券</w:t>
            </w:r>
            <w:r>
              <w:rPr>
                <w:spacing w:val="-3"/>
              </w:rPr>
              <w:t>。</w:t>
            </w:r>
          </w:p>
          <w:p>
            <w:pPr>
              <w:pStyle w:val="8"/>
              <w:spacing w:before="22" w:line="229" w:lineRule="auto"/>
              <w:ind w:left="20" w:right="3" w:firstLine="497"/>
            </w:pPr>
            <w:r>
              <w:rPr>
                <w:spacing w:val="1"/>
              </w:rPr>
              <w:t>任何人在成为前款所列人员时，其原已持有的股票</w:t>
            </w:r>
            <w:r>
              <w:rPr>
                <w:rFonts w:ascii="黑体" w:hAnsi="黑体" w:eastAsia="黑体" w:cs="黑体"/>
                <w:spacing w:val="1"/>
              </w:rPr>
              <w:t>或者其他</w:t>
            </w:r>
            <w:r>
              <w:rPr>
                <w:rFonts w:ascii="黑体" w:hAnsi="黑体" w:eastAsia="黑体" w:cs="黑体"/>
                <w:spacing w:val="6"/>
              </w:rPr>
              <w:t xml:space="preserve"> </w:t>
            </w:r>
            <w:r>
              <w:rPr>
                <w:rFonts w:ascii="黑体" w:hAnsi="黑体" w:eastAsia="黑体" w:cs="黑体"/>
                <w:spacing w:val="-4"/>
              </w:rPr>
              <w:t>具有股权性质的证券</w:t>
            </w:r>
            <w:r>
              <w:rPr>
                <w:spacing w:val="-4"/>
              </w:rPr>
              <w:t>，必须依法转让。</w:t>
            </w:r>
          </w:p>
          <w:p>
            <w:pPr>
              <w:spacing w:before="26" w:line="234" w:lineRule="auto"/>
              <w:ind w:left="13" w:right="7" w:firstLine="506"/>
              <w:rPr>
                <w:rFonts w:ascii="黑体" w:hAnsi="黑体" w:eastAsia="黑体" w:cs="黑体"/>
                <w:sz w:val="24"/>
                <w:szCs w:val="24"/>
              </w:rPr>
            </w:pPr>
            <w:r>
              <w:rPr>
                <w:rFonts w:ascii="黑体" w:hAnsi="黑体" w:eastAsia="黑体" w:cs="黑体"/>
                <w:spacing w:val="10"/>
                <w:sz w:val="24"/>
                <w:szCs w:val="24"/>
              </w:rPr>
              <w:t>实施股权激励计划或者员工持股计划的证券公司的从业人</w:t>
            </w:r>
            <w:r>
              <w:rPr>
                <w:rFonts w:ascii="黑体" w:hAnsi="黑体" w:eastAsia="黑体" w:cs="黑体"/>
                <w:spacing w:val="16"/>
                <w:sz w:val="24"/>
                <w:szCs w:val="24"/>
              </w:rPr>
              <w:t xml:space="preserve"> </w:t>
            </w:r>
            <w:r>
              <w:rPr>
                <w:rFonts w:ascii="黑体" w:hAnsi="黑体" w:eastAsia="黑体" w:cs="黑体"/>
                <w:spacing w:val="-2"/>
                <w:sz w:val="24"/>
                <w:szCs w:val="24"/>
              </w:rPr>
              <w:t>员， 可以按照国务院证券监督管理机构的</w:t>
            </w:r>
            <w:r>
              <w:rPr>
                <w:rFonts w:ascii="黑体" w:hAnsi="黑体" w:eastAsia="黑体" w:cs="黑体"/>
                <w:spacing w:val="-3"/>
                <w:sz w:val="24"/>
                <w:szCs w:val="24"/>
              </w:rPr>
              <w:t>规定持有、卖出本公司</w:t>
            </w:r>
            <w:r>
              <w:rPr>
                <w:rFonts w:ascii="黑体" w:hAnsi="黑体" w:eastAsia="黑体" w:cs="黑体"/>
                <w:sz w:val="24"/>
                <w:szCs w:val="24"/>
              </w:rPr>
              <w:t xml:space="preserve"> </w:t>
            </w:r>
            <w:r>
              <w:rPr>
                <w:rFonts w:ascii="黑体" w:hAnsi="黑体" w:eastAsia="黑体" w:cs="黑体"/>
                <w:spacing w:val="-3"/>
                <w:sz w:val="24"/>
                <w:szCs w:val="24"/>
              </w:rPr>
              <w:t>股票或者其他具有股权性质的证券。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611" w:type="dxa"/>
            <w:gridSpan w:val="4"/>
            <w:vMerge w:val="restart"/>
            <w:tcBorders>
              <w:bottom w:val="nil"/>
              <w:right w:val="nil"/>
            </w:tcBorders>
            <w:vAlign w:val="top"/>
          </w:tcPr>
          <w:p>
            <w:pPr>
              <w:pStyle w:val="8"/>
              <w:spacing w:before="29" w:line="227" w:lineRule="auto"/>
              <w:ind w:left="9" w:right="3" w:firstLine="503"/>
            </w:pPr>
            <w:r>
              <w:rPr>
                <w:rFonts w:ascii="黑体" w:hAnsi="黑体" w:eastAsia="黑体" w:cs="黑体"/>
                <w:spacing w:val="3"/>
              </w:rPr>
              <w:t>第</w:t>
            </w:r>
            <w:r>
              <w:rPr>
                <w:rFonts w:ascii="黑体" w:hAnsi="黑体" w:eastAsia="黑体" w:cs="黑体"/>
                <w:spacing w:val="3"/>
                <w:u w:val="single" w:color="auto"/>
              </w:rPr>
              <w:t xml:space="preserve">四十四条  </w:t>
            </w:r>
            <w:r>
              <w:rPr>
                <w:spacing w:val="3"/>
                <w:u w:val="single" w:color="auto"/>
              </w:rPr>
              <w:t>证券</w:t>
            </w:r>
            <w:r>
              <w:rPr>
                <w:spacing w:val="3"/>
              </w:rPr>
              <w:t>交易所、证券公司、证券登记结算机构</w:t>
            </w:r>
            <w:r>
              <w:rPr>
                <w:spacing w:val="4"/>
              </w:rPr>
              <w:t xml:space="preserve"> </w:t>
            </w:r>
            <w:r>
              <w:rPr>
                <w:spacing w:val="-3"/>
              </w:rPr>
              <w:t>依法为</w:t>
            </w:r>
            <w:r>
              <w:rPr>
                <w:position w:val="-7"/>
              </w:rPr>
              <w:drawing>
                <wp:inline distT="0" distB="0" distL="0" distR="0">
                  <wp:extent cx="1270" cy="19494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76"/>
                          <a:stretch>
                            <a:fillRect/>
                          </a:stretch>
                        </pic:blipFill>
                        <pic:spPr>
                          <a:xfrm>
                            <a:off x="0" y="0"/>
                            <a:ext cx="1651" cy="195072"/>
                          </a:xfrm>
                          <a:prstGeom prst="rect">
                            <a:avLst/>
                          </a:prstGeom>
                        </pic:spPr>
                      </pic:pic>
                    </a:graphicData>
                  </a:graphic>
                </wp:inline>
              </w:drawing>
            </w:r>
            <w:r>
              <w:rPr>
                <w:spacing w:val="-3"/>
                <w:u w:val="single" w:color="auto"/>
                <w:shd w:val="clear" w:fill="D9D9D9"/>
              </w:rPr>
              <w:t>客户开立的账户</w:t>
            </w:r>
            <w:r>
              <w:rPr>
                <w:position w:val="-7"/>
              </w:rPr>
              <w:drawing>
                <wp:inline distT="0" distB="0" distL="0" distR="0">
                  <wp:extent cx="1270" cy="19494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76"/>
                          <a:stretch>
                            <a:fillRect/>
                          </a:stretch>
                        </pic:blipFill>
                        <pic:spPr>
                          <a:xfrm>
                            <a:off x="0" y="0"/>
                            <a:ext cx="1650" cy="195072"/>
                          </a:xfrm>
                          <a:prstGeom prst="rect">
                            <a:avLst/>
                          </a:prstGeom>
                        </pic:spPr>
                      </pic:pic>
                    </a:graphicData>
                  </a:graphic>
                </wp:inline>
              </w:drawing>
            </w:r>
            <w:r>
              <w:rPr>
                <w:spacing w:val="-3"/>
              </w:rPr>
              <w:t>保密。</w:t>
            </w:r>
          </w:p>
        </w:tc>
        <w:tc>
          <w:tcPr>
            <w:tcW w:w="486" w:type="dxa"/>
            <w:tcBorders>
              <w:left w:val="single" w:color="000000" w:sz="2" w:space="0"/>
              <w:bottom w:val="single" w:color="000000" w:sz="2" w:space="0"/>
            </w:tcBorders>
            <w:shd w:val="clear" w:color="auto" w:fill="D9D9D9"/>
            <w:vAlign w:val="top"/>
          </w:tcPr>
          <w:p>
            <w:pPr>
              <w:pStyle w:val="8"/>
              <w:spacing w:before="29" w:line="194" w:lineRule="auto"/>
              <w:jc w:val="right"/>
            </w:pPr>
            <w:r>
              <w:rPr>
                <w:spacing w:val="-13"/>
              </w:rPr>
              <w:t>必须</w:t>
            </w:r>
          </w:p>
        </w:tc>
        <w:tc>
          <w:tcPr>
            <w:tcW w:w="6810" w:type="dxa"/>
            <w:vMerge w:val="restart"/>
            <w:tcBorders>
              <w:bottom w:val="nil"/>
            </w:tcBorders>
            <w:vAlign w:val="top"/>
          </w:tcPr>
          <w:p>
            <w:pPr>
              <w:pStyle w:val="8"/>
              <w:spacing w:before="30" w:line="233" w:lineRule="auto"/>
              <w:ind w:left="14" w:right="6" w:firstLine="499"/>
            </w:pPr>
            <w:r>
              <w:rPr>
                <w:rFonts w:ascii="黑体" w:hAnsi="黑体" w:eastAsia="黑体" w:cs="黑体"/>
                <w:spacing w:val="10"/>
              </w:rPr>
              <w:t xml:space="preserve">第四十一条  </w:t>
            </w:r>
            <w:r>
              <w:rPr>
                <w:spacing w:val="10"/>
              </w:rPr>
              <w:t>证券交易</w:t>
            </w:r>
            <w:r>
              <w:rPr>
                <w:rFonts w:ascii="黑体" w:hAnsi="黑体" w:eastAsia="黑体" w:cs="黑体"/>
                <w:spacing w:val="10"/>
              </w:rPr>
              <w:t>场</w:t>
            </w:r>
            <w:r>
              <w:rPr>
                <w:spacing w:val="10"/>
              </w:rPr>
              <w:t>所、证券公司、证券登记结算机</w:t>
            </w:r>
            <w:r>
              <w:rPr>
                <w:spacing w:val="13"/>
              </w:rPr>
              <w:t xml:space="preserve"> </w:t>
            </w:r>
            <w:r>
              <w:rPr>
                <w:spacing w:val="-2"/>
              </w:rPr>
              <w:t>构、</w:t>
            </w:r>
            <w:r>
              <w:rPr>
                <w:spacing w:val="-14"/>
              </w:rPr>
              <w:t xml:space="preserve"> </w:t>
            </w:r>
            <w:r>
              <w:rPr>
                <w:rFonts w:ascii="黑体" w:hAnsi="黑体" w:eastAsia="黑体" w:cs="黑体"/>
                <w:spacing w:val="-2"/>
              </w:rPr>
              <w:t>证券服务机构及其工作人员</w:t>
            </w:r>
            <w:r>
              <w:rPr>
                <w:spacing w:val="-2"/>
              </w:rPr>
              <w:t>应当依法为</w:t>
            </w:r>
            <w:r>
              <w:rPr>
                <w:rFonts w:ascii="黑体" w:hAnsi="黑体" w:eastAsia="黑体" w:cs="黑体"/>
                <w:spacing w:val="-2"/>
              </w:rPr>
              <w:t>投资者的信息</w:t>
            </w:r>
            <w:r>
              <w:rPr>
                <w:spacing w:val="-2"/>
              </w:rPr>
              <w:t>保密，</w:t>
            </w:r>
            <w:r>
              <w:t xml:space="preserve"> </w:t>
            </w:r>
            <w:r>
              <w:rPr>
                <w:spacing w:val="-3"/>
              </w:rPr>
              <w:t>不得非法买卖、提供或者公开投资者的信息。</w:t>
            </w:r>
          </w:p>
          <w:p>
            <w:pPr>
              <w:spacing w:before="28" w:line="221" w:lineRule="auto"/>
              <w:ind w:left="11" w:right="7" w:firstLine="501"/>
              <w:rPr>
                <w:rFonts w:ascii="黑体" w:hAnsi="黑体" w:eastAsia="黑体" w:cs="黑体"/>
                <w:sz w:val="24"/>
                <w:szCs w:val="24"/>
              </w:rPr>
            </w:pPr>
            <w:r>
              <w:rPr>
                <w:rFonts w:ascii="黑体" w:hAnsi="黑体" w:eastAsia="黑体" w:cs="黑体"/>
                <w:spacing w:val="1"/>
                <w:sz w:val="24"/>
                <w:szCs w:val="24"/>
              </w:rPr>
              <w:t>证券交易场所、证券公司、证券登记结算机构、证券服务机</w:t>
            </w:r>
            <w:r>
              <w:rPr>
                <w:rFonts w:ascii="黑体" w:hAnsi="黑体" w:eastAsia="黑体" w:cs="黑体"/>
                <w:spacing w:val="7"/>
                <w:sz w:val="24"/>
                <w:szCs w:val="24"/>
              </w:rPr>
              <w:t xml:space="preserve"> </w:t>
            </w:r>
            <w:r>
              <w:rPr>
                <w:rFonts w:ascii="黑体" w:hAnsi="黑体" w:eastAsia="黑体" w:cs="黑体"/>
                <w:spacing w:val="-2"/>
                <w:sz w:val="24"/>
                <w:szCs w:val="24"/>
              </w:rPr>
              <w:t>构及其工作人员不得泄露所知悉的商业秘密。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6611" w:type="dxa"/>
            <w:gridSpan w:val="4"/>
            <w:vMerge w:val="continue"/>
            <w:tcBorders>
              <w:top w:val="nil"/>
              <w:right w:val="nil"/>
            </w:tcBorders>
            <w:vAlign w:val="top"/>
          </w:tcPr>
          <w:p>
            <w:pPr>
              <w:rPr>
                <w:rFonts w:ascii="Arial"/>
                <w:sz w:val="21"/>
              </w:rPr>
            </w:pPr>
          </w:p>
        </w:tc>
        <w:tc>
          <w:tcPr>
            <w:tcW w:w="486" w:type="dxa"/>
            <w:tcBorders>
              <w:top w:val="single" w:color="000000" w:sz="2" w:space="0"/>
              <w:left w:val="nil"/>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2227" w:type="dxa"/>
            <w:gridSpan w:val="2"/>
            <w:tcBorders>
              <w:bottom w:val="nil"/>
              <w:right w:val="single" w:color="000000" w:sz="2" w:space="0"/>
            </w:tcBorders>
            <w:vAlign w:val="top"/>
          </w:tcPr>
          <w:p>
            <w:pPr>
              <w:pStyle w:val="8"/>
              <w:spacing w:before="39" w:line="195" w:lineRule="auto"/>
              <w:jc w:val="right"/>
            </w:pPr>
            <w:r>
              <w:rPr>
                <w:rFonts w:ascii="黑体" w:hAnsi="黑体" w:eastAsia="黑体" w:cs="黑体"/>
                <w:spacing w:val="-2"/>
              </w:rPr>
              <w:t>第四十五条</w:t>
            </w:r>
            <w:r>
              <w:rPr>
                <w:rFonts w:ascii="黑体" w:hAnsi="黑体" w:eastAsia="黑体" w:cs="黑体"/>
                <w:spacing w:val="12"/>
              </w:rPr>
              <w:t xml:space="preserve">  </w:t>
            </w:r>
            <w:r>
              <w:rPr>
                <w:spacing w:val="-2"/>
              </w:rPr>
              <w:t>为</w:t>
            </w:r>
          </w:p>
        </w:tc>
        <w:tc>
          <w:tcPr>
            <w:tcW w:w="489" w:type="dxa"/>
            <w:tcBorders>
              <w:left w:val="single" w:color="000000" w:sz="2" w:space="0"/>
              <w:bottom w:val="single" w:color="000000" w:sz="2" w:space="0"/>
              <w:right w:val="single" w:color="000000" w:sz="2" w:space="0"/>
            </w:tcBorders>
            <w:shd w:val="clear" w:color="auto" w:fill="D9D9D9"/>
            <w:vAlign w:val="top"/>
          </w:tcPr>
          <w:p>
            <w:pPr>
              <w:pStyle w:val="8"/>
              <w:spacing w:before="40" w:line="194" w:lineRule="auto"/>
              <w:ind w:left="3"/>
            </w:pPr>
            <w:r>
              <w:drawing>
                <wp:anchor distT="0" distB="0" distL="0" distR="0" simplePos="0" relativeHeight="251676672" behindDoc="0" locked="0" layoutInCell="1" allowOverlap="1">
                  <wp:simplePos x="0" y="0"/>
                  <wp:positionH relativeFrom="rightMargin">
                    <wp:posOffset>-311785</wp:posOffset>
                  </wp:positionH>
                  <wp:positionV relativeFrom="topMargin">
                    <wp:posOffset>2540</wp:posOffset>
                  </wp:positionV>
                  <wp:extent cx="309245" cy="635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90"/>
                          <a:stretch>
                            <a:fillRect/>
                          </a:stretch>
                        </pic:blipFill>
                        <pic:spPr>
                          <a:xfrm>
                            <a:off x="0" y="0"/>
                            <a:ext cx="309372" cy="6350"/>
                          </a:xfrm>
                          <a:prstGeom prst="rect">
                            <a:avLst/>
                          </a:prstGeom>
                        </pic:spPr>
                      </pic:pic>
                    </a:graphicData>
                  </a:graphic>
                </wp:anchor>
              </w:drawing>
            </w:r>
            <w:r>
              <w:rPr>
                <w:spacing w:val="-3"/>
              </w:rPr>
              <w:t>股票</w:t>
            </w:r>
          </w:p>
        </w:tc>
        <w:tc>
          <w:tcPr>
            <w:tcW w:w="4381" w:type="dxa"/>
            <w:gridSpan w:val="2"/>
            <w:tcBorders>
              <w:left w:val="single" w:color="000000" w:sz="2" w:space="0"/>
              <w:bottom w:val="nil"/>
            </w:tcBorders>
            <w:vAlign w:val="top"/>
          </w:tcPr>
          <w:p>
            <w:pPr>
              <w:pStyle w:val="8"/>
              <w:spacing w:before="40" w:line="194" w:lineRule="auto"/>
              <w:jc w:val="right"/>
            </w:pPr>
            <w:r>
              <w:rPr>
                <w:spacing w:val="2"/>
              </w:rPr>
              <w:t>发行出具审计报告、资产评估报告或者法</w:t>
            </w:r>
          </w:p>
        </w:tc>
        <w:tc>
          <w:tcPr>
            <w:tcW w:w="6810" w:type="dxa"/>
            <w:vMerge w:val="restart"/>
            <w:tcBorders>
              <w:bottom w:val="nil"/>
            </w:tcBorders>
            <w:vAlign w:val="top"/>
          </w:tcPr>
          <w:p>
            <w:pPr>
              <w:pStyle w:val="8"/>
              <w:spacing w:before="40" w:line="234" w:lineRule="auto"/>
              <w:ind w:left="11" w:right="2" w:firstLine="502"/>
              <w:jc w:val="both"/>
            </w:pPr>
            <w:r>
              <w:rPr>
                <w:rFonts w:ascii="黑体" w:hAnsi="黑体" w:eastAsia="黑体" w:cs="黑体"/>
                <w:spacing w:val="1"/>
              </w:rPr>
              <w:t xml:space="preserve">第四十二条  </w:t>
            </w:r>
            <w:r>
              <w:rPr>
                <w:spacing w:val="1"/>
              </w:rPr>
              <w:t>为</w:t>
            </w:r>
            <w:r>
              <w:rPr>
                <w:rFonts w:ascii="黑体" w:hAnsi="黑体" w:eastAsia="黑体" w:cs="黑体"/>
                <w:spacing w:val="1"/>
              </w:rPr>
              <w:t>证券</w:t>
            </w:r>
            <w:r>
              <w:rPr>
                <w:spacing w:val="1"/>
              </w:rPr>
              <w:t>发行出具审计报告或者法律意见书等文</w:t>
            </w:r>
            <w:r>
              <w:rPr>
                <w:spacing w:val="8"/>
              </w:rPr>
              <w:t xml:space="preserve"> </w:t>
            </w:r>
            <w:r>
              <w:rPr>
                <w:spacing w:val="11"/>
              </w:rPr>
              <w:t>件的证券服务机构和人员，在该</w:t>
            </w:r>
            <w:r>
              <w:rPr>
                <w:rFonts w:ascii="黑体" w:hAnsi="黑体" w:eastAsia="黑体" w:cs="黑体"/>
                <w:spacing w:val="11"/>
              </w:rPr>
              <w:t>证券</w:t>
            </w:r>
            <w:r>
              <w:rPr>
                <w:spacing w:val="11"/>
              </w:rPr>
              <w:t>承销期内和期满后六个月</w:t>
            </w:r>
            <w:r>
              <w:rPr>
                <w:spacing w:val="3"/>
              </w:rPr>
              <w:t xml:space="preserve"> </w:t>
            </w:r>
            <w:r>
              <w:rPr>
                <w:spacing w:val="-1"/>
              </w:rPr>
              <w:t>内，不得买卖该</w:t>
            </w:r>
            <w:r>
              <w:rPr>
                <w:rFonts w:ascii="黑体" w:hAnsi="黑体" w:eastAsia="黑体" w:cs="黑体"/>
                <w:spacing w:val="-1"/>
              </w:rPr>
              <w:t>证券</w:t>
            </w:r>
            <w:r>
              <w:rPr>
                <w:spacing w:val="-1"/>
              </w:rPr>
              <w:t>。</w:t>
            </w:r>
          </w:p>
          <w:p>
            <w:pPr>
              <w:pStyle w:val="8"/>
              <w:spacing w:before="23" w:line="233" w:lineRule="auto"/>
              <w:ind w:left="13" w:right="4" w:firstLine="515"/>
              <w:jc w:val="both"/>
              <w:rPr>
                <w:rFonts w:ascii="黑体" w:hAnsi="黑体" w:eastAsia="黑体" w:cs="黑体"/>
              </w:rPr>
            </w:pPr>
            <w:r>
              <w:rPr>
                <w:spacing w:val="-4"/>
              </w:rPr>
              <w:t>除前款规定外， 为</w:t>
            </w:r>
            <w:r>
              <w:rPr>
                <w:rFonts w:ascii="黑体" w:hAnsi="黑体" w:eastAsia="黑体" w:cs="黑体"/>
                <w:spacing w:val="-4"/>
              </w:rPr>
              <w:t>发行人及其控股股东、实际控制人，或者</w:t>
            </w:r>
            <w:r>
              <w:rPr>
                <w:rFonts w:ascii="黑体" w:hAnsi="黑体" w:eastAsia="黑体" w:cs="黑体"/>
                <w:spacing w:val="7"/>
              </w:rPr>
              <w:t xml:space="preserve"> </w:t>
            </w:r>
            <w:r>
              <w:rPr>
                <w:rFonts w:ascii="黑体" w:hAnsi="黑体" w:eastAsia="黑体" w:cs="黑体"/>
                <w:spacing w:val="2"/>
              </w:rPr>
              <w:t>收购人、重大资产交易方</w:t>
            </w:r>
            <w:r>
              <w:rPr>
                <w:spacing w:val="2"/>
              </w:rPr>
              <w:t>出具审计报告或者法律意见书等</w:t>
            </w:r>
            <w:r>
              <w:rPr>
                <w:spacing w:val="1"/>
              </w:rPr>
              <w:t>文件的</w:t>
            </w:r>
            <w:r>
              <w:t xml:space="preserve"> </w:t>
            </w:r>
            <w:r>
              <w:rPr>
                <w:spacing w:val="-2"/>
              </w:rPr>
              <w:t>证券服务机构和人员， 自接受委托之日起</w:t>
            </w:r>
            <w:r>
              <w:rPr>
                <w:spacing w:val="-3"/>
              </w:rPr>
              <w:t>至上述文件公开后五日</w:t>
            </w:r>
            <w:r>
              <w:t xml:space="preserve"> </w:t>
            </w:r>
            <w:r>
              <w:rPr>
                <w:spacing w:val="-2"/>
              </w:rPr>
              <w:t>内， 不得买卖该</w:t>
            </w:r>
            <w:r>
              <w:rPr>
                <w:rFonts w:ascii="黑体" w:hAnsi="黑体" w:eastAsia="黑体" w:cs="黑体"/>
                <w:spacing w:val="-2"/>
              </w:rPr>
              <w:t>证券</w:t>
            </w:r>
            <w:r>
              <w:rPr>
                <w:spacing w:val="-2"/>
              </w:rPr>
              <w:t>。</w:t>
            </w:r>
            <w:r>
              <w:rPr>
                <w:rFonts w:ascii="黑体" w:hAnsi="黑体" w:eastAsia="黑体" w:cs="黑体"/>
                <w:spacing w:val="-2"/>
              </w:rPr>
              <w:t>但是，实际开展上</w:t>
            </w:r>
            <w:r>
              <w:rPr>
                <w:rFonts w:ascii="黑体" w:hAnsi="黑体" w:eastAsia="黑体" w:cs="黑体"/>
                <w:spacing w:val="-3"/>
              </w:rPr>
              <w:t>述有关工作之日早于接</w:t>
            </w:r>
            <w:r>
              <w:rPr>
                <w:rFonts w:ascii="黑体" w:hAnsi="黑体" w:eastAsia="黑体" w:cs="黑体"/>
              </w:rPr>
              <w:t xml:space="preserve"> </w:t>
            </w:r>
            <w:r>
              <w:rPr>
                <w:rFonts w:ascii="黑体" w:hAnsi="黑体" w:eastAsia="黑体" w:cs="黑体"/>
                <w:spacing w:val="2"/>
              </w:rPr>
              <w:t>受委托之日的，自实际开展上述有关工作之日起至上述</w:t>
            </w:r>
            <w:r>
              <w:rPr>
                <w:rFonts w:ascii="黑体" w:hAnsi="黑体" w:eastAsia="黑体" w:cs="黑体"/>
                <w:spacing w:val="1"/>
              </w:rPr>
              <w:t>文件公开</w:t>
            </w:r>
            <w:r>
              <w:rPr>
                <w:rFonts w:ascii="黑体" w:hAnsi="黑体" w:eastAsia="黑体" w:cs="黑体"/>
              </w:rPr>
              <w:t xml:space="preserve"> </w:t>
            </w:r>
            <w:r>
              <w:rPr>
                <w:rFonts w:ascii="黑体" w:hAnsi="黑体" w:eastAsia="黑体" w:cs="黑体"/>
                <w:spacing w:val="-3"/>
              </w:rPr>
              <w:t>后五日内，不得买卖该证券。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6" w:hRule="atLeast"/>
        </w:trPr>
        <w:tc>
          <w:tcPr>
            <w:tcW w:w="7097" w:type="dxa"/>
            <w:gridSpan w:val="5"/>
            <w:tcBorders>
              <w:top w:val="nil"/>
            </w:tcBorders>
            <w:vAlign w:val="top"/>
          </w:tcPr>
          <w:p>
            <w:pPr>
              <w:pStyle w:val="8"/>
              <w:spacing w:before="45" w:line="214" w:lineRule="auto"/>
              <w:jc w:val="right"/>
            </w:pPr>
            <w:r>
              <w:pict>
                <v:shape id="_x0000_s1037" o:spid="_x0000_s1037" o:spt="202" type="#_x0000_t202" style="position:absolute;left:0pt;margin-left:243.55pt;margin-top:-0.2pt;height:18.4pt;width:26.75pt;z-index:251671552;mso-width-relative:page;mso-height-relative:page;" filled="f" stroked="f" coordsize="21600,21600">
                  <v:path/>
                  <v:fill on="f" focussize="0,0"/>
                  <v:stroke on="f"/>
                  <v:imagedata o:title=""/>
                  <o:lock v:ext="edit" aspectratio="f"/>
                  <v:textbox inset="0mm,0mm,0mm,0mm">
                    <w:txbxContent>
                      <w:p>
                        <w:pPr>
                          <w:pStyle w:val="8"/>
                          <w:spacing w:before="20" w:line="236" w:lineRule="auto"/>
                          <w:ind w:left="20"/>
                        </w:pPr>
                        <w:r>
                          <w:rPr>
                            <w:position w:val="-7"/>
                            <w:shd w:val="clear" w:fill="D9D9D9"/>
                          </w:rPr>
                          <w:drawing>
                            <wp:inline distT="0" distB="0" distL="0" distR="0">
                              <wp:extent cx="2540" cy="19494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76"/>
                                      <a:stretch>
                                        <a:fillRect/>
                                      </a:stretch>
                                    </pic:blipFill>
                                    <pic:spPr>
                                      <a:xfrm>
                                        <a:off x="0" y="0"/>
                                        <a:ext cx="3124" cy="195072"/>
                                      </a:xfrm>
                                      <a:prstGeom prst="rect">
                                        <a:avLst/>
                                      </a:prstGeom>
                                    </pic:spPr>
                                  </pic:pic>
                                </a:graphicData>
                              </a:graphic>
                            </wp:inline>
                          </w:drawing>
                        </w:r>
                        <w:r>
                          <w:rPr>
                            <w:spacing w:val="2"/>
                            <w:u w:val="single" w:color="auto"/>
                            <w:shd w:val="clear" w:fill="D9D9D9"/>
                          </w:rPr>
                          <w:t>股票</w:t>
                        </w:r>
                        <w:r>
                          <w:rPr>
                            <w:position w:val="-7"/>
                            <w:shd w:val="clear" w:fill="D9D9D9"/>
                          </w:rPr>
                          <w:drawing>
                            <wp:inline distT="0" distB="0" distL="0" distR="0">
                              <wp:extent cx="2540" cy="19494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76"/>
                                      <a:stretch>
                                        <a:fillRect/>
                                      </a:stretch>
                                    </pic:blipFill>
                                    <pic:spPr>
                                      <a:xfrm>
                                        <a:off x="0" y="0"/>
                                        <a:ext cx="3124" cy="195072"/>
                                      </a:xfrm>
                                      <a:prstGeom prst="rect">
                                        <a:avLst/>
                                      </a:prstGeom>
                                    </pic:spPr>
                                  </pic:pic>
                                </a:graphicData>
                              </a:graphic>
                            </wp:inline>
                          </w:drawing>
                        </w:r>
                      </w:p>
                    </w:txbxContent>
                  </v:textbox>
                </v:shape>
              </w:pict>
            </w:r>
            <w:r>
              <w:pict>
                <v:shape id="_x0000_s1038" o:spid="_x0000_s1038" o:spt="202" type="#_x0000_t202" style="position:absolute;left:0pt;margin-left:169.2pt;margin-top:25.55pt;height:7.2pt;width:10.3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pStyle w:val="8"/>
                          <w:spacing w:before="20" w:line="103" w:lineRule="exact"/>
                          <w:jc w:val="right"/>
                        </w:pPr>
                        <w:r>
                          <w:rPr>
                            <w:spacing w:val="-63"/>
                            <w:w w:val="95"/>
                            <w:position w:val="1"/>
                          </w:rPr>
                          <w:t>。</w:t>
                        </w:r>
                      </w:p>
                    </w:txbxContent>
                  </v:textbox>
                </v:shape>
              </w:pict>
            </w:r>
            <w:r>
              <w:pict>
                <v:shape id="_x0000_s1039" o:spid="_x0000_s1039" style="position:absolute;left:0pt;margin-left:245.35pt;margin-top:31.9pt;height:15.5pt;width:85.35pt;mso-position-horizontal-relative:page;mso-position-vertical-relative:page;z-index:251673600;mso-width-relative:page;mso-height-relative:page;" fillcolor="#000000" filled="t" stroked="f" coordsize="1706,310" path="m0,0l2,0,2,2,0,2,0,0xem0,0l2,0,2,2,0,2,0,0xem2,0l1703,0,1703,2,2,2,2,0xem1703,0l1706,0,1706,2,1703,2,1703,0xem1703,0l1706,0,1706,2,1703,2,1703,0xem0,2l2,2,2,307,0,307,0,2xem1703,2l1706,2,1706,307,1703,307,1703,2xem0,307l2,307,2,309,0,309,0,307xem0,307l2,307,2,309,0,309,0,307xem2,307l1703,307,1703,309,2,309,2,307xem1703,307l1706,307,1706,309,1703,309,1703,307xem1703,307l1706,307,1706,309,1703,309,1703,307xe">
                  <v:path/>
                  <v:fill on="t" focussize="0,0"/>
                  <v:stroke on="f"/>
                  <v:imagedata o:title=""/>
                  <o:lock v:ext="edit"/>
                </v:shape>
              </w:pict>
            </w:r>
            <w:r>
              <w:pict>
                <v:shape id="_x0000_s1040" o:spid="_x0000_s1040" style="position:absolute;left:0pt;margin-left:269.5pt;margin-top:47.5pt;height:15.55pt;width:49.1pt;mso-position-horizontal-relative:page;mso-position-vertical-relative:page;z-index:251674624;mso-width-relative:page;mso-height-relative:page;" fillcolor="#000000" filled="t" stroked="f" coordsize="981,311" path="m0,0l2,0,2,2,0,2,0,0xem0,0l2,0,2,2,0,2,0,0xem2,0l979,0,979,2,2,2,2,0xem979,0l981,0,981,2,979,2,979,0xem979,0l981,0,981,2,979,2,979,0xem0,2l2,2,2,307,0,307,0,2xem979,2l981,2,981,307,979,307,979,2xem0,307l2,307,2,310,0,310,0,307xem0,307l2,307,2,310,0,310,0,307xem2,307l979,307,979,310,2,310,2,307xem979,307l981,307,981,310,979,310,979,307xem979,307l981,307,981,310,979,310,979,307xe">
                  <v:path/>
                  <v:fill on="t" focussize="0,0"/>
                  <v:stroke on="f"/>
                  <v:imagedata o:title=""/>
                  <o:lock v:ext="edit"/>
                </v:shape>
              </w:pict>
            </w:r>
            <w:r>
              <w:pict>
                <v:shape id="_x0000_s1041" o:spid="_x0000_s1041" style="position:absolute;left:0pt;margin-left:228.7pt;margin-top:63.15pt;height:15.5pt;width:36.25pt;mso-position-horizontal-relative:page;mso-position-vertical-relative:page;z-index:251672576;mso-width-relative:page;mso-height-relative:page;" fillcolor="#000000" filled="t" stroked="f" coordsize="725,310" path="m0,0l2,0,2,2,0,2,0,0xem0,0l2,0,2,2,0,2,0,0xem2,0l722,0,722,2,2,2,2,0xem722,0l724,0,724,2,722,2,722,0xem722,0l724,0,724,2,722,2,722,0xem0,2l2,2,2,307,0,307,0,2xem722,2l724,2,724,307,722,307,722,2xem0,307l2,307,2,309,0,309,0,307xem0,307l2,307,2,309,0,309,0,307xem2,307l722,307,722,309,2,309,2,307xem722,307l724,307,724,309,722,309,722,307xem722,307l724,307,724,309,722,309,722,307xe">
                  <v:path/>
                  <v:fill on="t" focussize="0,0"/>
                  <v:stroke on="f"/>
                  <v:imagedata o:title=""/>
                  <o:lock v:ext="edit"/>
                </v:shape>
              </w:pict>
            </w:r>
            <w:r>
              <w:rPr>
                <w:spacing w:val="3"/>
              </w:rPr>
              <w:t>律意见书等文件的证券服务机构和人员，在该    承销期内和期满</w:t>
            </w:r>
          </w:p>
          <w:p>
            <w:pPr>
              <w:pStyle w:val="8"/>
              <w:spacing w:before="33" w:line="217" w:lineRule="auto"/>
              <w:ind w:left="16"/>
            </w:pPr>
            <w:r>
              <w:pict>
                <v:shape id="_x0000_s1042" o:spid="_x0000_s1042" o:spt="202" type="#_x0000_t202" style="position:absolute;left:0pt;margin-left:121.75pt;margin-top:-0.9pt;height:33pt;width:51.3pt;z-index:2516705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80"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
                          <w:gridCol w:w="718"/>
                          <w:gridCol w:w="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90" w:type="dxa"/>
                              <w:tcBorders>
                                <w:top w:val="nil"/>
                                <w:left w:val="nil"/>
                              </w:tcBorders>
                              <w:vAlign w:val="top"/>
                            </w:tcPr>
                            <w:p>
                              <w:pPr>
                                <w:rPr>
                                  <w:rFonts w:ascii="Arial"/>
                                  <w:sz w:val="21"/>
                                </w:rPr>
                              </w:pPr>
                            </w:p>
                          </w:tc>
                          <w:tc>
                            <w:tcPr>
                              <w:tcW w:w="718" w:type="dxa"/>
                              <w:shd w:val="clear" w:color="auto" w:fill="D9D9D9"/>
                              <w:vAlign w:val="top"/>
                            </w:tcPr>
                            <w:p>
                              <w:pPr>
                                <w:pStyle w:val="8"/>
                                <w:spacing w:before="27" w:line="204" w:lineRule="auto"/>
                                <w:jc w:val="right"/>
                              </w:pPr>
                              <w:r>
                                <w:rPr>
                                  <w:spacing w:val="-6"/>
                                </w:rPr>
                                <w:t>种股票</w:t>
                              </w:r>
                            </w:p>
                          </w:tc>
                          <w:tc>
                            <w:tcPr>
                              <w:tcW w:w="72"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980" w:type="dxa"/>
                              <w:gridSpan w:val="3"/>
                              <w:shd w:val="clear" w:color="auto" w:fill="D9D9D9"/>
                              <w:vAlign w:val="top"/>
                            </w:tcPr>
                            <w:p>
                              <w:pPr>
                                <w:pStyle w:val="8"/>
                                <w:spacing w:before="28" w:line="202" w:lineRule="auto"/>
                                <w:ind w:left="12"/>
                              </w:pPr>
                              <w:r>
                                <w:rPr>
                                  <w:spacing w:val="-1"/>
                                </w:rPr>
                                <w:t>上市公司</w:t>
                              </w:r>
                            </w:p>
                          </w:tc>
                        </w:tr>
                      </w:tbl>
                      <w:p>
                        <w:pPr>
                          <w:rPr>
                            <w:rFonts w:ascii="Arial"/>
                            <w:sz w:val="21"/>
                          </w:rPr>
                        </w:pPr>
                      </w:p>
                    </w:txbxContent>
                  </v:textbox>
                </v:shape>
              </w:pict>
            </w:r>
            <w:r>
              <w:rPr>
                <w:spacing w:val="-2"/>
              </w:rPr>
              <w:t>后六个月内，不得买卖该</w:t>
            </w:r>
          </w:p>
          <w:p>
            <w:pPr>
              <w:pStyle w:val="8"/>
              <w:spacing w:before="27" w:line="215" w:lineRule="auto"/>
              <w:jc w:val="right"/>
            </w:pPr>
            <w:r>
              <w:t>除前款规定外，为</w:t>
            </w:r>
            <w:r>
              <w:rPr>
                <w:spacing w:val="8"/>
              </w:rPr>
              <w:t xml:space="preserve">        </w:t>
            </w:r>
            <w:r>
              <w:t>出具审计报告</w:t>
            </w:r>
            <w:r>
              <w:rPr>
                <w:shd w:val="clear" w:fill="D9D9D9"/>
              </w:rPr>
              <w:t>、资产评估报告</w:t>
            </w:r>
            <w:r>
              <w:t>或者</w:t>
            </w:r>
          </w:p>
          <w:p>
            <w:pPr>
              <w:pStyle w:val="8"/>
              <w:spacing w:before="32" w:line="217" w:lineRule="auto"/>
              <w:jc w:val="right"/>
            </w:pPr>
            <w:r>
              <w:rPr>
                <w:spacing w:val="1"/>
              </w:rPr>
              <w:t>法律意见书等文件的证券服务机构和人员，</w:t>
            </w:r>
            <w:r>
              <w:rPr>
                <w:spacing w:val="-50"/>
              </w:rPr>
              <w:t xml:space="preserve"> </w:t>
            </w:r>
            <w:r>
              <w:rPr>
                <w:spacing w:val="1"/>
              </w:rPr>
              <w:t>自接受</w:t>
            </w:r>
            <w:r>
              <w:rPr>
                <w:spacing w:val="1"/>
                <w:shd w:val="clear" w:fill="D9D9D9"/>
              </w:rPr>
              <w:t>上市公司</w:t>
            </w:r>
            <w:r>
              <w:rPr>
                <w:spacing w:val="1"/>
              </w:rPr>
              <w:t>委托之</w:t>
            </w:r>
          </w:p>
          <w:p>
            <w:pPr>
              <w:pStyle w:val="8"/>
              <w:spacing w:before="29" w:line="216" w:lineRule="auto"/>
              <w:ind w:left="58"/>
            </w:pPr>
            <w:r>
              <w:rPr>
                <w:spacing w:val="-3"/>
              </w:rPr>
              <w:t>日起至上述文件公开后五日内，不得买卖该</w:t>
            </w:r>
            <w:r>
              <w:rPr>
                <w:spacing w:val="-3"/>
                <w:shd w:val="clear" w:fill="D9D9D9"/>
              </w:rPr>
              <w:t>种股票</w:t>
            </w:r>
            <w:r>
              <w:rPr>
                <w:spacing w:val="-3"/>
              </w:rPr>
              <w:t>。</w:t>
            </w: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7097" w:type="dxa"/>
            <w:gridSpan w:val="5"/>
            <w:tcBorders>
              <w:bottom w:val="single" w:color="000000" w:sz="2" w:space="0"/>
            </w:tcBorders>
            <w:vAlign w:val="top"/>
          </w:tcPr>
          <w:p>
            <w:pPr>
              <w:pStyle w:val="8"/>
              <w:spacing w:before="44" w:line="217" w:lineRule="auto"/>
              <w:ind w:left="29" w:firstLine="483"/>
            </w:pPr>
            <w:r>
              <w:rPr>
                <w:rFonts w:ascii="黑体" w:hAnsi="黑体" w:eastAsia="黑体" w:cs="黑体"/>
                <w:spacing w:val="3"/>
              </w:rPr>
              <w:t xml:space="preserve">第四十六条  </w:t>
            </w:r>
            <w:r>
              <w:rPr>
                <w:spacing w:val="3"/>
              </w:rPr>
              <w:t xml:space="preserve">证券交易的收费必须合理，并公开收费项目、收 </w:t>
            </w:r>
            <w:r>
              <w:rPr>
                <w:spacing w:val="-8"/>
              </w:rPr>
              <w:t>费标准和收费办法。</w:t>
            </w:r>
          </w:p>
        </w:tc>
        <w:tc>
          <w:tcPr>
            <w:tcW w:w="6810" w:type="dxa"/>
            <w:vMerge w:val="restart"/>
            <w:tcBorders>
              <w:bottom w:val="nil"/>
            </w:tcBorders>
            <w:vAlign w:val="top"/>
          </w:tcPr>
          <w:p>
            <w:pPr>
              <w:pStyle w:val="8"/>
              <w:spacing w:before="47" w:line="229" w:lineRule="auto"/>
              <w:ind w:left="32" w:right="49" w:firstLine="481"/>
            </w:pPr>
            <w:r>
              <w:rPr>
                <w:rFonts w:ascii="黑体" w:hAnsi="黑体" w:eastAsia="黑体" w:cs="黑体"/>
                <w:spacing w:val="-1"/>
              </w:rPr>
              <w:t xml:space="preserve">第四十三条  </w:t>
            </w:r>
            <w:r>
              <w:rPr>
                <w:spacing w:val="-1"/>
              </w:rPr>
              <w:t>证券交易的收费必须合理，并公开收费项目、</w:t>
            </w:r>
            <w:r>
              <w:rPr>
                <w:spacing w:val="17"/>
              </w:rPr>
              <w:t xml:space="preserve"> </w:t>
            </w:r>
            <w:r>
              <w:rPr>
                <w:spacing w:val="-6"/>
              </w:rPr>
              <w:t>收费标准和</w:t>
            </w:r>
            <w:r>
              <w:rPr>
                <w:rFonts w:ascii="黑体" w:hAnsi="黑体" w:eastAsia="黑体" w:cs="黑体"/>
                <w:spacing w:val="-6"/>
              </w:rPr>
              <w:t>管理</w:t>
            </w:r>
            <w:r>
              <w:rPr>
                <w:spacing w:val="-6"/>
              </w:rPr>
              <w:t>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520" w:type="dxa"/>
            <w:tcBorders>
              <w:top w:val="nil"/>
              <w:right w:val="single" w:color="000000" w:sz="2" w:space="0"/>
            </w:tcBorders>
            <w:vAlign w:val="top"/>
          </w:tcPr>
          <w:p>
            <w:pPr>
              <w:rPr>
                <w:rFonts w:ascii="Arial"/>
                <w:sz w:val="21"/>
              </w:rPr>
            </w:pPr>
          </w:p>
        </w:tc>
        <w:tc>
          <w:tcPr>
            <w:tcW w:w="6577" w:type="dxa"/>
            <w:gridSpan w:val="4"/>
            <w:tcBorders>
              <w:top w:val="single" w:color="000000" w:sz="2" w:space="0"/>
              <w:left w:val="single" w:color="000000" w:sz="2" w:space="0"/>
            </w:tcBorders>
            <w:shd w:val="clear" w:color="auto" w:fill="D9D9D9"/>
            <w:vAlign w:val="top"/>
          </w:tcPr>
          <w:p>
            <w:pPr>
              <w:pStyle w:val="8"/>
              <w:spacing w:before="42" w:line="210" w:lineRule="auto"/>
              <w:jc w:val="right"/>
            </w:pPr>
            <w:r>
              <w:rPr>
                <w:spacing w:val="3"/>
              </w:rPr>
              <w:t>证券交易的收费项目、收费标准和管理办法由国务院</w:t>
            </w:r>
            <w:r>
              <w:rPr>
                <w:spacing w:val="2"/>
              </w:rPr>
              <w:t>有关主管</w:t>
            </w:r>
          </w:p>
        </w:tc>
        <w:tc>
          <w:tcPr>
            <w:tcW w:w="6810" w:type="dxa"/>
            <w:vMerge w:val="continue"/>
            <w:tcBorders>
              <w:top w:val="nil"/>
            </w:tcBorders>
            <w:vAlign w:val="top"/>
          </w:tcPr>
          <w:p>
            <w:pPr>
              <w:rPr>
                <w:rFonts w:ascii="Arial"/>
                <w:sz w:val="21"/>
              </w:rPr>
            </w:pPr>
          </w:p>
        </w:tc>
      </w:tr>
    </w:tbl>
    <w:p>
      <w:pPr>
        <w:spacing w:before="78" w:line="186"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p>
      <w:pPr>
        <w:spacing w:line="186" w:lineRule="auto"/>
        <w:rPr>
          <w:rFonts w:ascii="Times New Roman" w:hAnsi="Times New Roman" w:eastAsia="Times New Roman" w:cs="Times New Roman"/>
          <w:sz w:val="18"/>
          <w:szCs w:val="18"/>
        </w:rPr>
        <w:sectPr>
          <w:footerReference r:id="rId16"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281"/>
        <w:gridCol w:w="918"/>
        <w:gridCol w:w="2003"/>
        <w:gridCol w:w="1708"/>
        <w:gridCol w:w="486"/>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702" w:type="dxa"/>
            <w:tcBorders>
              <w:bottom w:val="single" w:color="000000" w:sz="2" w:space="0"/>
              <w:right w:val="single" w:color="000000" w:sz="2" w:space="0"/>
            </w:tcBorders>
            <w:shd w:val="clear" w:color="auto" w:fill="D9D9D9"/>
            <w:vAlign w:val="top"/>
          </w:tcPr>
          <w:p>
            <w:pPr>
              <w:pStyle w:val="8"/>
              <w:spacing w:before="39" w:line="205" w:lineRule="auto"/>
              <w:ind w:left="15"/>
            </w:pPr>
            <w:r>
              <w:rPr>
                <w:spacing w:val="-6"/>
              </w:rPr>
              <w:t>部门统一规定。</w:t>
            </w:r>
          </w:p>
        </w:tc>
        <w:tc>
          <w:tcPr>
            <w:tcW w:w="5396" w:type="dxa"/>
            <w:gridSpan w:val="5"/>
            <w:vMerge w:val="restart"/>
            <w:tcBorders>
              <w:left w:val="single" w:color="000000" w:sz="2" w:space="0"/>
              <w:bottom w:val="nil"/>
            </w:tcBorders>
            <w:vAlign w:val="top"/>
          </w:tcPr>
          <w:p>
            <w:pPr>
              <w:rPr>
                <w:rFonts w:ascii="Arial"/>
                <w:sz w:val="21"/>
              </w:rPr>
            </w:pPr>
          </w:p>
        </w:tc>
        <w:tc>
          <w:tcPr>
            <w:tcW w:w="6809"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1702" w:type="dxa"/>
            <w:tcBorders>
              <w:top w:val="single" w:color="000000" w:sz="2" w:space="0"/>
              <w:right w:val="nil"/>
            </w:tcBorders>
            <w:vAlign w:val="top"/>
          </w:tcPr>
          <w:p>
            <w:pPr>
              <w:spacing w:line="229" w:lineRule="exact"/>
              <w:rPr>
                <w:rFonts w:ascii="Arial"/>
                <w:sz w:val="19"/>
              </w:rPr>
            </w:pPr>
          </w:p>
        </w:tc>
        <w:tc>
          <w:tcPr>
            <w:tcW w:w="5396" w:type="dxa"/>
            <w:gridSpan w:val="5"/>
            <w:vMerge w:val="continue"/>
            <w:tcBorders>
              <w:top w:val="nil"/>
              <w:left w:val="single" w:color="000000" w:sz="2" w:space="0"/>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612" w:type="dxa"/>
            <w:gridSpan w:val="5"/>
            <w:tcBorders>
              <w:bottom w:val="nil"/>
              <w:right w:val="single" w:color="000000" w:sz="2" w:space="0"/>
            </w:tcBorders>
            <w:vAlign w:val="top"/>
          </w:tcPr>
          <w:p>
            <w:pPr>
              <w:pStyle w:val="8"/>
              <w:spacing w:before="24" w:line="198" w:lineRule="auto"/>
              <w:ind w:right="4"/>
              <w:jc w:val="right"/>
            </w:pPr>
            <w:r>
              <w:rPr>
                <w:rFonts w:ascii="黑体" w:hAnsi="黑体" w:eastAsia="黑体" w:cs="黑体"/>
                <w:spacing w:val="3"/>
              </w:rPr>
              <w:t xml:space="preserve">第四十七条  </w:t>
            </w:r>
            <w:r>
              <w:rPr>
                <w:spacing w:val="3"/>
              </w:rPr>
              <w:t>上市公司董事、监事、高级管理人员、持有</w:t>
            </w:r>
          </w:p>
        </w:tc>
        <w:tc>
          <w:tcPr>
            <w:tcW w:w="486" w:type="dxa"/>
            <w:tcBorders>
              <w:left w:val="single" w:color="000000" w:sz="2" w:space="0"/>
              <w:bottom w:val="single" w:color="000000" w:sz="2" w:space="0"/>
            </w:tcBorders>
            <w:shd w:val="clear" w:color="auto" w:fill="D9D9D9"/>
            <w:vAlign w:val="top"/>
          </w:tcPr>
          <w:p>
            <w:pPr>
              <w:pStyle w:val="8"/>
              <w:spacing w:before="25" w:line="197" w:lineRule="auto"/>
              <w:jc w:val="right"/>
            </w:pPr>
            <w:r>
              <w:rPr>
                <w:spacing w:val="-8"/>
              </w:rPr>
              <w:t>上市</w:t>
            </w:r>
          </w:p>
        </w:tc>
        <w:tc>
          <w:tcPr>
            <w:tcW w:w="6809" w:type="dxa"/>
            <w:vMerge w:val="restart"/>
            <w:tcBorders>
              <w:bottom w:val="nil"/>
            </w:tcBorders>
            <w:vAlign w:val="top"/>
          </w:tcPr>
          <w:p>
            <w:pPr>
              <w:pStyle w:val="8"/>
              <w:spacing w:before="26" w:line="238" w:lineRule="auto"/>
              <w:ind w:left="11" w:right="1" w:firstLine="501"/>
              <w:jc w:val="both"/>
            </w:pPr>
            <w:r>
              <w:rPr>
                <w:rFonts w:ascii="黑体" w:hAnsi="黑体" w:eastAsia="黑体" w:cs="黑体"/>
                <w:spacing w:val="1"/>
              </w:rPr>
              <w:t xml:space="preserve">第四十四条  </w:t>
            </w:r>
            <w:r>
              <w:rPr>
                <w:spacing w:val="1"/>
              </w:rPr>
              <w:t>上市公司</w:t>
            </w:r>
            <w:r>
              <w:rPr>
                <w:rFonts w:ascii="黑体" w:hAnsi="黑体" w:eastAsia="黑体" w:cs="黑体"/>
                <w:spacing w:val="1"/>
              </w:rPr>
              <w:t>、股票在国务院批准的其他全国性证</w:t>
            </w:r>
            <w:r>
              <w:rPr>
                <w:rFonts w:ascii="黑体" w:hAnsi="黑体" w:eastAsia="黑体" w:cs="黑体"/>
                <w:spacing w:val="9"/>
              </w:rPr>
              <w:t xml:space="preserve"> </w:t>
            </w:r>
            <w:r>
              <w:rPr>
                <w:rFonts w:ascii="黑体" w:hAnsi="黑体" w:eastAsia="黑体" w:cs="黑体"/>
                <w:spacing w:val="1"/>
              </w:rPr>
              <w:t>券交易场所交易的公司</w:t>
            </w:r>
            <w:r>
              <w:rPr>
                <w:spacing w:val="1"/>
              </w:rPr>
              <w:t>持有百分之五以上股份的股东、董事、监</w:t>
            </w:r>
            <w:r>
              <w:rPr>
                <w:spacing w:val="8"/>
              </w:rPr>
              <w:t xml:space="preserve"> </w:t>
            </w:r>
            <w:r>
              <w:rPr>
                <w:spacing w:val="2"/>
              </w:rPr>
              <w:t>事、高级管理人员，将其持有的该公司的股票</w:t>
            </w:r>
            <w:r>
              <w:rPr>
                <w:rFonts w:ascii="黑体" w:hAnsi="黑体" w:eastAsia="黑体" w:cs="黑体"/>
                <w:spacing w:val="2"/>
              </w:rPr>
              <w:t>或者其他具有</w:t>
            </w:r>
            <w:r>
              <w:rPr>
                <w:rFonts w:ascii="黑体" w:hAnsi="黑体" w:eastAsia="黑体" w:cs="黑体"/>
                <w:spacing w:val="1"/>
              </w:rPr>
              <w:t>股权</w:t>
            </w:r>
            <w:r>
              <w:rPr>
                <w:rFonts w:ascii="黑体" w:hAnsi="黑体" w:eastAsia="黑体" w:cs="黑体"/>
              </w:rPr>
              <w:t xml:space="preserve"> </w:t>
            </w:r>
            <w:r>
              <w:rPr>
                <w:rFonts w:ascii="黑体" w:hAnsi="黑体" w:eastAsia="黑体" w:cs="黑体"/>
                <w:spacing w:val="2"/>
              </w:rPr>
              <w:t>性质的证券</w:t>
            </w:r>
            <w:r>
              <w:rPr>
                <w:spacing w:val="2"/>
              </w:rPr>
              <w:t>在买入后六个月内卖出，或者在卖出后六个月内又买</w:t>
            </w:r>
            <w:r>
              <w:t xml:space="preserve"> </w:t>
            </w:r>
            <w:r>
              <w:rPr>
                <w:spacing w:val="-2"/>
              </w:rPr>
              <w:t>入， 由此所得收益归该公司所有，公司董事</w:t>
            </w:r>
            <w:r>
              <w:rPr>
                <w:spacing w:val="-3"/>
              </w:rPr>
              <w:t>会应当收回其所得收</w:t>
            </w:r>
            <w:r>
              <w:t xml:space="preserve"> </w:t>
            </w:r>
            <w:r>
              <w:rPr>
                <w:spacing w:val="2"/>
              </w:rPr>
              <w:t>益。但是，证券公司因包销购入售后剩余股票而持有百分</w:t>
            </w:r>
            <w:r>
              <w:rPr>
                <w:spacing w:val="1"/>
              </w:rPr>
              <w:t>之五以</w:t>
            </w:r>
            <w:r>
              <w:t xml:space="preserve"> </w:t>
            </w:r>
            <w:r>
              <w:rPr>
                <w:spacing w:val="11"/>
              </w:rPr>
              <w:t>上股份，</w:t>
            </w:r>
            <w:r>
              <w:rPr>
                <w:rFonts w:ascii="黑体" w:hAnsi="黑体" w:eastAsia="黑体" w:cs="黑体"/>
                <w:spacing w:val="11"/>
              </w:rPr>
              <w:t>以及有国务院证券监督管理机构规定的其他情形的除</w:t>
            </w:r>
            <w:r>
              <w:rPr>
                <w:rFonts w:ascii="黑体" w:hAnsi="黑体" w:eastAsia="黑体" w:cs="黑体"/>
                <w:spacing w:val="2"/>
              </w:rPr>
              <w:t xml:space="preserve"> </w:t>
            </w:r>
            <w:r>
              <w:rPr>
                <w:rFonts w:ascii="黑体" w:hAnsi="黑体" w:eastAsia="黑体" w:cs="黑体"/>
                <w:spacing w:val="-4"/>
              </w:rPr>
              <w:t>外</w:t>
            </w:r>
            <w:r>
              <w:rPr>
                <w:spacing w:val="-4"/>
              </w:rPr>
              <w:t>。</w:t>
            </w:r>
          </w:p>
          <w:p>
            <w:pPr>
              <w:spacing w:before="17" w:line="233" w:lineRule="auto"/>
              <w:ind w:left="15" w:right="7" w:firstLine="497"/>
              <w:jc w:val="both"/>
              <w:rPr>
                <w:rFonts w:ascii="黑体" w:hAnsi="黑体" w:eastAsia="黑体" w:cs="黑体"/>
                <w:sz w:val="24"/>
                <w:szCs w:val="24"/>
              </w:rPr>
            </w:pPr>
            <w:r>
              <w:rPr>
                <w:rFonts w:ascii="黑体" w:hAnsi="黑体" w:eastAsia="黑体" w:cs="黑体"/>
                <w:spacing w:val="1"/>
                <w:sz w:val="24"/>
                <w:szCs w:val="24"/>
              </w:rPr>
              <w:t>前款所称董事、监事、高级管理人员、自然人股东持有的股</w:t>
            </w:r>
            <w:r>
              <w:rPr>
                <w:rFonts w:ascii="黑体" w:hAnsi="黑体" w:eastAsia="黑体" w:cs="黑体"/>
                <w:spacing w:val="6"/>
                <w:sz w:val="24"/>
                <w:szCs w:val="24"/>
              </w:rPr>
              <w:t xml:space="preserve"> </w:t>
            </w:r>
            <w:r>
              <w:rPr>
                <w:rFonts w:ascii="黑体" w:hAnsi="黑体" w:eastAsia="黑体" w:cs="黑体"/>
                <w:spacing w:val="2"/>
                <w:sz w:val="24"/>
                <w:szCs w:val="24"/>
              </w:rPr>
              <w:t>票或者其他具有股权性质的证券，包括其配偶、</w:t>
            </w:r>
            <w:r>
              <w:rPr>
                <w:rFonts w:ascii="黑体" w:hAnsi="黑体" w:eastAsia="黑体" w:cs="黑体"/>
                <w:spacing w:val="1"/>
                <w:sz w:val="24"/>
                <w:szCs w:val="24"/>
              </w:rPr>
              <w:t>父母、子女持有</w:t>
            </w:r>
            <w:r>
              <w:rPr>
                <w:rFonts w:ascii="黑体" w:hAnsi="黑体" w:eastAsia="黑体" w:cs="黑体"/>
                <w:sz w:val="24"/>
                <w:szCs w:val="24"/>
              </w:rPr>
              <w:t xml:space="preserve"> </w:t>
            </w:r>
            <w:r>
              <w:rPr>
                <w:rFonts w:ascii="黑体" w:hAnsi="黑体" w:eastAsia="黑体" w:cs="黑体"/>
                <w:spacing w:val="-2"/>
                <w:sz w:val="24"/>
                <w:szCs w:val="24"/>
              </w:rPr>
              <w:t>的及利用他人账户持有的股票或者其他具有股权性质的证券。</w:t>
            </w:r>
          </w:p>
          <w:p>
            <w:pPr>
              <w:pStyle w:val="8"/>
              <w:spacing w:before="25" w:line="232" w:lineRule="auto"/>
              <w:ind w:left="16" w:right="4" w:firstLine="495"/>
              <w:jc w:val="both"/>
            </w:pPr>
            <w:r>
              <w:rPr>
                <w:spacing w:val="-3"/>
              </w:rPr>
              <w:t>公司董事会不按照</w:t>
            </w:r>
            <w:r>
              <w:rPr>
                <w:rFonts w:ascii="黑体" w:hAnsi="黑体" w:eastAsia="黑体" w:cs="黑体"/>
                <w:spacing w:val="-3"/>
              </w:rPr>
              <w:t>第一</w:t>
            </w:r>
            <w:r>
              <w:rPr>
                <w:spacing w:val="-3"/>
              </w:rPr>
              <w:t>款规定执行的， 股东有权要求</w:t>
            </w:r>
            <w:r>
              <w:rPr>
                <w:spacing w:val="-4"/>
              </w:rPr>
              <w:t>董事会</w:t>
            </w:r>
            <w:r>
              <w:t xml:space="preserve"> </w:t>
            </w:r>
            <w:r>
              <w:rPr>
                <w:spacing w:val="-3"/>
              </w:rPr>
              <w:t>在三十日内执行。公司董事会未在上述期限内执行的， 股东有权</w:t>
            </w:r>
            <w:r>
              <w:rPr>
                <w:spacing w:val="15"/>
              </w:rPr>
              <w:t xml:space="preserve"> </w:t>
            </w:r>
            <w:r>
              <w:rPr>
                <w:spacing w:val="-3"/>
              </w:rPr>
              <w:t>为了公司的利益以自己的名义直接向人民法院提起诉讼。</w:t>
            </w:r>
          </w:p>
          <w:p>
            <w:pPr>
              <w:pStyle w:val="8"/>
              <w:spacing w:before="30" w:line="223" w:lineRule="auto"/>
              <w:ind w:left="22" w:right="7" w:firstLine="489"/>
              <w:jc w:val="both"/>
            </w:pPr>
            <w:r>
              <w:rPr>
                <w:spacing w:val="-3"/>
              </w:rPr>
              <w:t>公司董事会不按照第一款的规定执行的， 负有</w:t>
            </w:r>
            <w:r>
              <w:rPr>
                <w:spacing w:val="-4"/>
              </w:rPr>
              <w:t>责任的董事依</w:t>
            </w:r>
            <w:r>
              <w:t xml:space="preserve"> </w:t>
            </w:r>
            <w:r>
              <w:rPr>
                <w:spacing w:val="-8"/>
              </w:rPr>
              <w:t>法承担连带责任。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098" w:type="dxa"/>
            <w:gridSpan w:val="6"/>
            <w:tcBorders>
              <w:top w:val="nil"/>
              <w:bottom w:val="nil"/>
            </w:tcBorders>
            <w:vAlign w:val="top"/>
          </w:tcPr>
          <w:p>
            <w:pPr>
              <w:pStyle w:val="8"/>
              <w:spacing w:before="42" w:line="226" w:lineRule="auto"/>
              <w:ind w:left="12"/>
              <w:jc w:val="both"/>
            </w:pPr>
            <w:r>
              <w:rPr>
                <w:spacing w:val="4"/>
              </w:rPr>
              <w:t>公司股份百分之五以上的股东，将其持有的该公司</w:t>
            </w:r>
            <w:r>
              <w:rPr>
                <w:spacing w:val="3"/>
              </w:rPr>
              <w:t>的股票在买入后</w:t>
            </w:r>
            <w:r>
              <w:t xml:space="preserve"> </w:t>
            </w:r>
            <w:r>
              <w:rPr>
                <w:spacing w:val="-4"/>
              </w:rPr>
              <w:t xml:space="preserve">六个月内卖出， 或者在卖出后六个月内又买入， </w:t>
            </w:r>
            <w:r>
              <w:rPr>
                <w:spacing w:val="-5"/>
              </w:rPr>
              <w:t>由此所得收益归该</w:t>
            </w:r>
            <w:r>
              <w:t xml:space="preserve"> </w:t>
            </w:r>
            <w:r>
              <w:rPr>
                <w:spacing w:val="4"/>
              </w:rPr>
              <w:t>公司所有，公司董事会应当收回其所得收益。但</w:t>
            </w:r>
            <w:r>
              <w:rPr>
                <w:spacing w:val="3"/>
              </w:rPr>
              <w:t>是，证券公司因包</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4904" w:type="dxa"/>
            <w:gridSpan w:val="4"/>
            <w:tcBorders>
              <w:top w:val="nil"/>
              <w:bottom w:val="nil"/>
              <w:right w:val="single" w:color="000000" w:sz="2" w:space="0"/>
            </w:tcBorders>
            <w:vAlign w:val="top"/>
          </w:tcPr>
          <w:p>
            <w:pPr>
              <w:pStyle w:val="8"/>
              <w:spacing w:before="35" w:line="197" w:lineRule="auto"/>
              <w:ind w:left="9"/>
            </w:pPr>
            <w:r>
              <w:rPr>
                <w:spacing w:val="3"/>
              </w:rPr>
              <w:t>销购入售后剩余股票而持有百分之五以上股份</w:t>
            </w:r>
          </w:p>
        </w:tc>
        <w:tc>
          <w:tcPr>
            <w:tcW w:w="2194" w:type="dxa"/>
            <w:gridSpan w:val="2"/>
            <w:tcBorders>
              <w:top w:val="single" w:color="000000" w:sz="2" w:space="0"/>
              <w:left w:val="single" w:color="000000" w:sz="2" w:space="0"/>
              <w:bottom w:val="single" w:color="000000" w:sz="2" w:space="0"/>
            </w:tcBorders>
            <w:shd w:val="clear" w:color="auto" w:fill="D9D9D9"/>
            <w:vAlign w:val="top"/>
          </w:tcPr>
          <w:p>
            <w:pPr>
              <w:pStyle w:val="8"/>
              <w:spacing w:before="35" w:line="197" w:lineRule="auto"/>
              <w:jc w:val="right"/>
            </w:pPr>
            <w:r>
              <w:rPr>
                <w:spacing w:val="-1"/>
              </w:rPr>
              <w:t>的，卖出该股票不受</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5" w:hRule="atLeast"/>
        </w:trPr>
        <w:tc>
          <w:tcPr>
            <w:tcW w:w="7098" w:type="dxa"/>
            <w:gridSpan w:val="6"/>
            <w:tcBorders>
              <w:top w:val="single" w:color="000000" w:sz="2" w:space="0"/>
            </w:tcBorders>
            <w:vAlign w:val="top"/>
          </w:tcPr>
          <w:p>
            <w:pPr>
              <w:pStyle w:val="8"/>
              <w:spacing w:before="8" w:line="236" w:lineRule="auto"/>
              <w:ind w:left="26"/>
            </w:pPr>
            <w:r>
              <w:rPr>
                <w:spacing w:val="-3"/>
                <w:u w:val="single" w:color="auto"/>
                <w:shd w:val="clear" w:fill="D9D9D9"/>
              </w:rPr>
              <w:t>六个月时间限制</w:t>
            </w:r>
            <w:r>
              <w:rPr>
                <w:position w:val="-7"/>
              </w:rPr>
              <w:drawing>
                <wp:inline distT="0" distB="0" distL="0" distR="0">
                  <wp:extent cx="1270" cy="19494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84"/>
                          <a:stretch>
                            <a:fillRect/>
                          </a:stretch>
                        </pic:blipFill>
                        <pic:spPr>
                          <a:xfrm>
                            <a:off x="0" y="0"/>
                            <a:ext cx="1777" cy="195071"/>
                          </a:xfrm>
                          <a:prstGeom prst="rect">
                            <a:avLst/>
                          </a:prstGeom>
                        </pic:spPr>
                      </pic:pic>
                    </a:graphicData>
                  </a:graphic>
                </wp:inline>
              </w:drawing>
            </w:r>
            <w:r>
              <w:rPr>
                <w:spacing w:val="-3"/>
              </w:rPr>
              <w:t>。</w:t>
            </w:r>
          </w:p>
          <w:p>
            <w:pPr>
              <w:pStyle w:val="8"/>
              <w:spacing w:before="4" w:line="241" w:lineRule="auto"/>
              <w:ind w:left="23" w:firstLine="488"/>
              <w:jc w:val="both"/>
            </w:pPr>
            <w:r>
              <w:pict>
                <v:shape id="_x0000_s1043" o:spid="_x0000_s1043" style="position:absolute;left:0pt;margin-left:122.85pt;margin-top:0.2pt;height:0.15pt;width:12.25pt;z-index:251677696;mso-width-relative:page;mso-height-relative:page;" fillcolor="#000000" filled="t" stroked="f" coordsize="245,3" path="m0,0l244,0,244,2,0,2,0,0xe">
                  <v:path/>
                  <v:fill on="t" focussize="0,0"/>
                  <v:stroke on="f"/>
                  <v:imagedata o:title=""/>
                  <o:lock v:ext="edit"/>
                </v:shape>
              </w:pict>
            </w:r>
            <w:r>
              <w:rPr>
                <w:spacing w:val="-2"/>
              </w:rPr>
              <w:t>公司董事会不按照</w:t>
            </w:r>
            <w:r>
              <w:rPr>
                <w:spacing w:val="-104"/>
              </w:rPr>
              <w:t xml:space="preserve"> </w:t>
            </w:r>
            <w:r>
              <w:rPr>
                <w:position w:val="23"/>
              </w:rPr>
              <w:drawing>
                <wp:inline distT="0" distB="0" distL="0" distR="0">
                  <wp:extent cx="635" cy="127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74"/>
                          <a:stretch>
                            <a:fillRect/>
                          </a:stretch>
                        </pic:blipFill>
                        <pic:spPr>
                          <a:xfrm>
                            <a:off x="0" y="0"/>
                            <a:ext cx="761" cy="1523"/>
                          </a:xfrm>
                          <a:prstGeom prst="rect">
                            <a:avLst/>
                          </a:prstGeom>
                        </pic:spPr>
                      </pic:pic>
                    </a:graphicData>
                  </a:graphic>
                </wp:inline>
              </w:drawing>
            </w:r>
            <w:r>
              <w:rPr>
                <w:position w:val="-7"/>
              </w:rPr>
              <w:drawing>
                <wp:inline distT="0" distB="0" distL="0" distR="0">
                  <wp:extent cx="635" cy="19494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4"/>
                          <a:stretch>
                            <a:fillRect/>
                          </a:stretch>
                        </pic:blipFill>
                        <pic:spPr>
                          <a:xfrm>
                            <a:off x="0" y="0"/>
                            <a:ext cx="761" cy="195453"/>
                          </a:xfrm>
                          <a:prstGeom prst="rect">
                            <a:avLst/>
                          </a:prstGeom>
                        </pic:spPr>
                      </pic:pic>
                    </a:graphicData>
                  </a:graphic>
                </wp:inline>
              </w:drawing>
            </w:r>
            <w:r>
              <w:rPr>
                <w:spacing w:val="-2"/>
                <w:u w:val="single" w:color="auto"/>
                <w:shd w:val="clear" w:fill="D9D9D9"/>
              </w:rPr>
              <w:t>前</w:t>
            </w:r>
            <w:r>
              <w:rPr>
                <w:spacing w:val="-115"/>
                <w:u w:val="single" w:color="auto"/>
                <w:shd w:val="clear" w:fill="D9D9D9"/>
              </w:rPr>
              <w:t xml:space="preserve"> </w:t>
            </w:r>
            <w:r>
              <w:rPr>
                <w:position w:val="23"/>
              </w:rPr>
              <w:drawing>
                <wp:inline distT="0" distB="0" distL="0" distR="0">
                  <wp:extent cx="635" cy="127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74"/>
                          <a:stretch>
                            <a:fillRect/>
                          </a:stretch>
                        </pic:blipFill>
                        <pic:spPr>
                          <a:xfrm>
                            <a:off x="0" y="0"/>
                            <a:ext cx="761" cy="1523"/>
                          </a:xfrm>
                          <a:prstGeom prst="rect">
                            <a:avLst/>
                          </a:prstGeom>
                        </pic:spPr>
                      </pic:pic>
                    </a:graphicData>
                  </a:graphic>
                </wp:inline>
              </w:drawing>
            </w:r>
            <w:r>
              <w:rPr>
                <w:position w:val="-7"/>
              </w:rPr>
              <w:drawing>
                <wp:inline distT="0" distB="0" distL="0" distR="0">
                  <wp:extent cx="635" cy="194945"/>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4"/>
                          <a:stretch>
                            <a:fillRect/>
                          </a:stretch>
                        </pic:blipFill>
                        <pic:spPr>
                          <a:xfrm>
                            <a:off x="0" y="0"/>
                            <a:ext cx="761" cy="195453"/>
                          </a:xfrm>
                          <a:prstGeom prst="rect">
                            <a:avLst/>
                          </a:prstGeom>
                        </pic:spPr>
                      </pic:pic>
                    </a:graphicData>
                  </a:graphic>
                </wp:inline>
              </w:drawing>
            </w:r>
            <w:r>
              <w:rPr>
                <w:spacing w:val="-2"/>
              </w:rPr>
              <w:t>款规定执行的， 股东有权要求董事会在三</w:t>
            </w:r>
            <w:r>
              <w:t xml:space="preserve"> </w:t>
            </w:r>
            <w:r>
              <w:rPr>
                <w:spacing w:val="3"/>
              </w:rPr>
              <w:t>十日内执行。公司董事会未在上述期限内执行的，股东有权为了公</w:t>
            </w:r>
            <w:r>
              <w:rPr>
                <w:spacing w:val="10"/>
              </w:rPr>
              <w:t xml:space="preserve"> </w:t>
            </w:r>
            <w:r>
              <w:rPr>
                <w:spacing w:val="-3"/>
              </w:rPr>
              <w:t>司的利益以自己的名义直接向人民法院提起</w:t>
            </w:r>
            <w:r>
              <w:rPr>
                <w:spacing w:val="-4"/>
              </w:rPr>
              <w:t>诉讼。</w:t>
            </w:r>
          </w:p>
          <w:p>
            <w:pPr>
              <w:pStyle w:val="8"/>
              <w:spacing w:before="25" w:line="228" w:lineRule="auto"/>
              <w:ind w:left="15" w:firstLine="496"/>
              <w:jc w:val="both"/>
            </w:pPr>
            <w:r>
              <w:rPr>
                <w:spacing w:val="3"/>
              </w:rPr>
              <w:t>公司董事会不按照第一款的规定执行的，负有责任的董事依法</w:t>
            </w:r>
            <w:r>
              <w:rPr>
                <w:spacing w:val="8"/>
              </w:rPr>
              <w:t xml:space="preserve"> </w:t>
            </w:r>
            <w:r>
              <w:rPr>
                <w:spacing w:val="-8"/>
              </w:rPr>
              <w:t>承担连带责任。</w:t>
            </w: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7098" w:type="dxa"/>
            <w:gridSpan w:val="6"/>
            <w:vAlign w:val="top"/>
          </w:tcPr>
          <w:p>
            <w:pPr>
              <w:rPr>
                <w:rFonts w:ascii="Arial"/>
                <w:sz w:val="21"/>
              </w:rPr>
            </w:pPr>
          </w:p>
        </w:tc>
        <w:tc>
          <w:tcPr>
            <w:tcW w:w="6809" w:type="dxa"/>
            <w:vAlign w:val="top"/>
          </w:tcPr>
          <w:p>
            <w:pPr>
              <w:spacing w:before="33" w:line="232" w:lineRule="auto"/>
              <w:ind w:left="12" w:right="5" w:firstLine="500"/>
              <w:jc w:val="both"/>
              <w:rPr>
                <w:rFonts w:ascii="黑体" w:hAnsi="黑体" w:eastAsia="黑体" w:cs="黑体"/>
                <w:sz w:val="24"/>
                <w:szCs w:val="24"/>
              </w:rPr>
            </w:pPr>
            <w:r>
              <w:rPr>
                <w:rFonts w:ascii="黑体" w:hAnsi="黑体" w:eastAsia="黑体" w:cs="黑体"/>
                <w:spacing w:val="1"/>
                <w:sz w:val="24"/>
                <w:szCs w:val="24"/>
              </w:rPr>
              <w:t>第四十五条  通过计算机程序自动生成或下达交易指令进行</w:t>
            </w:r>
            <w:r>
              <w:rPr>
                <w:rFonts w:ascii="黑体" w:hAnsi="黑体" w:eastAsia="黑体" w:cs="黑体"/>
                <w:spacing w:val="8"/>
                <w:sz w:val="24"/>
                <w:szCs w:val="24"/>
              </w:rPr>
              <w:t xml:space="preserve"> </w:t>
            </w:r>
            <w:r>
              <w:rPr>
                <w:rFonts w:ascii="黑体" w:hAnsi="黑体" w:eastAsia="黑体" w:cs="黑体"/>
                <w:spacing w:val="-2"/>
                <w:sz w:val="24"/>
                <w:szCs w:val="24"/>
              </w:rPr>
              <w:t>程序化交易的，应当符合国务院证券监督管</w:t>
            </w:r>
            <w:r>
              <w:rPr>
                <w:rFonts w:ascii="黑体" w:hAnsi="黑体" w:eastAsia="黑体" w:cs="黑体"/>
                <w:spacing w:val="-3"/>
                <w:sz w:val="24"/>
                <w:szCs w:val="24"/>
              </w:rPr>
              <w:t>理机构的规定， 并向</w:t>
            </w:r>
            <w:r>
              <w:rPr>
                <w:rFonts w:ascii="黑体" w:hAnsi="黑体" w:eastAsia="黑体" w:cs="黑体"/>
                <w:sz w:val="24"/>
                <w:szCs w:val="24"/>
              </w:rPr>
              <w:t xml:space="preserve"> </w:t>
            </w:r>
            <w:r>
              <w:rPr>
                <w:rFonts w:ascii="黑体" w:hAnsi="黑体" w:eastAsia="黑体" w:cs="黑体"/>
                <w:spacing w:val="-2"/>
                <w:sz w:val="24"/>
                <w:szCs w:val="24"/>
              </w:rPr>
              <w:t>证券交易所报告， 不得影响证券交易所系</w:t>
            </w:r>
            <w:r>
              <w:rPr>
                <w:rFonts w:ascii="黑体" w:hAnsi="黑体" w:eastAsia="黑体" w:cs="黑体"/>
                <w:spacing w:val="-3"/>
                <w:sz w:val="24"/>
                <w:szCs w:val="24"/>
              </w:rPr>
              <w:t>统安全或者正常交易秩</w:t>
            </w:r>
            <w:r>
              <w:rPr>
                <w:rFonts w:ascii="黑体" w:hAnsi="黑体" w:eastAsia="黑体" w:cs="黑体"/>
                <w:sz w:val="24"/>
                <w:szCs w:val="24"/>
              </w:rPr>
              <w:t xml:space="preserve"> </w:t>
            </w:r>
            <w:r>
              <w:rPr>
                <w:rFonts w:ascii="黑体" w:hAnsi="黑体" w:eastAsia="黑体" w:cs="黑体"/>
                <w:spacing w:val="-10"/>
                <w:sz w:val="24"/>
                <w:szCs w:val="24"/>
              </w:rPr>
              <w:t>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98" w:type="dxa"/>
            <w:gridSpan w:val="6"/>
            <w:vAlign w:val="top"/>
          </w:tcPr>
          <w:p>
            <w:pPr>
              <w:spacing w:before="33" w:line="222" w:lineRule="auto"/>
              <w:ind w:left="2591"/>
              <w:rPr>
                <w:rFonts w:ascii="黑体" w:hAnsi="黑体" w:eastAsia="黑体" w:cs="黑体"/>
                <w:sz w:val="24"/>
                <w:szCs w:val="24"/>
              </w:rPr>
            </w:pPr>
            <w:r>
              <w:rPr>
                <w:rFonts w:ascii="黑体" w:hAnsi="黑体" w:eastAsia="黑体" w:cs="黑体"/>
                <w:spacing w:val="-1"/>
                <w:sz w:val="24"/>
                <w:szCs w:val="24"/>
              </w:rPr>
              <w:t>第二节  证券上市</w:t>
            </w:r>
          </w:p>
        </w:tc>
        <w:tc>
          <w:tcPr>
            <w:tcW w:w="6809" w:type="dxa"/>
            <w:vAlign w:val="top"/>
          </w:tcPr>
          <w:p>
            <w:pPr>
              <w:spacing w:before="33" w:line="222" w:lineRule="auto"/>
              <w:ind w:left="2444"/>
              <w:rPr>
                <w:rFonts w:ascii="黑体" w:hAnsi="黑体" w:eastAsia="黑体" w:cs="黑体"/>
                <w:sz w:val="24"/>
                <w:szCs w:val="24"/>
              </w:rPr>
            </w:pPr>
            <w:r>
              <w:rPr>
                <w:rFonts w:ascii="黑体" w:hAnsi="黑体" w:eastAsia="黑体" w:cs="黑体"/>
                <w:spacing w:val="-1"/>
                <w:sz w:val="24"/>
                <w:szCs w:val="24"/>
              </w:rPr>
              <w:t>第二节  证券上市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7098" w:type="dxa"/>
            <w:gridSpan w:val="6"/>
            <w:vAlign w:val="top"/>
          </w:tcPr>
          <w:p>
            <w:pPr>
              <w:pStyle w:val="8"/>
              <w:spacing w:before="34" w:line="228" w:lineRule="auto"/>
              <w:ind w:left="13" w:firstLine="499"/>
            </w:pPr>
            <w:r>
              <w:rPr>
                <w:rFonts w:ascii="黑体" w:hAnsi="黑体" w:eastAsia="黑体" w:cs="黑体"/>
                <w:spacing w:val="10"/>
              </w:rPr>
              <w:t>第四十八条</w:t>
            </w:r>
            <w:r>
              <w:rPr>
                <w:rFonts w:ascii="黑体" w:hAnsi="黑体" w:eastAsia="黑体" w:cs="黑体"/>
                <w:spacing w:val="39"/>
              </w:rPr>
              <w:t xml:space="preserve">  </w:t>
            </w:r>
            <w:r>
              <w:rPr>
                <w:spacing w:val="10"/>
              </w:rPr>
              <w:t>申请证券上市交易，应当向证券交易所提出申</w:t>
            </w:r>
            <w:r>
              <w:t xml:space="preserve"> </w:t>
            </w:r>
            <w:r>
              <w:rPr>
                <w:spacing w:val="-2"/>
              </w:rPr>
              <w:t>请，由证券交易所依法审核同意，并由双方签订</w:t>
            </w:r>
            <w:r>
              <w:rPr>
                <w:spacing w:val="-3"/>
              </w:rPr>
              <w:t>上市协议。</w:t>
            </w:r>
          </w:p>
          <w:p>
            <w:pPr>
              <w:pStyle w:val="8"/>
              <w:spacing w:before="30" w:line="224" w:lineRule="auto"/>
              <w:ind w:left="27" w:firstLine="492"/>
            </w:pPr>
            <w:r>
              <w:rPr>
                <w:spacing w:val="3"/>
              </w:rPr>
              <w:t>证券交易所根据国务院授权的部门的决定安排政府债券上市交</w:t>
            </w:r>
            <w:r>
              <w:t xml:space="preserve"> </w:t>
            </w:r>
            <w:r>
              <w:rPr>
                <w:spacing w:val="-19"/>
              </w:rPr>
              <w:t>易。</w:t>
            </w:r>
          </w:p>
        </w:tc>
        <w:tc>
          <w:tcPr>
            <w:tcW w:w="6809" w:type="dxa"/>
            <w:vAlign w:val="top"/>
          </w:tcPr>
          <w:p>
            <w:pPr>
              <w:pStyle w:val="8"/>
              <w:spacing w:before="34" w:line="228" w:lineRule="auto"/>
              <w:ind w:left="13" w:right="5" w:firstLine="499"/>
            </w:pPr>
            <w:r>
              <w:rPr>
                <w:rFonts w:ascii="黑体" w:hAnsi="黑体" w:eastAsia="黑体" w:cs="黑体"/>
                <w:spacing w:val="1"/>
              </w:rPr>
              <w:t xml:space="preserve">第四十六条  </w:t>
            </w:r>
            <w:r>
              <w:rPr>
                <w:spacing w:val="1"/>
              </w:rPr>
              <w:t>申请证券上市交易，应当向证券交易所提出申</w:t>
            </w:r>
            <w:r>
              <w:rPr>
                <w:spacing w:val="8"/>
              </w:rPr>
              <w:t xml:space="preserve"> </w:t>
            </w:r>
            <w:r>
              <w:rPr>
                <w:spacing w:val="-2"/>
              </w:rPr>
              <w:t>请，由证券交易所依法审核同意，并由双方签订</w:t>
            </w:r>
            <w:r>
              <w:rPr>
                <w:spacing w:val="-3"/>
              </w:rPr>
              <w:t>上市协议。</w:t>
            </w:r>
          </w:p>
          <w:p>
            <w:pPr>
              <w:pStyle w:val="8"/>
              <w:spacing w:before="30" w:line="224" w:lineRule="auto"/>
              <w:ind w:left="22" w:right="7" w:firstLine="498"/>
            </w:pPr>
            <w:r>
              <w:rPr>
                <w:spacing w:val="1"/>
              </w:rPr>
              <w:t>证券交易所根据国务院授权的部门的决定安排政府债券上市</w:t>
            </w:r>
            <w:r>
              <w:t xml:space="preserve"> </w:t>
            </w:r>
            <w:r>
              <w:rPr>
                <w:spacing w:val="-15"/>
              </w:rPr>
              <w:t>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983" w:type="dxa"/>
            <w:gridSpan w:val="2"/>
            <w:tcBorders>
              <w:bottom w:val="single" w:color="000000" w:sz="2" w:space="0"/>
              <w:right w:val="single" w:color="000000" w:sz="2" w:space="0"/>
            </w:tcBorders>
            <w:vAlign w:val="top"/>
          </w:tcPr>
          <w:p>
            <w:pPr>
              <w:spacing w:before="30" w:line="197" w:lineRule="auto"/>
              <w:ind w:left="513"/>
              <w:rPr>
                <w:rFonts w:ascii="黑体" w:hAnsi="黑体" w:eastAsia="黑体" w:cs="黑体"/>
                <w:sz w:val="24"/>
                <w:szCs w:val="24"/>
              </w:rPr>
            </w:pPr>
            <w:r>
              <w:rPr>
                <w:rFonts w:ascii="黑体" w:hAnsi="黑体" w:eastAsia="黑体" w:cs="黑体"/>
                <w:spacing w:val="1"/>
                <w:sz w:val="24"/>
                <w:szCs w:val="24"/>
              </w:rPr>
              <w:t>第四十九条</w:t>
            </w:r>
          </w:p>
        </w:tc>
        <w:tc>
          <w:tcPr>
            <w:tcW w:w="5115" w:type="dxa"/>
            <w:gridSpan w:val="4"/>
            <w:tcBorders>
              <w:left w:val="single" w:color="000000" w:sz="2" w:space="0"/>
              <w:bottom w:val="single" w:color="000000" w:sz="2" w:space="0"/>
            </w:tcBorders>
            <w:shd w:val="clear" w:color="auto" w:fill="D9D9D9"/>
            <w:vAlign w:val="top"/>
          </w:tcPr>
          <w:p>
            <w:pPr>
              <w:pStyle w:val="8"/>
              <w:spacing w:before="32" w:line="196" w:lineRule="auto"/>
              <w:ind w:right="3"/>
              <w:jc w:val="right"/>
            </w:pPr>
            <w:r>
              <w:rPr>
                <w:spacing w:val="1"/>
              </w:rPr>
              <w:t>申请股票、可转换为股票的公司债券或者法律、</w:t>
            </w:r>
          </w:p>
        </w:tc>
        <w:tc>
          <w:tcPr>
            <w:tcW w:w="6809"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098" w:type="dxa"/>
            <w:gridSpan w:val="6"/>
            <w:tcBorders>
              <w:top w:val="single" w:color="000000" w:sz="2" w:space="0"/>
              <w:bottom w:val="single" w:color="000000" w:sz="2" w:space="0"/>
            </w:tcBorders>
            <w:shd w:val="clear" w:color="auto" w:fill="D9D9D9"/>
            <w:vAlign w:val="top"/>
          </w:tcPr>
          <w:p>
            <w:pPr>
              <w:pStyle w:val="8"/>
              <w:spacing w:before="42" w:line="192" w:lineRule="auto"/>
              <w:ind w:right="1"/>
              <w:jc w:val="right"/>
            </w:pPr>
            <w:r>
              <w:rPr>
                <w:spacing w:val="3"/>
              </w:rPr>
              <w:t>行政法规规定实行保荐制度的其他证券上市交易，应当聘请具有保</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901" w:type="dxa"/>
            <w:gridSpan w:val="3"/>
            <w:tcBorders>
              <w:top w:val="single" w:color="000000" w:sz="2" w:space="0"/>
              <w:right w:val="single" w:color="000000" w:sz="2" w:space="0"/>
            </w:tcBorders>
            <w:shd w:val="clear" w:color="auto" w:fill="D9D9D9"/>
            <w:vAlign w:val="top"/>
          </w:tcPr>
          <w:p>
            <w:pPr>
              <w:pStyle w:val="8"/>
              <w:spacing w:before="45" w:line="210" w:lineRule="auto"/>
              <w:ind w:left="16"/>
            </w:pPr>
            <w:r>
              <w:rPr>
                <w:spacing w:val="-5"/>
              </w:rPr>
              <w:t>荐资格的机构担任保荐人。</w:t>
            </w:r>
          </w:p>
        </w:tc>
        <w:tc>
          <w:tcPr>
            <w:tcW w:w="4197" w:type="dxa"/>
            <w:gridSpan w:val="3"/>
            <w:tcBorders>
              <w:top w:val="single" w:color="000000" w:sz="2" w:space="0"/>
              <w:left w:val="single" w:color="000000" w:sz="2" w:space="0"/>
            </w:tcBorders>
            <w:vAlign w:val="top"/>
          </w:tcPr>
          <w:p>
            <w:pPr>
              <w:rPr>
                <w:rFonts w:ascii="Arial"/>
                <w:sz w:val="21"/>
              </w:rPr>
            </w:pPr>
          </w:p>
        </w:tc>
        <w:tc>
          <w:tcPr>
            <w:tcW w:w="6809" w:type="dxa"/>
            <w:vMerge w:val="continue"/>
            <w:tcBorders>
              <w:top w:val="nil"/>
            </w:tcBorders>
            <w:vAlign w:val="top"/>
          </w:tcPr>
          <w:p>
            <w:pPr>
              <w:rPr>
                <w:rFonts w:ascii="Arial"/>
                <w:sz w:val="21"/>
              </w:rPr>
            </w:pPr>
          </w:p>
        </w:tc>
      </w:tr>
    </w:tbl>
    <w:p>
      <w:pPr>
        <w:spacing w:before="97" w:line="186"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p>
      <w:pPr>
        <w:spacing w:line="186" w:lineRule="auto"/>
        <w:rPr>
          <w:rFonts w:ascii="Times New Roman" w:hAnsi="Times New Roman" w:eastAsia="Times New Roman" w:cs="Times New Roman"/>
          <w:sz w:val="18"/>
          <w:szCs w:val="18"/>
        </w:rPr>
        <w:sectPr>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229"/>
        <w:gridCol w:w="720"/>
        <w:gridCol w:w="250"/>
        <w:gridCol w:w="270"/>
        <w:gridCol w:w="51"/>
        <w:gridCol w:w="394"/>
        <w:gridCol w:w="250"/>
        <w:gridCol w:w="234"/>
        <w:gridCol w:w="964"/>
        <w:gridCol w:w="240"/>
        <w:gridCol w:w="240"/>
        <w:gridCol w:w="240"/>
        <w:gridCol w:w="720"/>
        <w:gridCol w:w="720"/>
        <w:gridCol w:w="480"/>
        <w:gridCol w:w="577"/>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14" w:type="dxa"/>
            <w:vMerge w:val="restart"/>
            <w:tcBorders>
              <w:top w:val="single" w:color="000000" w:sz="6" w:space="0"/>
              <w:left w:val="single" w:color="000000" w:sz="6" w:space="0"/>
              <w:bottom w:val="nil"/>
            </w:tcBorders>
            <w:vAlign w:val="top"/>
          </w:tcPr>
          <w:p>
            <w:pPr>
              <w:rPr>
                <w:rFonts w:ascii="Arial"/>
                <w:sz w:val="21"/>
              </w:rPr>
            </w:pPr>
          </w:p>
        </w:tc>
        <w:tc>
          <w:tcPr>
            <w:tcW w:w="6002" w:type="dxa"/>
            <w:gridSpan w:val="15"/>
            <w:tcBorders>
              <w:top w:val="single" w:color="000000" w:sz="6" w:space="0"/>
            </w:tcBorders>
            <w:shd w:val="clear" w:color="auto" w:fill="D9D9D9"/>
            <w:vAlign w:val="top"/>
          </w:tcPr>
          <w:p>
            <w:pPr>
              <w:pStyle w:val="8"/>
              <w:spacing w:before="39" w:line="206" w:lineRule="auto"/>
              <w:ind w:left="6"/>
            </w:pPr>
            <w:r>
              <w:rPr>
                <w:spacing w:val="-3"/>
              </w:rPr>
              <w:t>本法第十一条第二款、第三款的规定适用于上市保荐人。</w:t>
            </w:r>
          </w:p>
        </w:tc>
        <w:tc>
          <w:tcPr>
            <w:tcW w:w="577" w:type="dxa"/>
            <w:vMerge w:val="restart"/>
            <w:tcBorders>
              <w:top w:val="single" w:color="000000" w:sz="6" w:space="0"/>
              <w:bottom w:val="nil"/>
              <w:right w:val="single" w:color="000000" w:sz="6" w:space="0"/>
            </w:tcBorders>
            <w:vAlign w:val="top"/>
          </w:tcPr>
          <w:p>
            <w:pPr>
              <w:rPr>
                <w:rFonts w:ascii="Arial"/>
                <w:sz w:val="21"/>
              </w:rPr>
            </w:pPr>
          </w:p>
        </w:tc>
        <w:tc>
          <w:tcPr>
            <w:tcW w:w="6814"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514" w:type="dxa"/>
            <w:vMerge w:val="continue"/>
            <w:tcBorders>
              <w:top w:val="nil"/>
              <w:left w:val="single" w:color="000000" w:sz="6" w:space="0"/>
              <w:bottom w:val="single" w:color="000000" w:sz="6" w:space="0"/>
            </w:tcBorders>
            <w:vAlign w:val="top"/>
          </w:tcPr>
          <w:p>
            <w:pPr>
              <w:rPr>
                <w:rFonts w:ascii="Arial"/>
                <w:sz w:val="21"/>
              </w:rPr>
            </w:pPr>
          </w:p>
        </w:tc>
        <w:tc>
          <w:tcPr>
            <w:tcW w:w="6002" w:type="dxa"/>
            <w:gridSpan w:val="15"/>
            <w:tcBorders>
              <w:left w:val="nil"/>
              <w:bottom w:val="single" w:color="000000" w:sz="6" w:space="0"/>
              <w:right w:val="nil"/>
            </w:tcBorders>
            <w:vAlign w:val="top"/>
          </w:tcPr>
          <w:p>
            <w:pPr>
              <w:spacing w:line="230" w:lineRule="exact"/>
              <w:rPr>
                <w:rFonts w:ascii="Arial"/>
                <w:sz w:val="20"/>
              </w:rPr>
            </w:pPr>
          </w:p>
        </w:tc>
        <w:tc>
          <w:tcPr>
            <w:tcW w:w="577" w:type="dxa"/>
            <w:vMerge w:val="continue"/>
            <w:tcBorders>
              <w:top w:val="nil"/>
              <w:bottom w:val="single" w:color="000000" w:sz="6" w:space="0"/>
              <w:right w:val="single" w:color="000000" w:sz="6" w:space="0"/>
            </w:tcBorders>
            <w:vAlign w:val="top"/>
          </w:tcPr>
          <w:p>
            <w:pPr>
              <w:rPr>
                <w:rFonts w:ascii="Arial"/>
                <w:sz w:val="21"/>
              </w:rPr>
            </w:pPr>
          </w:p>
        </w:tc>
        <w:tc>
          <w:tcPr>
            <w:tcW w:w="6814"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4" w:type="dxa"/>
            <w:vMerge w:val="restart"/>
            <w:tcBorders>
              <w:top w:val="single" w:color="000000" w:sz="6" w:space="0"/>
              <w:left w:val="single" w:color="000000" w:sz="6" w:space="0"/>
              <w:bottom w:val="nil"/>
            </w:tcBorders>
            <w:vAlign w:val="top"/>
          </w:tcPr>
          <w:p>
            <w:pPr>
              <w:rPr>
                <w:rFonts w:ascii="Arial"/>
                <w:sz w:val="21"/>
              </w:rPr>
            </w:pPr>
          </w:p>
        </w:tc>
        <w:tc>
          <w:tcPr>
            <w:tcW w:w="1199" w:type="dxa"/>
            <w:gridSpan w:val="3"/>
            <w:tcBorders>
              <w:top w:val="single" w:color="000000" w:sz="6" w:space="0"/>
              <w:left w:val="nil"/>
            </w:tcBorders>
            <w:vAlign w:val="top"/>
          </w:tcPr>
          <w:p>
            <w:pPr>
              <w:spacing w:before="22" w:line="208" w:lineRule="auto"/>
              <w:ind w:left="4"/>
              <w:rPr>
                <w:rFonts w:ascii="黑体" w:hAnsi="黑体" w:eastAsia="黑体" w:cs="黑体"/>
                <w:sz w:val="24"/>
                <w:szCs w:val="24"/>
              </w:rPr>
            </w:pPr>
            <w:r>
              <w:rPr>
                <w:rFonts w:ascii="黑体" w:hAnsi="黑体" w:eastAsia="黑体" w:cs="黑体"/>
                <w:spacing w:val="-2"/>
                <w:sz w:val="24"/>
                <w:szCs w:val="24"/>
              </w:rPr>
              <w:t>第五十条</w:t>
            </w:r>
          </w:p>
        </w:tc>
        <w:tc>
          <w:tcPr>
            <w:tcW w:w="5380" w:type="dxa"/>
            <w:gridSpan w:val="13"/>
            <w:tcBorders>
              <w:top w:val="single" w:color="000000" w:sz="6" w:space="0"/>
              <w:right w:val="single" w:color="000000" w:sz="6" w:space="0"/>
            </w:tcBorders>
            <w:shd w:val="clear" w:color="auto" w:fill="D9D9D9"/>
            <w:vAlign w:val="top"/>
          </w:tcPr>
          <w:p>
            <w:pPr>
              <w:pStyle w:val="8"/>
              <w:spacing w:before="23" w:line="207" w:lineRule="auto"/>
              <w:ind w:left="8"/>
            </w:pPr>
            <w:r>
              <w:pict>
                <v:rect id="_x0000_s1044" o:spid="_x0000_s1044" o:spt="1" style="position:absolute;left:0pt;margin-left:264.15pt;margin-top:0.5pt;height:15.25pt;width:0.15pt;mso-position-horizontal-relative:page;mso-position-vertical-relative:page;z-index:251678720;mso-width-relative:page;mso-height-relative:page;" fillcolor="#000000" filled="t" stroked="f" coordsize="21600,21600">
                  <v:path/>
                  <v:fill on="t" focussize="0,0"/>
                  <v:stroke on="f"/>
                  <v:imagedata o:title=""/>
                  <o:lock v:ext="edit"/>
                </v:rect>
              </w:pict>
            </w:r>
            <w:r>
              <w:rPr>
                <w:spacing w:val="-4"/>
              </w:rPr>
              <w:t>股份有限公司申请股票上市，应当符合下列条件：</w:t>
            </w:r>
          </w:p>
        </w:tc>
        <w:tc>
          <w:tcPr>
            <w:tcW w:w="6814" w:type="dxa"/>
            <w:vMerge w:val="restart"/>
            <w:tcBorders>
              <w:top w:val="single" w:color="000000" w:sz="6" w:space="0"/>
              <w:left w:val="single" w:color="000000" w:sz="6" w:space="0"/>
              <w:bottom w:val="nil"/>
              <w:right w:val="single" w:color="000000" w:sz="6" w:space="0"/>
            </w:tcBorders>
            <w:vAlign w:val="top"/>
          </w:tcPr>
          <w:p>
            <w:pPr>
              <w:spacing w:before="24" w:line="231" w:lineRule="auto"/>
              <w:ind w:left="16" w:right="5" w:firstLine="501"/>
              <w:rPr>
                <w:rFonts w:ascii="黑体" w:hAnsi="黑体" w:eastAsia="黑体" w:cs="黑体"/>
                <w:sz w:val="24"/>
                <w:szCs w:val="24"/>
              </w:rPr>
            </w:pPr>
            <w:r>
              <w:rPr>
                <w:rFonts w:ascii="黑体" w:hAnsi="黑体" w:eastAsia="黑体" w:cs="黑体"/>
                <w:spacing w:val="1"/>
                <w:sz w:val="24"/>
                <w:szCs w:val="24"/>
              </w:rPr>
              <w:t>第四十七条  申请证券上市交易，应当符合证券交易所上市</w:t>
            </w:r>
            <w:r>
              <w:rPr>
                <w:rFonts w:ascii="黑体" w:hAnsi="黑体" w:eastAsia="黑体" w:cs="黑体"/>
                <w:spacing w:val="8"/>
                <w:sz w:val="24"/>
                <w:szCs w:val="24"/>
              </w:rPr>
              <w:t xml:space="preserve"> </w:t>
            </w:r>
            <w:r>
              <w:rPr>
                <w:rFonts w:ascii="黑体" w:hAnsi="黑体" w:eastAsia="黑体" w:cs="黑体"/>
                <w:spacing w:val="-4"/>
                <w:sz w:val="24"/>
                <w:szCs w:val="24"/>
              </w:rPr>
              <w:t>规则规定的上市条件。</w:t>
            </w:r>
          </w:p>
          <w:p>
            <w:pPr>
              <w:spacing w:before="21" w:line="234" w:lineRule="auto"/>
              <w:ind w:left="19" w:right="4" w:firstLine="497"/>
              <w:rPr>
                <w:rFonts w:ascii="黑体" w:hAnsi="黑体" w:eastAsia="黑体" w:cs="黑体"/>
                <w:sz w:val="24"/>
                <w:szCs w:val="24"/>
              </w:rPr>
            </w:pPr>
            <w:r>
              <w:rPr>
                <w:rFonts w:ascii="黑体" w:hAnsi="黑体" w:eastAsia="黑体" w:cs="黑体"/>
                <w:spacing w:val="1"/>
                <w:sz w:val="24"/>
                <w:szCs w:val="24"/>
              </w:rPr>
              <w:t>证券交易所上市规则规定的上市条件，应当对发行人的经营</w:t>
            </w:r>
            <w:r>
              <w:rPr>
                <w:rFonts w:ascii="黑体" w:hAnsi="黑体" w:eastAsia="黑体" w:cs="黑体"/>
                <w:spacing w:val="7"/>
                <w:sz w:val="24"/>
                <w:szCs w:val="24"/>
              </w:rPr>
              <w:t xml:space="preserve"> </w:t>
            </w:r>
            <w:r>
              <w:rPr>
                <w:rFonts w:ascii="黑体" w:hAnsi="黑体" w:eastAsia="黑体" w:cs="黑体"/>
                <w:spacing w:val="2"/>
                <w:sz w:val="24"/>
                <w:szCs w:val="24"/>
              </w:rPr>
              <w:t>年限、财务状况、最低公开发行比例和公司治理、诚信记</w:t>
            </w:r>
            <w:r>
              <w:rPr>
                <w:rFonts w:ascii="黑体" w:hAnsi="黑体" w:eastAsia="黑体" w:cs="黑体"/>
                <w:spacing w:val="1"/>
                <w:sz w:val="24"/>
                <w:szCs w:val="24"/>
              </w:rPr>
              <w:t>录等提</w:t>
            </w:r>
            <w:r>
              <w:rPr>
                <w:rFonts w:ascii="黑体" w:hAnsi="黑体" w:eastAsia="黑体" w:cs="黑体"/>
                <w:sz w:val="24"/>
                <w:szCs w:val="24"/>
              </w:rPr>
              <w:t xml:space="preserve"> </w:t>
            </w:r>
            <w:r>
              <w:rPr>
                <w:rFonts w:ascii="黑体" w:hAnsi="黑体" w:eastAsia="黑体" w:cs="黑体"/>
                <w:spacing w:val="-8"/>
                <w:sz w:val="24"/>
                <w:szCs w:val="24"/>
              </w:rPr>
              <w:t>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vMerge w:val="continue"/>
            <w:tcBorders>
              <w:top w:val="nil"/>
              <w:left w:val="single" w:color="000000" w:sz="6" w:space="0"/>
              <w:bottom w:val="nil"/>
            </w:tcBorders>
            <w:vAlign w:val="top"/>
          </w:tcPr>
          <w:p>
            <w:pPr>
              <w:rPr>
                <w:rFonts w:ascii="Arial"/>
                <w:sz w:val="21"/>
              </w:rPr>
            </w:pPr>
          </w:p>
        </w:tc>
        <w:tc>
          <w:tcPr>
            <w:tcW w:w="6002" w:type="dxa"/>
            <w:gridSpan w:val="15"/>
            <w:shd w:val="clear" w:color="auto" w:fill="D9D9D9"/>
            <w:vAlign w:val="top"/>
          </w:tcPr>
          <w:p>
            <w:pPr>
              <w:pStyle w:val="8"/>
              <w:spacing w:before="27" w:line="205" w:lineRule="auto"/>
            </w:pPr>
            <w:r>
              <w:rPr>
                <w:spacing w:val="-5"/>
              </w:rPr>
              <w:t>（</w:t>
            </w:r>
            <w:r>
              <w:rPr>
                <w:spacing w:val="-59"/>
              </w:rPr>
              <w:t xml:space="preserve"> </w:t>
            </w:r>
            <w:r>
              <w:rPr>
                <w:spacing w:val="-5"/>
              </w:rPr>
              <w:t>一）股票经国务院证券监督管理机构核准已公开发行；</w:t>
            </w:r>
          </w:p>
        </w:tc>
        <w:tc>
          <w:tcPr>
            <w:tcW w:w="577" w:type="dxa"/>
            <w:vMerge w:val="restart"/>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continue"/>
            <w:tcBorders>
              <w:top w:val="nil"/>
              <w:left w:val="single" w:color="000000" w:sz="6" w:space="0"/>
              <w:bottom w:val="nil"/>
            </w:tcBorders>
            <w:vAlign w:val="top"/>
          </w:tcPr>
          <w:p>
            <w:pPr>
              <w:rPr>
                <w:rFonts w:ascii="Arial"/>
                <w:sz w:val="21"/>
              </w:rPr>
            </w:pPr>
          </w:p>
        </w:tc>
        <w:tc>
          <w:tcPr>
            <w:tcW w:w="4802" w:type="dxa"/>
            <w:gridSpan w:val="13"/>
            <w:shd w:val="clear" w:color="auto" w:fill="D9D9D9"/>
            <w:vAlign w:val="top"/>
          </w:tcPr>
          <w:p>
            <w:pPr>
              <w:pStyle w:val="8"/>
              <w:spacing w:before="28" w:line="208" w:lineRule="auto"/>
            </w:pPr>
            <w:r>
              <w:rPr>
                <w:spacing w:val="-4"/>
              </w:rPr>
              <w:t>（二）公司股本总额不少于人民币三千万元；</w:t>
            </w:r>
          </w:p>
        </w:tc>
        <w:tc>
          <w:tcPr>
            <w:tcW w:w="1200" w:type="dxa"/>
            <w:gridSpan w:val="2"/>
            <w:tcBorders>
              <w:right w:val="nil"/>
            </w:tcBorders>
            <w:vAlign w:val="top"/>
          </w:tcPr>
          <w:p>
            <w:pPr>
              <w:rPr>
                <w:rFonts w:ascii="Arial"/>
                <w:sz w:val="21"/>
              </w:rPr>
            </w:pPr>
          </w:p>
        </w:tc>
        <w:tc>
          <w:tcPr>
            <w:tcW w:w="577" w:type="dxa"/>
            <w:vMerge w:val="continue"/>
            <w:tcBorders>
              <w:top w:val="nil"/>
              <w:left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continue"/>
            <w:tcBorders>
              <w:top w:val="nil"/>
              <w:left w:val="single" w:color="000000" w:sz="6" w:space="0"/>
            </w:tcBorders>
            <w:vAlign w:val="top"/>
          </w:tcPr>
          <w:p>
            <w:pPr>
              <w:rPr>
                <w:rFonts w:ascii="Arial"/>
                <w:sz w:val="21"/>
              </w:rPr>
            </w:pPr>
          </w:p>
        </w:tc>
        <w:tc>
          <w:tcPr>
            <w:tcW w:w="6579" w:type="dxa"/>
            <w:gridSpan w:val="16"/>
            <w:tcBorders>
              <w:right w:val="single" w:color="000000" w:sz="6" w:space="0"/>
            </w:tcBorders>
            <w:shd w:val="clear" w:color="auto" w:fill="D9D9D9"/>
            <w:vAlign w:val="top"/>
          </w:tcPr>
          <w:p>
            <w:pPr>
              <w:pStyle w:val="8"/>
              <w:spacing w:before="26" w:line="210" w:lineRule="auto"/>
            </w:pPr>
            <w:r>
              <w:rPr>
                <w:spacing w:val="12"/>
              </w:rPr>
              <w:t>（三）公开发行的股份达到公司股份总数的百分之二十五以</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093" w:type="dxa"/>
            <w:gridSpan w:val="17"/>
            <w:tcBorders>
              <w:left w:val="single" w:color="000000" w:sz="6" w:space="0"/>
              <w:right w:val="single" w:color="000000" w:sz="6" w:space="0"/>
            </w:tcBorders>
            <w:shd w:val="clear" w:color="auto" w:fill="D9D9D9"/>
            <w:vAlign w:val="top"/>
          </w:tcPr>
          <w:p>
            <w:pPr>
              <w:pStyle w:val="8"/>
              <w:spacing w:before="24" w:line="207" w:lineRule="auto"/>
              <w:jc w:val="right"/>
            </w:pPr>
            <w:r>
              <w:rPr>
                <w:spacing w:val="3"/>
              </w:rPr>
              <w:t>上；公司股本总额超过人民币四亿元的，公开发行股份的比例为百</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63" w:type="dxa"/>
            <w:gridSpan w:val="3"/>
            <w:tcBorders>
              <w:left w:val="single" w:color="000000" w:sz="6" w:space="0"/>
            </w:tcBorders>
            <w:shd w:val="clear" w:color="auto" w:fill="D9D9D9"/>
            <w:vAlign w:val="top"/>
          </w:tcPr>
          <w:p>
            <w:pPr>
              <w:pStyle w:val="8"/>
              <w:spacing w:before="25" w:line="208" w:lineRule="auto"/>
              <w:ind w:left="17"/>
            </w:pPr>
            <w:r>
              <w:rPr>
                <w:spacing w:val="-11"/>
              </w:rPr>
              <w:t>分之十以上；</w:t>
            </w:r>
          </w:p>
        </w:tc>
        <w:tc>
          <w:tcPr>
            <w:tcW w:w="5630" w:type="dxa"/>
            <w:gridSpan w:val="14"/>
            <w:tcBorders>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14" w:type="dxa"/>
            <w:vMerge w:val="restart"/>
            <w:tcBorders>
              <w:left w:val="single" w:color="000000" w:sz="6" w:space="0"/>
              <w:bottom w:val="nil"/>
            </w:tcBorders>
            <w:vAlign w:val="top"/>
          </w:tcPr>
          <w:p>
            <w:pPr>
              <w:rPr>
                <w:rFonts w:ascii="Arial"/>
                <w:sz w:val="21"/>
              </w:rPr>
            </w:pPr>
          </w:p>
        </w:tc>
        <w:tc>
          <w:tcPr>
            <w:tcW w:w="6579" w:type="dxa"/>
            <w:gridSpan w:val="16"/>
            <w:tcBorders>
              <w:right w:val="single" w:color="000000" w:sz="6" w:space="0"/>
            </w:tcBorders>
            <w:shd w:val="clear" w:color="auto" w:fill="D9D9D9"/>
            <w:vAlign w:val="top"/>
          </w:tcPr>
          <w:p>
            <w:pPr>
              <w:pStyle w:val="8"/>
              <w:spacing w:before="27" w:line="190" w:lineRule="auto"/>
              <w:jc w:val="right"/>
            </w:pPr>
            <w:r>
              <w:rPr>
                <w:spacing w:val="3"/>
              </w:rPr>
              <w:t>（四）公司最近三年无重大违法行为，财务会</w:t>
            </w:r>
            <w:r>
              <w:rPr>
                <w:spacing w:val="2"/>
              </w:rPr>
              <w:t>计报告无虚假记</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4" w:type="dxa"/>
            <w:vMerge w:val="continue"/>
            <w:tcBorders>
              <w:top w:val="nil"/>
              <w:left w:val="single" w:color="000000" w:sz="6" w:space="0"/>
            </w:tcBorders>
            <w:vAlign w:val="top"/>
          </w:tcPr>
          <w:p>
            <w:pPr>
              <w:rPr>
                <w:rFonts w:ascii="Arial"/>
                <w:sz w:val="21"/>
              </w:rPr>
            </w:pPr>
          </w:p>
        </w:tc>
        <w:tc>
          <w:tcPr>
            <w:tcW w:w="6579" w:type="dxa"/>
            <w:gridSpan w:val="16"/>
            <w:vMerge w:val="restart"/>
            <w:tcBorders>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tcBorders>
              <w:left w:val="single" w:color="000000" w:sz="6" w:space="0"/>
            </w:tcBorders>
            <w:shd w:val="clear" w:color="auto" w:fill="D9D9D9"/>
            <w:vAlign w:val="top"/>
          </w:tcPr>
          <w:p>
            <w:pPr>
              <w:pStyle w:val="8"/>
              <w:spacing w:before="24" w:line="207" w:lineRule="auto"/>
              <w:ind w:left="21"/>
            </w:pPr>
            <w:r>
              <w:rPr>
                <w:spacing w:val="-16"/>
              </w:rPr>
              <w:t>载。</w:t>
            </w:r>
          </w:p>
        </w:tc>
        <w:tc>
          <w:tcPr>
            <w:tcW w:w="6579" w:type="dxa"/>
            <w:gridSpan w:val="16"/>
            <w:vMerge w:val="continue"/>
            <w:tcBorders>
              <w:top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tcBorders>
              <w:left w:val="single" w:color="000000" w:sz="6" w:space="0"/>
            </w:tcBorders>
            <w:vAlign w:val="top"/>
          </w:tcPr>
          <w:p>
            <w:pPr>
              <w:rPr>
                <w:rFonts w:ascii="Arial"/>
                <w:sz w:val="21"/>
              </w:rPr>
            </w:pPr>
          </w:p>
        </w:tc>
        <w:tc>
          <w:tcPr>
            <w:tcW w:w="6579" w:type="dxa"/>
            <w:gridSpan w:val="16"/>
            <w:tcBorders>
              <w:right w:val="single" w:color="000000" w:sz="6" w:space="0"/>
            </w:tcBorders>
            <w:shd w:val="clear" w:color="auto" w:fill="D9D9D9"/>
            <w:vAlign w:val="top"/>
          </w:tcPr>
          <w:p>
            <w:pPr>
              <w:pStyle w:val="8"/>
              <w:spacing w:before="27" w:line="205" w:lineRule="auto"/>
              <w:jc w:val="right"/>
            </w:pPr>
            <w:r>
              <w:rPr>
                <w:spacing w:val="-2"/>
              </w:rPr>
              <w:t>证券交易所可以规定高于前款规定的上市条件， 并报国务院证</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28" w:type="dxa"/>
            <w:gridSpan w:val="7"/>
            <w:tcBorders>
              <w:left w:val="single" w:color="000000" w:sz="6" w:space="0"/>
            </w:tcBorders>
            <w:shd w:val="clear" w:color="auto" w:fill="D9D9D9"/>
            <w:vAlign w:val="top"/>
          </w:tcPr>
          <w:p>
            <w:pPr>
              <w:pStyle w:val="8"/>
              <w:spacing w:before="28" w:line="205" w:lineRule="auto"/>
              <w:ind w:left="18"/>
            </w:pPr>
            <w:r>
              <w:rPr>
                <w:spacing w:val="-6"/>
              </w:rPr>
              <w:t>券监督管理机构批准。</w:t>
            </w:r>
          </w:p>
        </w:tc>
        <w:tc>
          <w:tcPr>
            <w:tcW w:w="4665" w:type="dxa"/>
            <w:gridSpan w:val="10"/>
            <w:tcBorders>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tcBorders>
              <w:left w:val="single" w:color="000000" w:sz="6" w:space="0"/>
              <w:right w:val="nil"/>
            </w:tcBorders>
            <w:vAlign w:val="top"/>
          </w:tcPr>
          <w:p>
            <w:pPr>
              <w:rPr>
                <w:rFonts w:ascii="Arial"/>
                <w:sz w:val="21"/>
              </w:rPr>
            </w:pPr>
          </w:p>
        </w:tc>
        <w:tc>
          <w:tcPr>
            <w:tcW w:w="1520" w:type="dxa"/>
            <w:gridSpan w:val="5"/>
            <w:vMerge w:val="restart"/>
            <w:tcBorders>
              <w:left w:val="nil"/>
              <w:bottom w:val="nil"/>
              <w:right w:val="nil"/>
            </w:tcBorders>
            <w:vAlign w:val="top"/>
          </w:tcPr>
          <w:p>
            <w:pPr>
              <w:spacing w:before="28" w:line="222" w:lineRule="auto"/>
              <w:ind w:left="6"/>
              <w:rPr>
                <w:rFonts w:ascii="黑体" w:hAnsi="黑体" w:eastAsia="黑体" w:cs="黑体"/>
                <w:sz w:val="24"/>
                <w:szCs w:val="24"/>
              </w:rPr>
            </w:pPr>
            <w:r>
              <w:rPr>
                <w:rFonts w:ascii="黑体" w:hAnsi="黑体" w:eastAsia="黑体" w:cs="黑体"/>
                <w:spacing w:val="9"/>
                <w:sz w:val="24"/>
                <w:szCs w:val="24"/>
              </w:rPr>
              <w:t>第五十七条</w:t>
            </w:r>
          </w:p>
        </w:tc>
        <w:tc>
          <w:tcPr>
            <w:tcW w:w="5059" w:type="dxa"/>
            <w:gridSpan w:val="11"/>
            <w:tcBorders>
              <w:right w:val="single" w:color="000000" w:sz="6" w:space="0"/>
            </w:tcBorders>
            <w:shd w:val="clear" w:color="auto" w:fill="D9D9D9"/>
            <w:vAlign w:val="top"/>
          </w:tcPr>
          <w:p>
            <w:pPr>
              <w:pStyle w:val="8"/>
              <w:spacing w:before="30" w:line="203" w:lineRule="auto"/>
              <w:jc w:val="right"/>
            </w:pPr>
            <w:r>
              <w:rPr>
                <w:spacing w:val="12"/>
              </w:rPr>
              <w:t>公司申请公司债券上市交易，应当符合下列条</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tcBorders>
              <w:left w:val="single" w:color="000000" w:sz="6" w:space="0"/>
            </w:tcBorders>
            <w:shd w:val="clear" w:color="auto" w:fill="D9D9D9"/>
            <w:vAlign w:val="top"/>
          </w:tcPr>
          <w:p>
            <w:pPr>
              <w:pStyle w:val="8"/>
              <w:spacing w:before="33" w:line="204" w:lineRule="auto"/>
              <w:ind w:left="13"/>
            </w:pPr>
            <w:r>
              <w:rPr>
                <w:spacing w:val="-18"/>
              </w:rPr>
              <w:t>件：</w:t>
            </w:r>
          </w:p>
        </w:tc>
        <w:tc>
          <w:tcPr>
            <w:tcW w:w="1520" w:type="dxa"/>
            <w:gridSpan w:val="5"/>
            <w:vMerge w:val="continue"/>
            <w:tcBorders>
              <w:top w:val="nil"/>
              <w:left w:val="nil"/>
              <w:right w:val="nil"/>
            </w:tcBorders>
            <w:vAlign w:val="top"/>
          </w:tcPr>
          <w:p>
            <w:pPr>
              <w:rPr>
                <w:rFonts w:ascii="Arial"/>
                <w:sz w:val="21"/>
              </w:rPr>
            </w:pPr>
          </w:p>
        </w:tc>
        <w:tc>
          <w:tcPr>
            <w:tcW w:w="2322" w:type="dxa"/>
            <w:gridSpan w:val="6"/>
            <w:tcBorders>
              <w:left w:val="nil"/>
              <w:right w:val="nil"/>
            </w:tcBorders>
            <w:vAlign w:val="top"/>
          </w:tcPr>
          <w:p>
            <w:pPr>
              <w:rPr>
                <w:rFonts w:ascii="Arial"/>
                <w:sz w:val="21"/>
              </w:rPr>
            </w:pPr>
          </w:p>
        </w:tc>
        <w:tc>
          <w:tcPr>
            <w:tcW w:w="1680" w:type="dxa"/>
            <w:gridSpan w:val="3"/>
            <w:vMerge w:val="restart"/>
            <w:tcBorders>
              <w:left w:val="nil"/>
              <w:bottom w:val="nil"/>
              <w:right w:val="nil"/>
            </w:tcBorders>
            <w:vAlign w:val="top"/>
          </w:tcPr>
          <w:p>
            <w:pPr>
              <w:rPr>
                <w:rFonts w:ascii="Arial"/>
                <w:sz w:val="21"/>
              </w:rPr>
            </w:pPr>
          </w:p>
        </w:tc>
        <w:tc>
          <w:tcPr>
            <w:tcW w:w="1057" w:type="dxa"/>
            <w:gridSpan w:val="2"/>
            <w:vMerge w:val="restart"/>
            <w:tcBorders>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restart"/>
            <w:tcBorders>
              <w:left w:val="single" w:color="000000" w:sz="6" w:space="0"/>
              <w:bottom w:val="nil"/>
            </w:tcBorders>
            <w:vAlign w:val="top"/>
          </w:tcPr>
          <w:p>
            <w:pPr>
              <w:rPr>
                <w:rFonts w:ascii="Arial"/>
                <w:sz w:val="21"/>
              </w:rPr>
            </w:pPr>
          </w:p>
        </w:tc>
        <w:tc>
          <w:tcPr>
            <w:tcW w:w="3842" w:type="dxa"/>
            <w:gridSpan w:val="11"/>
            <w:shd w:val="clear" w:color="auto" w:fill="D9D9D9"/>
            <w:vAlign w:val="top"/>
          </w:tcPr>
          <w:p>
            <w:pPr>
              <w:pStyle w:val="8"/>
              <w:spacing w:before="28" w:line="208" w:lineRule="auto"/>
            </w:pPr>
            <w:r>
              <w:rPr>
                <w:spacing w:val="-4"/>
              </w:rPr>
              <w:t>（一）公司债券的期限为一年以上；</w:t>
            </w:r>
          </w:p>
        </w:tc>
        <w:tc>
          <w:tcPr>
            <w:tcW w:w="1680" w:type="dxa"/>
            <w:gridSpan w:val="3"/>
            <w:vMerge w:val="continue"/>
            <w:tcBorders>
              <w:top w:val="nil"/>
              <w:left w:val="nil"/>
              <w:right w:val="nil"/>
            </w:tcBorders>
            <w:vAlign w:val="top"/>
          </w:tcPr>
          <w:p>
            <w:pPr>
              <w:rPr>
                <w:rFonts w:ascii="Arial"/>
                <w:sz w:val="21"/>
              </w:rPr>
            </w:pPr>
          </w:p>
        </w:tc>
        <w:tc>
          <w:tcPr>
            <w:tcW w:w="1057" w:type="dxa"/>
            <w:gridSpan w:val="2"/>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continue"/>
            <w:tcBorders>
              <w:top w:val="nil"/>
              <w:left w:val="single" w:color="000000" w:sz="6" w:space="0"/>
              <w:bottom w:val="nil"/>
            </w:tcBorders>
            <w:vAlign w:val="top"/>
          </w:tcPr>
          <w:p>
            <w:pPr>
              <w:rPr>
                <w:rFonts w:ascii="Arial"/>
                <w:sz w:val="21"/>
              </w:rPr>
            </w:pPr>
          </w:p>
        </w:tc>
        <w:tc>
          <w:tcPr>
            <w:tcW w:w="5522" w:type="dxa"/>
            <w:gridSpan w:val="14"/>
            <w:shd w:val="clear" w:color="auto" w:fill="D9D9D9"/>
            <w:vAlign w:val="top"/>
          </w:tcPr>
          <w:p>
            <w:pPr>
              <w:pStyle w:val="8"/>
              <w:spacing w:before="27" w:line="209" w:lineRule="auto"/>
            </w:pPr>
            <w:r>
              <w:rPr>
                <w:spacing w:val="-3"/>
              </w:rPr>
              <w:t>（二）公司债券实际发行额不少于人民币五千万元；</w:t>
            </w:r>
          </w:p>
        </w:tc>
        <w:tc>
          <w:tcPr>
            <w:tcW w:w="1057" w:type="dxa"/>
            <w:gridSpan w:val="2"/>
            <w:vMerge w:val="continue"/>
            <w:tcBorders>
              <w:top w:val="nil"/>
              <w:left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4" w:type="dxa"/>
            <w:vMerge w:val="continue"/>
            <w:tcBorders>
              <w:top w:val="nil"/>
              <w:left w:val="single" w:color="000000" w:sz="6" w:space="0"/>
              <w:bottom w:val="single" w:color="000000" w:sz="6" w:space="0"/>
            </w:tcBorders>
            <w:vAlign w:val="top"/>
          </w:tcPr>
          <w:p>
            <w:pPr>
              <w:rPr>
                <w:rFonts w:ascii="Arial"/>
                <w:sz w:val="21"/>
              </w:rPr>
            </w:pPr>
          </w:p>
        </w:tc>
        <w:tc>
          <w:tcPr>
            <w:tcW w:w="6579" w:type="dxa"/>
            <w:gridSpan w:val="16"/>
            <w:tcBorders>
              <w:bottom w:val="single" w:color="000000" w:sz="6" w:space="0"/>
              <w:right w:val="single" w:color="000000" w:sz="6" w:space="0"/>
            </w:tcBorders>
            <w:shd w:val="clear" w:color="auto" w:fill="D9D9D9"/>
            <w:vAlign w:val="top"/>
          </w:tcPr>
          <w:p>
            <w:pPr>
              <w:pStyle w:val="8"/>
              <w:spacing w:before="1" w:line="226" w:lineRule="auto"/>
            </w:pPr>
            <w:r>
              <w:rPr>
                <w:spacing w:val="-7"/>
              </w:rPr>
              <w:t>（三）公司申请债券上市时仍符合法定的公司债券发行条件。</w:t>
            </w:r>
            <w:r>
              <w:rPr>
                <w:spacing w:val="66"/>
              </w:rPr>
              <w:t xml:space="preserve"> </w:t>
            </w:r>
            <w:r>
              <w:rPr>
                <w:position w:val="-6"/>
              </w:rPr>
              <w:drawing>
                <wp:inline distT="0" distB="0" distL="0" distR="0">
                  <wp:extent cx="1270" cy="18732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4"/>
                          <a:stretch>
                            <a:fillRect/>
                          </a:stretch>
                        </pic:blipFill>
                        <pic:spPr>
                          <a:xfrm>
                            <a:off x="0" y="0"/>
                            <a:ext cx="1522" cy="187325"/>
                          </a:xfrm>
                          <a:prstGeom prst="rect">
                            <a:avLst/>
                          </a:prstGeom>
                        </pic:spPr>
                      </pic:pic>
                    </a:graphicData>
                  </a:graphic>
                </wp:inline>
              </w:drawing>
            </w:r>
          </w:p>
        </w:tc>
        <w:tc>
          <w:tcPr>
            <w:tcW w:w="6814"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463" w:type="dxa"/>
            <w:gridSpan w:val="3"/>
            <w:tcBorders>
              <w:top w:val="single" w:color="000000" w:sz="6" w:space="0"/>
              <w:left w:val="single" w:color="000000" w:sz="6" w:space="0"/>
              <w:right w:val="nil"/>
            </w:tcBorders>
            <w:vAlign w:val="top"/>
          </w:tcPr>
          <w:p>
            <w:pPr>
              <w:spacing w:before="35" w:line="195" w:lineRule="auto"/>
              <w:jc w:val="right"/>
              <w:rPr>
                <w:rFonts w:ascii="黑体" w:hAnsi="黑体" w:eastAsia="黑体" w:cs="黑体"/>
                <w:sz w:val="24"/>
                <w:szCs w:val="24"/>
              </w:rPr>
            </w:pPr>
            <w:r>
              <w:rPr>
                <w:rFonts w:ascii="黑体" w:hAnsi="黑体" w:eastAsia="黑体" w:cs="黑体"/>
                <w:spacing w:val="-5"/>
                <w:sz w:val="24"/>
                <w:szCs w:val="24"/>
              </w:rPr>
              <w:t>第五十一</w:t>
            </w:r>
          </w:p>
        </w:tc>
        <w:tc>
          <w:tcPr>
            <w:tcW w:w="520" w:type="dxa"/>
            <w:gridSpan w:val="2"/>
            <w:vMerge w:val="restart"/>
            <w:tcBorders>
              <w:top w:val="single" w:color="000000" w:sz="6" w:space="0"/>
              <w:left w:val="nil"/>
              <w:bottom w:val="nil"/>
              <w:right w:val="nil"/>
            </w:tcBorders>
            <w:vAlign w:val="top"/>
          </w:tcPr>
          <w:p>
            <w:pPr>
              <w:spacing w:before="35" w:line="223" w:lineRule="auto"/>
              <w:ind w:left="35"/>
              <w:rPr>
                <w:rFonts w:ascii="黑体" w:hAnsi="黑体" w:eastAsia="黑体" w:cs="黑体"/>
                <w:sz w:val="24"/>
                <w:szCs w:val="24"/>
              </w:rPr>
            </w:pPr>
            <w:r>
              <w:rPr>
                <w:rFonts w:ascii="黑体" w:hAnsi="黑体" w:eastAsia="黑体" w:cs="黑体"/>
                <w:sz w:val="24"/>
                <w:szCs w:val="24"/>
              </w:rPr>
              <w:t>条</w:t>
            </w:r>
          </w:p>
        </w:tc>
        <w:tc>
          <w:tcPr>
            <w:tcW w:w="5110" w:type="dxa"/>
            <w:gridSpan w:val="12"/>
            <w:tcBorders>
              <w:top w:val="single" w:color="000000" w:sz="6" w:space="0"/>
              <w:right w:val="single" w:color="000000" w:sz="6" w:space="0"/>
            </w:tcBorders>
            <w:shd w:val="clear" w:color="auto" w:fill="D9D9D9"/>
            <w:vAlign w:val="top"/>
          </w:tcPr>
          <w:p>
            <w:pPr>
              <w:pStyle w:val="8"/>
              <w:spacing w:before="36" w:line="194" w:lineRule="auto"/>
              <w:jc w:val="right"/>
            </w:pPr>
            <w:r>
              <w:rPr>
                <w:spacing w:val="1"/>
              </w:rPr>
              <w:t>国家鼓励符合产业政策并符合上市条件的公司股</w:t>
            </w:r>
          </w:p>
        </w:tc>
        <w:tc>
          <w:tcPr>
            <w:tcW w:w="6814"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63" w:type="dxa"/>
            <w:gridSpan w:val="3"/>
            <w:tcBorders>
              <w:left w:val="single" w:color="000000" w:sz="6" w:space="0"/>
              <w:bottom w:val="single" w:color="000000" w:sz="6" w:space="0"/>
            </w:tcBorders>
            <w:shd w:val="clear" w:color="auto" w:fill="D9D9D9"/>
            <w:vAlign w:val="top"/>
          </w:tcPr>
          <w:p>
            <w:pPr>
              <w:pStyle w:val="8"/>
              <w:spacing w:before="42" w:line="202" w:lineRule="auto"/>
              <w:ind w:left="29"/>
            </w:pPr>
            <w:r>
              <w:rPr>
                <w:spacing w:val="-10"/>
              </w:rPr>
              <w:t>票上市交易。</w:t>
            </w:r>
          </w:p>
        </w:tc>
        <w:tc>
          <w:tcPr>
            <w:tcW w:w="520" w:type="dxa"/>
            <w:gridSpan w:val="2"/>
            <w:vMerge w:val="continue"/>
            <w:tcBorders>
              <w:top w:val="nil"/>
              <w:left w:val="nil"/>
              <w:bottom w:val="single" w:color="000000" w:sz="6" w:space="0"/>
              <w:right w:val="nil"/>
            </w:tcBorders>
            <w:vAlign w:val="top"/>
          </w:tcPr>
          <w:p>
            <w:pPr>
              <w:rPr>
                <w:rFonts w:ascii="Arial"/>
                <w:sz w:val="21"/>
              </w:rPr>
            </w:pPr>
          </w:p>
        </w:tc>
        <w:tc>
          <w:tcPr>
            <w:tcW w:w="5110" w:type="dxa"/>
            <w:gridSpan w:val="12"/>
            <w:tcBorders>
              <w:left w:val="nil"/>
              <w:bottom w:val="single" w:color="000000" w:sz="6" w:space="0"/>
              <w:right w:val="single" w:color="000000" w:sz="6" w:space="0"/>
            </w:tcBorders>
            <w:vAlign w:val="top"/>
          </w:tcPr>
          <w:p>
            <w:pPr>
              <w:rPr>
                <w:rFonts w:ascii="Arial"/>
                <w:sz w:val="21"/>
              </w:rPr>
            </w:pPr>
          </w:p>
        </w:tc>
        <w:tc>
          <w:tcPr>
            <w:tcW w:w="6814"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983" w:type="dxa"/>
            <w:gridSpan w:val="5"/>
            <w:tcBorders>
              <w:top w:val="single" w:color="000000" w:sz="6" w:space="0"/>
              <w:left w:val="single" w:color="000000" w:sz="6" w:space="0"/>
              <w:bottom w:val="nil"/>
            </w:tcBorders>
            <w:vAlign w:val="top"/>
          </w:tcPr>
          <w:p>
            <w:pPr>
              <w:spacing w:before="42" w:line="186" w:lineRule="auto"/>
              <w:ind w:left="513"/>
              <w:rPr>
                <w:rFonts w:ascii="黑体" w:hAnsi="黑体" w:eastAsia="黑体" w:cs="黑体"/>
                <w:sz w:val="24"/>
                <w:szCs w:val="24"/>
              </w:rPr>
            </w:pPr>
            <w:r>
              <w:rPr>
                <w:rFonts w:ascii="黑体" w:hAnsi="黑体" w:eastAsia="黑体" w:cs="黑体"/>
                <w:spacing w:val="1"/>
                <w:sz w:val="24"/>
                <w:szCs w:val="24"/>
              </w:rPr>
              <w:t>第五十二条</w:t>
            </w:r>
          </w:p>
        </w:tc>
        <w:tc>
          <w:tcPr>
            <w:tcW w:w="5110" w:type="dxa"/>
            <w:gridSpan w:val="12"/>
            <w:tcBorders>
              <w:top w:val="single" w:color="000000" w:sz="6" w:space="0"/>
              <w:right w:val="single" w:color="000000" w:sz="6" w:space="0"/>
            </w:tcBorders>
            <w:shd w:val="clear" w:color="auto" w:fill="D9D9D9"/>
            <w:vAlign w:val="top"/>
          </w:tcPr>
          <w:p>
            <w:pPr>
              <w:pStyle w:val="8"/>
              <w:spacing w:before="43" w:line="185" w:lineRule="auto"/>
              <w:jc w:val="right"/>
            </w:pPr>
            <w:r>
              <w:rPr>
                <w:spacing w:val="1"/>
              </w:rPr>
              <w:t>申请股票上市交易，应当向证券交易所报送下列</w:t>
            </w:r>
          </w:p>
        </w:tc>
        <w:tc>
          <w:tcPr>
            <w:tcW w:w="6814"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43" w:type="dxa"/>
            <w:gridSpan w:val="2"/>
            <w:tcBorders>
              <w:left w:val="single" w:color="000000" w:sz="6" w:space="0"/>
            </w:tcBorders>
            <w:shd w:val="clear" w:color="auto" w:fill="D9D9D9"/>
            <w:vAlign w:val="top"/>
          </w:tcPr>
          <w:p>
            <w:pPr>
              <w:pStyle w:val="8"/>
              <w:spacing w:before="56" w:line="185" w:lineRule="auto"/>
              <w:ind w:left="26"/>
            </w:pPr>
            <w:r>
              <w:rPr>
                <w:spacing w:val="-19"/>
              </w:rPr>
              <w:t>文件：</w:t>
            </w:r>
          </w:p>
        </w:tc>
        <w:tc>
          <w:tcPr>
            <w:tcW w:w="1935" w:type="dxa"/>
            <w:gridSpan w:val="6"/>
            <w:tcBorders>
              <w:top w:val="nil"/>
              <w:right w:val="nil"/>
            </w:tcBorders>
            <w:vAlign w:val="top"/>
          </w:tcPr>
          <w:p>
            <w:pPr>
              <w:rPr>
                <w:rFonts w:ascii="Arial"/>
                <w:sz w:val="21"/>
              </w:rPr>
            </w:pPr>
          </w:p>
        </w:tc>
        <w:tc>
          <w:tcPr>
            <w:tcW w:w="1918" w:type="dxa"/>
            <w:gridSpan w:val="5"/>
            <w:vMerge w:val="restart"/>
            <w:tcBorders>
              <w:left w:val="nil"/>
              <w:bottom w:val="nil"/>
              <w:right w:val="nil"/>
            </w:tcBorders>
            <w:vAlign w:val="top"/>
          </w:tcPr>
          <w:p>
            <w:pPr>
              <w:rPr>
                <w:rFonts w:ascii="Arial"/>
                <w:sz w:val="21"/>
              </w:rPr>
            </w:pPr>
          </w:p>
        </w:tc>
        <w:tc>
          <w:tcPr>
            <w:tcW w:w="2497" w:type="dxa"/>
            <w:gridSpan w:val="4"/>
            <w:vMerge w:val="restart"/>
            <w:tcBorders>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restart"/>
            <w:tcBorders>
              <w:left w:val="single" w:color="000000" w:sz="6" w:space="0"/>
              <w:bottom w:val="nil"/>
            </w:tcBorders>
            <w:vAlign w:val="top"/>
          </w:tcPr>
          <w:p>
            <w:pPr>
              <w:rPr>
                <w:rFonts w:ascii="Arial"/>
                <w:sz w:val="21"/>
              </w:rPr>
            </w:pPr>
          </w:p>
        </w:tc>
        <w:tc>
          <w:tcPr>
            <w:tcW w:w="2164" w:type="dxa"/>
            <w:gridSpan w:val="7"/>
            <w:shd w:val="clear" w:color="auto" w:fill="D9D9D9"/>
            <w:vAlign w:val="top"/>
          </w:tcPr>
          <w:p>
            <w:pPr>
              <w:pStyle w:val="8"/>
              <w:spacing w:before="55" w:line="187" w:lineRule="auto"/>
            </w:pPr>
            <w:r>
              <w:rPr>
                <w:spacing w:val="-7"/>
              </w:rPr>
              <w:t>（一）上市报告书；</w:t>
            </w:r>
          </w:p>
        </w:tc>
        <w:tc>
          <w:tcPr>
            <w:tcW w:w="1918" w:type="dxa"/>
            <w:gridSpan w:val="5"/>
            <w:vMerge w:val="continue"/>
            <w:tcBorders>
              <w:top w:val="nil"/>
              <w:left w:val="nil"/>
              <w:right w:val="nil"/>
            </w:tcBorders>
            <w:vAlign w:val="top"/>
          </w:tcPr>
          <w:p>
            <w:pPr>
              <w:rPr>
                <w:rFonts w:ascii="Arial"/>
                <w:sz w:val="21"/>
              </w:rPr>
            </w:pPr>
          </w:p>
        </w:tc>
        <w:tc>
          <w:tcPr>
            <w:tcW w:w="2497" w:type="dxa"/>
            <w:gridSpan w:val="4"/>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vMerge w:val="continue"/>
            <w:tcBorders>
              <w:top w:val="nil"/>
              <w:left w:val="single" w:color="000000" w:sz="6" w:space="0"/>
              <w:bottom w:val="nil"/>
            </w:tcBorders>
            <w:vAlign w:val="top"/>
          </w:tcPr>
          <w:p>
            <w:pPr>
              <w:rPr>
                <w:rFonts w:ascii="Arial"/>
                <w:sz w:val="21"/>
              </w:rPr>
            </w:pPr>
          </w:p>
        </w:tc>
        <w:tc>
          <w:tcPr>
            <w:tcW w:w="4082" w:type="dxa"/>
            <w:gridSpan w:val="12"/>
            <w:shd w:val="clear" w:color="auto" w:fill="D9D9D9"/>
            <w:vAlign w:val="top"/>
          </w:tcPr>
          <w:p>
            <w:pPr>
              <w:pStyle w:val="8"/>
              <w:spacing w:before="52" w:line="186" w:lineRule="auto"/>
            </w:pPr>
            <w:r>
              <w:rPr>
                <w:spacing w:val="-4"/>
              </w:rPr>
              <w:t>（二）申请股票上市的股东大会决议；</w:t>
            </w:r>
          </w:p>
        </w:tc>
        <w:tc>
          <w:tcPr>
            <w:tcW w:w="2497" w:type="dxa"/>
            <w:gridSpan w:val="4"/>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14" w:type="dxa"/>
            <w:vMerge w:val="continue"/>
            <w:tcBorders>
              <w:top w:val="nil"/>
              <w:left w:val="single" w:color="000000" w:sz="6" w:space="0"/>
              <w:bottom w:val="nil"/>
            </w:tcBorders>
            <w:vAlign w:val="top"/>
          </w:tcPr>
          <w:p>
            <w:pPr>
              <w:rPr>
                <w:rFonts w:ascii="Arial"/>
                <w:sz w:val="21"/>
              </w:rPr>
            </w:pPr>
          </w:p>
        </w:tc>
        <w:tc>
          <w:tcPr>
            <w:tcW w:w="1914" w:type="dxa"/>
            <w:gridSpan w:val="6"/>
            <w:shd w:val="clear" w:color="auto" w:fill="D9D9D9"/>
            <w:vAlign w:val="top"/>
          </w:tcPr>
          <w:p>
            <w:pPr>
              <w:pStyle w:val="8"/>
              <w:spacing w:before="55" w:line="188" w:lineRule="auto"/>
            </w:pPr>
            <w:r>
              <w:rPr>
                <w:spacing w:val="-8"/>
              </w:rPr>
              <w:t>（三）公司章程；</w:t>
            </w:r>
          </w:p>
        </w:tc>
        <w:tc>
          <w:tcPr>
            <w:tcW w:w="484" w:type="dxa"/>
            <w:gridSpan w:val="2"/>
            <w:tcBorders>
              <w:right w:val="nil"/>
            </w:tcBorders>
            <w:vAlign w:val="top"/>
          </w:tcPr>
          <w:p>
            <w:pPr>
              <w:rPr>
                <w:rFonts w:ascii="Arial"/>
                <w:sz w:val="21"/>
              </w:rPr>
            </w:pPr>
          </w:p>
        </w:tc>
        <w:tc>
          <w:tcPr>
            <w:tcW w:w="1684" w:type="dxa"/>
            <w:gridSpan w:val="4"/>
            <w:vMerge w:val="restart"/>
            <w:tcBorders>
              <w:left w:val="nil"/>
              <w:bottom w:val="nil"/>
              <w:right w:val="nil"/>
            </w:tcBorders>
            <w:vAlign w:val="top"/>
          </w:tcPr>
          <w:p>
            <w:pPr>
              <w:rPr>
                <w:rFonts w:ascii="Arial"/>
                <w:sz w:val="21"/>
              </w:rPr>
            </w:pPr>
          </w:p>
        </w:tc>
        <w:tc>
          <w:tcPr>
            <w:tcW w:w="2497" w:type="dxa"/>
            <w:gridSpan w:val="4"/>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14" w:type="dxa"/>
            <w:vMerge w:val="continue"/>
            <w:tcBorders>
              <w:top w:val="nil"/>
              <w:left w:val="single" w:color="000000" w:sz="6" w:space="0"/>
              <w:bottom w:val="nil"/>
            </w:tcBorders>
            <w:vAlign w:val="top"/>
          </w:tcPr>
          <w:p>
            <w:pPr>
              <w:rPr>
                <w:rFonts w:ascii="Arial"/>
                <w:sz w:val="21"/>
              </w:rPr>
            </w:pPr>
          </w:p>
        </w:tc>
        <w:tc>
          <w:tcPr>
            <w:tcW w:w="2398" w:type="dxa"/>
            <w:gridSpan w:val="8"/>
            <w:shd w:val="clear" w:color="auto" w:fill="D9D9D9"/>
            <w:vAlign w:val="top"/>
          </w:tcPr>
          <w:p>
            <w:pPr>
              <w:pStyle w:val="8"/>
              <w:spacing w:before="52" w:line="191" w:lineRule="auto"/>
            </w:pPr>
            <w:r>
              <w:rPr>
                <w:spacing w:val="-6"/>
              </w:rPr>
              <w:t>（四）公司营业执照；</w:t>
            </w:r>
          </w:p>
        </w:tc>
        <w:tc>
          <w:tcPr>
            <w:tcW w:w="1684" w:type="dxa"/>
            <w:gridSpan w:val="4"/>
            <w:vMerge w:val="continue"/>
            <w:tcBorders>
              <w:top w:val="nil"/>
              <w:left w:val="nil"/>
              <w:right w:val="nil"/>
            </w:tcBorders>
            <w:vAlign w:val="top"/>
          </w:tcPr>
          <w:p>
            <w:pPr>
              <w:rPr>
                <w:rFonts w:ascii="Arial"/>
                <w:sz w:val="21"/>
              </w:rPr>
            </w:pPr>
          </w:p>
        </w:tc>
        <w:tc>
          <w:tcPr>
            <w:tcW w:w="2497" w:type="dxa"/>
            <w:gridSpan w:val="4"/>
            <w:vMerge w:val="continue"/>
            <w:tcBorders>
              <w:top w:val="nil"/>
              <w:left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4" w:type="dxa"/>
            <w:vMerge w:val="continue"/>
            <w:tcBorders>
              <w:top w:val="nil"/>
              <w:left w:val="single" w:color="000000" w:sz="6" w:space="0"/>
            </w:tcBorders>
            <w:vAlign w:val="top"/>
          </w:tcPr>
          <w:p>
            <w:pPr>
              <w:rPr>
                <w:rFonts w:ascii="Arial"/>
                <w:sz w:val="21"/>
              </w:rPr>
            </w:pPr>
          </w:p>
        </w:tc>
        <w:tc>
          <w:tcPr>
            <w:tcW w:w="6579" w:type="dxa"/>
            <w:gridSpan w:val="16"/>
            <w:tcBorders>
              <w:right w:val="single" w:color="000000" w:sz="6" w:space="0"/>
            </w:tcBorders>
            <w:shd w:val="clear" w:color="auto" w:fill="D9D9D9"/>
            <w:vAlign w:val="top"/>
          </w:tcPr>
          <w:p>
            <w:pPr>
              <w:pStyle w:val="8"/>
              <w:spacing w:before="48" w:line="189" w:lineRule="auto"/>
              <w:jc w:val="right"/>
            </w:pPr>
            <w:r>
              <w:rPr>
                <w:spacing w:val="3"/>
              </w:rPr>
              <w:t>（五）依法经会计师事务所审计的公司最近三年的财务会计报</w:t>
            </w: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14" w:type="dxa"/>
            <w:tcBorders>
              <w:left w:val="single" w:color="000000" w:sz="6" w:space="0"/>
            </w:tcBorders>
            <w:shd w:val="clear" w:color="auto" w:fill="D9D9D9"/>
            <w:vAlign w:val="top"/>
          </w:tcPr>
          <w:p>
            <w:pPr>
              <w:pStyle w:val="8"/>
              <w:spacing w:before="49" w:line="190" w:lineRule="auto"/>
              <w:ind w:left="23"/>
            </w:pPr>
            <w:r>
              <w:rPr>
                <w:spacing w:val="-20"/>
              </w:rPr>
              <w:t>告；</w:t>
            </w:r>
          </w:p>
        </w:tc>
        <w:tc>
          <w:tcPr>
            <w:tcW w:w="3602" w:type="dxa"/>
            <w:gridSpan w:val="10"/>
            <w:tcBorders>
              <w:right w:val="nil"/>
            </w:tcBorders>
            <w:vAlign w:val="top"/>
          </w:tcPr>
          <w:p>
            <w:pPr>
              <w:rPr>
                <w:rFonts w:ascii="Arial"/>
                <w:sz w:val="21"/>
              </w:rPr>
            </w:pPr>
          </w:p>
        </w:tc>
        <w:tc>
          <w:tcPr>
            <w:tcW w:w="1200" w:type="dxa"/>
            <w:gridSpan w:val="3"/>
            <w:vMerge w:val="restart"/>
            <w:tcBorders>
              <w:left w:val="nil"/>
              <w:bottom w:val="nil"/>
              <w:right w:val="nil"/>
            </w:tcBorders>
            <w:vAlign w:val="top"/>
          </w:tcPr>
          <w:p>
            <w:pPr>
              <w:rPr>
                <w:rFonts w:ascii="Arial"/>
                <w:sz w:val="21"/>
              </w:rPr>
            </w:pPr>
          </w:p>
        </w:tc>
        <w:tc>
          <w:tcPr>
            <w:tcW w:w="1777" w:type="dxa"/>
            <w:gridSpan w:val="3"/>
            <w:vMerge w:val="restart"/>
            <w:tcBorders>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restart"/>
            <w:tcBorders>
              <w:left w:val="single" w:color="000000" w:sz="6" w:space="0"/>
              <w:bottom w:val="nil"/>
            </w:tcBorders>
            <w:vAlign w:val="top"/>
          </w:tcPr>
          <w:p>
            <w:pPr>
              <w:rPr>
                <w:rFonts w:ascii="Arial"/>
                <w:sz w:val="21"/>
              </w:rPr>
            </w:pPr>
          </w:p>
        </w:tc>
        <w:tc>
          <w:tcPr>
            <w:tcW w:w="3602" w:type="dxa"/>
            <w:gridSpan w:val="10"/>
            <w:shd w:val="clear" w:color="auto" w:fill="D9D9D9"/>
            <w:vAlign w:val="top"/>
          </w:tcPr>
          <w:p>
            <w:pPr>
              <w:pStyle w:val="8"/>
              <w:spacing w:before="50" w:line="191" w:lineRule="auto"/>
            </w:pPr>
            <w:r>
              <w:rPr>
                <w:spacing w:val="-5"/>
              </w:rPr>
              <w:t>（六）法律意见书和上市保荐书；</w:t>
            </w:r>
          </w:p>
        </w:tc>
        <w:tc>
          <w:tcPr>
            <w:tcW w:w="1200" w:type="dxa"/>
            <w:gridSpan w:val="3"/>
            <w:vMerge w:val="continue"/>
            <w:tcBorders>
              <w:top w:val="nil"/>
              <w:left w:val="nil"/>
              <w:bottom w:val="nil"/>
              <w:right w:val="nil"/>
            </w:tcBorders>
            <w:vAlign w:val="top"/>
          </w:tcPr>
          <w:p>
            <w:pPr>
              <w:rPr>
                <w:rFonts w:ascii="Arial"/>
                <w:sz w:val="21"/>
              </w:rPr>
            </w:pPr>
          </w:p>
        </w:tc>
        <w:tc>
          <w:tcPr>
            <w:tcW w:w="1777" w:type="dxa"/>
            <w:gridSpan w:val="3"/>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14" w:type="dxa"/>
            <w:vMerge w:val="continue"/>
            <w:tcBorders>
              <w:top w:val="nil"/>
              <w:left w:val="single" w:color="000000" w:sz="6" w:space="0"/>
              <w:bottom w:val="nil"/>
            </w:tcBorders>
            <w:vAlign w:val="top"/>
          </w:tcPr>
          <w:p>
            <w:pPr>
              <w:rPr>
                <w:rFonts w:ascii="Arial"/>
                <w:sz w:val="21"/>
              </w:rPr>
            </w:pPr>
          </w:p>
        </w:tc>
        <w:tc>
          <w:tcPr>
            <w:tcW w:w="3362" w:type="dxa"/>
            <w:gridSpan w:val="9"/>
            <w:shd w:val="clear" w:color="auto" w:fill="D9D9D9"/>
            <w:vAlign w:val="top"/>
          </w:tcPr>
          <w:p>
            <w:pPr>
              <w:pStyle w:val="8"/>
              <w:spacing w:before="48" w:line="192" w:lineRule="auto"/>
            </w:pPr>
            <w:r>
              <w:rPr>
                <w:spacing w:val="-5"/>
              </w:rPr>
              <w:t>（七）最近一次的招股说明书；</w:t>
            </w:r>
          </w:p>
        </w:tc>
        <w:tc>
          <w:tcPr>
            <w:tcW w:w="240" w:type="dxa"/>
            <w:tcBorders>
              <w:top w:val="nil"/>
              <w:right w:val="nil"/>
            </w:tcBorders>
            <w:vAlign w:val="top"/>
          </w:tcPr>
          <w:p>
            <w:pPr>
              <w:rPr>
                <w:rFonts w:ascii="Arial"/>
                <w:sz w:val="21"/>
              </w:rPr>
            </w:pPr>
          </w:p>
        </w:tc>
        <w:tc>
          <w:tcPr>
            <w:tcW w:w="1200" w:type="dxa"/>
            <w:gridSpan w:val="3"/>
            <w:vMerge w:val="continue"/>
            <w:tcBorders>
              <w:top w:val="nil"/>
              <w:left w:val="nil"/>
              <w:right w:val="nil"/>
            </w:tcBorders>
            <w:vAlign w:val="top"/>
          </w:tcPr>
          <w:p>
            <w:pPr>
              <w:rPr>
                <w:rFonts w:ascii="Arial"/>
                <w:sz w:val="21"/>
              </w:rPr>
            </w:pPr>
          </w:p>
        </w:tc>
        <w:tc>
          <w:tcPr>
            <w:tcW w:w="1777" w:type="dxa"/>
            <w:gridSpan w:val="3"/>
            <w:vMerge w:val="continue"/>
            <w:tcBorders>
              <w:top w:val="nil"/>
              <w:left w:val="nil"/>
              <w:bottom w:val="nil"/>
              <w:right w:val="single" w:color="000000" w:sz="6" w:space="0"/>
            </w:tcBorders>
            <w:vAlign w:val="top"/>
          </w:tcPr>
          <w:p>
            <w:pPr>
              <w:rPr>
                <w:rFonts w:ascii="Arial"/>
                <w:sz w:val="21"/>
              </w:rPr>
            </w:pPr>
          </w:p>
        </w:tc>
        <w:tc>
          <w:tcPr>
            <w:tcW w:w="6814"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14" w:type="dxa"/>
            <w:vMerge w:val="continue"/>
            <w:tcBorders>
              <w:top w:val="nil"/>
              <w:left w:val="single" w:color="000000" w:sz="6" w:space="0"/>
              <w:bottom w:val="single" w:color="000000" w:sz="6" w:space="0"/>
            </w:tcBorders>
            <w:vAlign w:val="top"/>
          </w:tcPr>
          <w:p>
            <w:pPr>
              <w:rPr>
                <w:rFonts w:ascii="Arial"/>
                <w:sz w:val="21"/>
              </w:rPr>
            </w:pPr>
          </w:p>
        </w:tc>
        <w:tc>
          <w:tcPr>
            <w:tcW w:w="4802" w:type="dxa"/>
            <w:gridSpan w:val="13"/>
            <w:tcBorders>
              <w:bottom w:val="single" w:color="000000" w:sz="6" w:space="0"/>
            </w:tcBorders>
            <w:shd w:val="clear" w:color="auto" w:fill="D9D9D9"/>
            <w:vAlign w:val="top"/>
          </w:tcPr>
          <w:p>
            <w:pPr>
              <w:pStyle w:val="8"/>
              <w:spacing w:before="45" w:line="210" w:lineRule="auto"/>
            </w:pPr>
            <w:r>
              <w:rPr>
                <w:spacing w:val="-3"/>
              </w:rPr>
              <w:t>（八）证券交易所上市规则规定的其他文件。</w:t>
            </w:r>
          </w:p>
        </w:tc>
        <w:tc>
          <w:tcPr>
            <w:tcW w:w="1777" w:type="dxa"/>
            <w:gridSpan w:val="3"/>
            <w:vMerge w:val="continue"/>
            <w:tcBorders>
              <w:top w:val="nil"/>
              <w:left w:val="nil"/>
              <w:bottom w:val="single" w:color="000000" w:sz="6" w:space="0"/>
              <w:right w:val="single" w:color="000000" w:sz="6" w:space="0"/>
            </w:tcBorders>
            <w:vAlign w:val="top"/>
          </w:tcPr>
          <w:p>
            <w:pPr>
              <w:rPr>
                <w:rFonts w:ascii="Arial"/>
                <w:sz w:val="21"/>
              </w:rPr>
            </w:pPr>
          </w:p>
        </w:tc>
        <w:tc>
          <w:tcPr>
            <w:tcW w:w="6814"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703"/>
        <w:gridCol w:w="480"/>
        <w:gridCol w:w="272"/>
        <w:gridCol w:w="66"/>
        <w:gridCol w:w="388"/>
        <w:gridCol w:w="253"/>
        <w:gridCol w:w="233"/>
        <w:gridCol w:w="480"/>
        <w:gridCol w:w="722"/>
        <w:gridCol w:w="225"/>
        <w:gridCol w:w="496"/>
        <w:gridCol w:w="246"/>
        <w:gridCol w:w="237"/>
        <w:gridCol w:w="1180"/>
        <w:gridCol w:w="259"/>
        <w:gridCol w:w="335"/>
        <w:gridCol w:w="6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75" w:type="dxa"/>
            <w:gridSpan w:val="4"/>
            <w:tcBorders>
              <w:top w:val="single" w:color="000000" w:sz="6" w:space="0"/>
              <w:left w:val="single" w:color="000000" w:sz="6" w:space="0"/>
            </w:tcBorders>
            <w:vAlign w:val="top"/>
          </w:tcPr>
          <w:p>
            <w:pPr>
              <w:spacing w:before="38" w:line="210" w:lineRule="auto"/>
              <w:ind w:left="513"/>
              <w:rPr>
                <w:rFonts w:ascii="黑体" w:hAnsi="黑体" w:eastAsia="黑体" w:cs="黑体"/>
                <w:sz w:val="24"/>
                <w:szCs w:val="24"/>
              </w:rPr>
            </w:pPr>
            <w:r>
              <w:rPr>
                <w:rFonts w:ascii="黑体" w:hAnsi="黑体" w:eastAsia="黑体" w:cs="黑体"/>
                <w:spacing w:val="1"/>
                <w:sz w:val="24"/>
                <w:szCs w:val="24"/>
              </w:rPr>
              <w:t>第五十三条</w:t>
            </w:r>
          </w:p>
        </w:tc>
        <w:tc>
          <w:tcPr>
            <w:tcW w:w="5120" w:type="dxa"/>
            <w:gridSpan w:val="13"/>
            <w:tcBorders>
              <w:top w:val="single" w:color="000000" w:sz="6" w:space="0"/>
              <w:right w:val="single" w:color="000000" w:sz="6" w:space="0"/>
            </w:tcBorders>
            <w:shd w:val="clear" w:color="auto" w:fill="D9D9D9"/>
            <w:vAlign w:val="top"/>
          </w:tcPr>
          <w:p>
            <w:pPr>
              <w:pStyle w:val="8"/>
              <w:spacing w:before="38" w:line="210" w:lineRule="auto"/>
              <w:jc w:val="right"/>
            </w:pPr>
            <w:r>
              <w:rPr>
                <w:spacing w:val="-3"/>
              </w:rPr>
              <w:t>股票上市交易申请经证券交易所审核同意后， 签</w:t>
            </w:r>
          </w:p>
        </w:tc>
        <w:tc>
          <w:tcPr>
            <w:tcW w:w="6812"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095" w:type="dxa"/>
            <w:gridSpan w:val="17"/>
            <w:tcBorders>
              <w:left w:val="single" w:color="000000" w:sz="6" w:space="0"/>
              <w:right w:val="single" w:color="000000" w:sz="6" w:space="0"/>
            </w:tcBorders>
            <w:shd w:val="clear" w:color="auto" w:fill="D9D9D9"/>
            <w:vAlign w:val="top"/>
          </w:tcPr>
          <w:p>
            <w:pPr>
              <w:pStyle w:val="8"/>
              <w:spacing w:before="24" w:line="208" w:lineRule="auto"/>
              <w:ind w:left="18"/>
            </w:pPr>
            <w:r>
              <w:rPr>
                <w:spacing w:val="2"/>
              </w:rPr>
              <w:t>订上市协议的公司应当在规定的期限内公告股票上市的有关文件，</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342" w:type="dxa"/>
            <w:gridSpan w:val="11"/>
            <w:tcBorders>
              <w:left w:val="single" w:color="000000" w:sz="6" w:space="0"/>
              <w:bottom w:val="single" w:color="000000" w:sz="6" w:space="0"/>
            </w:tcBorders>
            <w:shd w:val="clear" w:color="auto" w:fill="D9D9D9"/>
            <w:vAlign w:val="top"/>
          </w:tcPr>
          <w:p>
            <w:pPr>
              <w:pStyle w:val="8"/>
              <w:spacing w:before="24" w:line="209" w:lineRule="auto"/>
              <w:ind w:left="23"/>
            </w:pPr>
            <w:r>
              <w:rPr>
                <w:spacing w:val="-4"/>
              </w:rPr>
              <w:t>并将该文件置备于指定场所供公众查阅。</w:t>
            </w:r>
          </w:p>
        </w:tc>
        <w:tc>
          <w:tcPr>
            <w:tcW w:w="2753" w:type="dxa"/>
            <w:gridSpan w:val="6"/>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975" w:type="dxa"/>
            <w:gridSpan w:val="4"/>
            <w:tcBorders>
              <w:top w:val="single" w:color="000000" w:sz="6" w:space="0"/>
              <w:left w:val="single" w:color="000000" w:sz="6" w:space="0"/>
            </w:tcBorders>
            <w:vAlign w:val="top"/>
          </w:tcPr>
          <w:p>
            <w:pPr>
              <w:spacing w:before="32" w:line="204" w:lineRule="auto"/>
              <w:ind w:left="513"/>
              <w:rPr>
                <w:rFonts w:ascii="黑体" w:hAnsi="黑体" w:eastAsia="黑体" w:cs="黑体"/>
                <w:sz w:val="24"/>
                <w:szCs w:val="24"/>
              </w:rPr>
            </w:pPr>
            <w:r>
              <w:rPr>
                <w:rFonts w:ascii="黑体" w:hAnsi="黑体" w:eastAsia="黑体" w:cs="黑体"/>
                <w:spacing w:val="1"/>
                <w:sz w:val="24"/>
                <w:szCs w:val="24"/>
              </w:rPr>
              <w:t>第五十四条</w:t>
            </w:r>
          </w:p>
        </w:tc>
        <w:tc>
          <w:tcPr>
            <w:tcW w:w="5120" w:type="dxa"/>
            <w:gridSpan w:val="13"/>
            <w:tcBorders>
              <w:top w:val="single" w:color="000000" w:sz="6" w:space="0"/>
              <w:right w:val="single" w:color="000000" w:sz="6" w:space="0"/>
            </w:tcBorders>
            <w:shd w:val="clear" w:color="auto" w:fill="D9D9D9"/>
            <w:vAlign w:val="top"/>
          </w:tcPr>
          <w:p>
            <w:pPr>
              <w:pStyle w:val="8"/>
              <w:spacing w:before="34" w:line="203" w:lineRule="auto"/>
              <w:jc w:val="right"/>
            </w:pPr>
            <w:r>
              <w:rPr>
                <w:spacing w:val="2"/>
              </w:rPr>
              <w:t>签订上市协议的公司除公告前条规定的文件外，</w:t>
            </w:r>
          </w:p>
        </w:tc>
        <w:tc>
          <w:tcPr>
            <w:tcW w:w="6812"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429" w:type="dxa"/>
            <w:gridSpan w:val="6"/>
            <w:tcBorders>
              <w:left w:val="single" w:color="000000" w:sz="6" w:space="0"/>
            </w:tcBorders>
            <w:shd w:val="clear" w:color="auto" w:fill="D9D9D9"/>
            <w:vAlign w:val="top"/>
          </w:tcPr>
          <w:p>
            <w:pPr>
              <w:pStyle w:val="8"/>
              <w:spacing w:before="33" w:line="203" w:lineRule="auto"/>
              <w:ind w:left="18"/>
            </w:pPr>
            <w:r>
              <w:rPr>
                <w:spacing w:val="-7"/>
              </w:rPr>
              <w:t>还应当公告下列事项：</w:t>
            </w:r>
          </w:p>
        </w:tc>
        <w:tc>
          <w:tcPr>
            <w:tcW w:w="2655" w:type="dxa"/>
            <w:gridSpan w:val="7"/>
            <w:tcBorders>
              <w:right w:val="nil"/>
            </w:tcBorders>
            <w:vAlign w:val="top"/>
          </w:tcPr>
          <w:p>
            <w:pPr>
              <w:rPr>
                <w:rFonts w:ascii="Arial"/>
                <w:sz w:val="21"/>
              </w:rPr>
            </w:pPr>
          </w:p>
        </w:tc>
        <w:tc>
          <w:tcPr>
            <w:tcW w:w="2011" w:type="dxa"/>
            <w:gridSpan w:val="4"/>
            <w:vMerge w:val="restart"/>
            <w:tcBorders>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20" w:type="dxa"/>
            <w:vMerge w:val="restart"/>
            <w:tcBorders>
              <w:left w:val="single" w:color="000000" w:sz="6" w:space="0"/>
              <w:bottom w:val="nil"/>
            </w:tcBorders>
            <w:vAlign w:val="top"/>
          </w:tcPr>
          <w:p>
            <w:pPr>
              <w:rPr>
                <w:rFonts w:ascii="Arial"/>
                <w:sz w:val="21"/>
              </w:rPr>
            </w:pPr>
          </w:p>
        </w:tc>
        <w:tc>
          <w:tcPr>
            <w:tcW w:w="4564" w:type="dxa"/>
            <w:gridSpan w:val="12"/>
            <w:shd w:val="clear" w:color="auto" w:fill="D9D9D9"/>
            <w:vAlign w:val="top"/>
          </w:tcPr>
          <w:p>
            <w:pPr>
              <w:pStyle w:val="8"/>
              <w:spacing w:before="32" w:line="204" w:lineRule="auto"/>
            </w:pPr>
            <w:r>
              <w:rPr>
                <w:spacing w:val="-4"/>
              </w:rPr>
              <w:t>（一）股票获准在证券交易所交易的日期；</w:t>
            </w:r>
          </w:p>
        </w:tc>
        <w:tc>
          <w:tcPr>
            <w:tcW w:w="2011" w:type="dxa"/>
            <w:gridSpan w:val="4"/>
            <w:vMerge w:val="continue"/>
            <w:tcBorders>
              <w:top w:val="nil"/>
              <w:left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vMerge w:val="continue"/>
            <w:tcBorders>
              <w:top w:val="nil"/>
              <w:left w:val="single" w:color="000000" w:sz="6" w:space="0"/>
              <w:bottom w:val="nil"/>
            </w:tcBorders>
            <w:vAlign w:val="top"/>
          </w:tcPr>
          <w:p>
            <w:pPr>
              <w:rPr>
                <w:rFonts w:ascii="Arial"/>
                <w:sz w:val="21"/>
              </w:rPr>
            </w:pPr>
          </w:p>
        </w:tc>
        <w:tc>
          <w:tcPr>
            <w:tcW w:w="6240" w:type="dxa"/>
            <w:gridSpan w:val="15"/>
            <w:shd w:val="clear" w:color="auto" w:fill="D9D9D9"/>
            <w:vAlign w:val="top"/>
          </w:tcPr>
          <w:p>
            <w:pPr>
              <w:pStyle w:val="8"/>
              <w:spacing w:before="30" w:line="203" w:lineRule="auto"/>
            </w:pPr>
            <w:r>
              <w:rPr>
                <w:spacing w:val="-3"/>
              </w:rPr>
              <w:t>（二）持有公司股份最多的前十名股东的名单和持股数额；</w:t>
            </w:r>
          </w:p>
        </w:tc>
        <w:tc>
          <w:tcPr>
            <w:tcW w:w="335" w:type="dxa"/>
            <w:tcBorders>
              <w:top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0" w:type="dxa"/>
            <w:vMerge w:val="continue"/>
            <w:tcBorders>
              <w:top w:val="nil"/>
              <w:left w:val="single" w:color="000000" w:sz="6" w:space="0"/>
              <w:bottom w:val="nil"/>
            </w:tcBorders>
            <w:vAlign w:val="top"/>
          </w:tcPr>
          <w:p>
            <w:pPr>
              <w:rPr>
                <w:rFonts w:ascii="Arial"/>
                <w:sz w:val="21"/>
              </w:rPr>
            </w:pPr>
          </w:p>
        </w:tc>
        <w:tc>
          <w:tcPr>
            <w:tcW w:w="2875" w:type="dxa"/>
            <w:gridSpan w:val="8"/>
            <w:shd w:val="clear" w:color="auto" w:fill="D9D9D9"/>
            <w:vAlign w:val="top"/>
          </w:tcPr>
          <w:p>
            <w:pPr>
              <w:pStyle w:val="8"/>
              <w:spacing w:before="32" w:line="207" w:lineRule="auto"/>
            </w:pPr>
            <w:r>
              <w:rPr>
                <w:spacing w:val="-6"/>
              </w:rPr>
              <w:t>（三）公司的实际控制人；</w:t>
            </w:r>
          </w:p>
        </w:tc>
        <w:tc>
          <w:tcPr>
            <w:tcW w:w="3700" w:type="dxa"/>
            <w:gridSpan w:val="8"/>
            <w:tcBorders>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vMerge w:val="continue"/>
            <w:tcBorders>
              <w:top w:val="nil"/>
              <w:left w:val="single" w:color="000000" w:sz="6" w:space="0"/>
            </w:tcBorders>
            <w:vAlign w:val="top"/>
          </w:tcPr>
          <w:p>
            <w:pPr>
              <w:rPr>
                <w:rFonts w:ascii="Arial"/>
                <w:sz w:val="21"/>
              </w:rPr>
            </w:pPr>
          </w:p>
        </w:tc>
        <w:tc>
          <w:tcPr>
            <w:tcW w:w="6575" w:type="dxa"/>
            <w:gridSpan w:val="16"/>
            <w:tcBorders>
              <w:right w:val="single" w:color="000000" w:sz="6" w:space="0"/>
            </w:tcBorders>
            <w:shd w:val="clear" w:color="auto" w:fill="D9D9D9"/>
            <w:vAlign w:val="top"/>
          </w:tcPr>
          <w:p>
            <w:pPr>
              <w:pStyle w:val="8"/>
              <w:spacing w:before="28" w:line="204" w:lineRule="auto"/>
              <w:jc w:val="right"/>
            </w:pPr>
            <w:r>
              <w:rPr>
                <w:spacing w:val="3"/>
              </w:rPr>
              <w:t>（四）董事、监事、高级管理人员的姓名及其持有本公司股票</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703" w:type="dxa"/>
            <w:gridSpan w:val="3"/>
            <w:tcBorders>
              <w:left w:val="single" w:color="000000" w:sz="6" w:space="0"/>
              <w:bottom w:val="single" w:color="000000" w:sz="6" w:space="0"/>
            </w:tcBorders>
            <w:shd w:val="clear" w:color="auto" w:fill="D9D9D9"/>
            <w:vAlign w:val="top"/>
          </w:tcPr>
          <w:p>
            <w:pPr>
              <w:pStyle w:val="8"/>
              <w:spacing w:before="29" w:line="206" w:lineRule="auto"/>
              <w:ind w:left="21"/>
            </w:pPr>
            <w:r>
              <w:rPr>
                <w:spacing w:val="-8"/>
              </w:rPr>
              <w:t>和债券的情况。</w:t>
            </w:r>
          </w:p>
        </w:tc>
        <w:tc>
          <w:tcPr>
            <w:tcW w:w="5392" w:type="dxa"/>
            <w:gridSpan w:val="14"/>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975" w:type="dxa"/>
            <w:gridSpan w:val="4"/>
            <w:tcBorders>
              <w:top w:val="single" w:color="000000" w:sz="6" w:space="0"/>
              <w:left w:val="single" w:color="000000" w:sz="6" w:space="0"/>
            </w:tcBorders>
            <w:vAlign w:val="top"/>
          </w:tcPr>
          <w:p>
            <w:pPr>
              <w:spacing w:before="37" w:line="190" w:lineRule="auto"/>
              <w:ind w:left="513"/>
              <w:rPr>
                <w:rFonts w:ascii="黑体" w:hAnsi="黑体" w:eastAsia="黑体" w:cs="黑体"/>
                <w:sz w:val="24"/>
                <w:szCs w:val="24"/>
              </w:rPr>
            </w:pPr>
            <w:r>
              <w:rPr>
                <w:rFonts w:ascii="黑体" w:hAnsi="黑体" w:eastAsia="黑体" w:cs="黑体"/>
                <w:spacing w:val="1"/>
                <w:sz w:val="24"/>
                <w:szCs w:val="24"/>
              </w:rPr>
              <w:t>第五十八条</w:t>
            </w:r>
          </w:p>
        </w:tc>
        <w:tc>
          <w:tcPr>
            <w:tcW w:w="5120" w:type="dxa"/>
            <w:gridSpan w:val="13"/>
            <w:tcBorders>
              <w:top w:val="single" w:color="000000" w:sz="6" w:space="0"/>
              <w:right w:val="single" w:color="000000" w:sz="6" w:space="0"/>
            </w:tcBorders>
            <w:shd w:val="clear" w:color="auto" w:fill="D9D9D9"/>
            <w:vAlign w:val="top"/>
          </w:tcPr>
          <w:p>
            <w:pPr>
              <w:pStyle w:val="8"/>
              <w:spacing w:before="38" w:line="189" w:lineRule="auto"/>
              <w:jc w:val="right"/>
            </w:pPr>
            <w:r>
              <w:rPr>
                <w:spacing w:val="1"/>
              </w:rPr>
              <w:t>申请公司债券上市交易，应当向证券交易所报送</w:t>
            </w:r>
          </w:p>
        </w:tc>
        <w:tc>
          <w:tcPr>
            <w:tcW w:w="6812"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23" w:type="dxa"/>
            <w:gridSpan w:val="2"/>
            <w:tcBorders>
              <w:left w:val="single" w:color="000000" w:sz="6" w:space="0"/>
            </w:tcBorders>
            <w:shd w:val="clear" w:color="auto" w:fill="D9D9D9"/>
            <w:vAlign w:val="top"/>
          </w:tcPr>
          <w:p>
            <w:pPr>
              <w:pStyle w:val="8"/>
              <w:spacing w:before="51" w:line="189" w:lineRule="auto"/>
              <w:ind w:left="26"/>
            </w:pPr>
            <w:r>
              <w:rPr>
                <w:spacing w:val="-14"/>
              </w:rPr>
              <w:t>下列文件：</w:t>
            </w:r>
          </w:p>
        </w:tc>
        <w:tc>
          <w:tcPr>
            <w:tcW w:w="1459" w:type="dxa"/>
            <w:gridSpan w:val="5"/>
            <w:tcBorders>
              <w:top w:val="nil"/>
              <w:right w:val="nil"/>
            </w:tcBorders>
            <w:vAlign w:val="top"/>
          </w:tcPr>
          <w:p>
            <w:pPr>
              <w:rPr>
                <w:rFonts w:ascii="Arial"/>
                <w:sz w:val="21"/>
              </w:rPr>
            </w:pPr>
          </w:p>
        </w:tc>
        <w:tc>
          <w:tcPr>
            <w:tcW w:w="2156" w:type="dxa"/>
            <w:gridSpan w:val="5"/>
            <w:vMerge w:val="restart"/>
            <w:tcBorders>
              <w:left w:val="nil"/>
              <w:bottom w:val="nil"/>
              <w:right w:val="nil"/>
            </w:tcBorders>
            <w:vAlign w:val="top"/>
          </w:tcPr>
          <w:p>
            <w:pPr>
              <w:rPr>
                <w:rFonts w:ascii="Arial"/>
                <w:sz w:val="21"/>
              </w:rPr>
            </w:pPr>
          </w:p>
        </w:tc>
        <w:tc>
          <w:tcPr>
            <w:tcW w:w="2257" w:type="dxa"/>
            <w:gridSpan w:val="5"/>
            <w:vMerge w:val="restart"/>
            <w:tcBorders>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20" w:type="dxa"/>
            <w:vMerge w:val="restart"/>
            <w:tcBorders>
              <w:left w:val="single" w:color="000000" w:sz="6" w:space="0"/>
              <w:bottom w:val="nil"/>
            </w:tcBorders>
            <w:vAlign w:val="top"/>
          </w:tcPr>
          <w:p>
            <w:pPr>
              <w:rPr>
                <w:rFonts w:ascii="Arial"/>
                <w:sz w:val="21"/>
              </w:rPr>
            </w:pPr>
          </w:p>
        </w:tc>
        <w:tc>
          <w:tcPr>
            <w:tcW w:w="2162" w:type="dxa"/>
            <w:gridSpan w:val="6"/>
            <w:shd w:val="clear" w:color="auto" w:fill="D9D9D9"/>
            <w:vAlign w:val="top"/>
          </w:tcPr>
          <w:p>
            <w:pPr>
              <w:pStyle w:val="8"/>
              <w:spacing w:before="50" w:line="191" w:lineRule="auto"/>
            </w:pPr>
            <w:r>
              <w:rPr>
                <w:spacing w:val="-7"/>
              </w:rPr>
              <w:t>（一）上市报告书；</w:t>
            </w:r>
          </w:p>
        </w:tc>
        <w:tc>
          <w:tcPr>
            <w:tcW w:w="2156" w:type="dxa"/>
            <w:gridSpan w:val="5"/>
            <w:vMerge w:val="continue"/>
            <w:tcBorders>
              <w:top w:val="nil"/>
              <w:left w:val="nil"/>
              <w:right w:val="nil"/>
            </w:tcBorders>
            <w:vAlign w:val="top"/>
          </w:tcPr>
          <w:p>
            <w:pPr>
              <w:rPr>
                <w:rFonts w:ascii="Arial"/>
                <w:sz w:val="21"/>
              </w:rPr>
            </w:pP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vMerge w:val="continue"/>
            <w:tcBorders>
              <w:top w:val="nil"/>
              <w:left w:val="single" w:color="000000" w:sz="6" w:space="0"/>
              <w:bottom w:val="nil"/>
            </w:tcBorders>
            <w:vAlign w:val="top"/>
          </w:tcPr>
          <w:p>
            <w:pPr>
              <w:rPr>
                <w:rFonts w:ascii="Arial"/>
                <w:sz w:val="21"/>
              </w:rPr>
            </w:pPr>
          </w:p>
        </w:tc>
        <w:tc>
          <w:tcPr>
            <w:tcW w:w="4318" w:type="dxa"/>
            <w:gridSpan w:val="11"/>
            <w:shd w:val="clear" w:color="auto" w:fill="D9D9D9"/>
            <w:vAlign w:val="top"/>
          </w:tcPr>
          <w:p>
            <w:pPr>
              <w:pStyle w:val="8"/>
              <w:spacing w:before="47" w:line="190" w:lineRule="auto"/>
            </w:pPr>
            <w:r>
              <w:rPr>
                <w:spacing w:val="-4"/>
              </w:rPr>
              <w:t>（二）申请公司债券上市的董事会决议；</w:t>
            </w: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20" w:type="dxa"/>
            <w:vMerge w:val="continue"/>
            <w:tcBorders>
              <w:top w:val="nil"/>
              <w:left w:val="single" w:color="000000" w:sz="6" w:space="0"/>
              <w:bottom w:val="nil"/>
            </w:tcBorders>
            <w:vAlign w:val="top"/>
          </w:tcPr>
          <w:p>
            <w:pPr>
              <w:rPr>
                <w:rFonts w:ascii="Arial"/>
                <w:sz w:val="21"/>
              </w:rPr>
            </w:pPr>
          </w:p>
        </w:tc>
        <w:tc>
          <w:tcPr>
            <w:tcW w:w="1909" w:type="dxa"/>
            <w:gridSpan w:val="5"/>
            <w:shd w:val="clear" w:color="auto" w:fill="D9D9D9"/>
            <w:vAlign w:val="top"/>
          </w:tcPr>
          <w:p>
            <w:pPr>
              <w:pStyle w:val="8"/>
              <w:spacing w:before="50" w:line="192" w:lineRule="auto"/>
            </w:pPr>
            <w:r>
              <w:rPr>
                <w:spacing w:val="-8"/>
              </w:rPr>
              <w:t>（三）公司章程；</w:t>
            </w:r>
          </w:p>
        </w:tc>
        <w:tc>
          <w:tcPr>
            <w:tcW w:w="486" w:type="dxa"/>
            <w:gridSpan w:val="2"/>
            <w:tcBorders>
              <w:right w:val="nil"/>
            </w:tcBorders>
            <w:vAlign w:val="top"/>
          </w:tcPr>
          <w:p>
            <w:pPr>
              <w:rPr>
                <w:rFonts w:ascii="Arial"/>
                <w:sz w:val="21"/>
              </w:rPr>
            </w:pPr>
          </w:p>
        </w:tc>
        <w:tc>
          <w:tcPr>
            <w:tcW w:w="480" w:type="dxa"/>
            <w:vMerge w:val="restart"/>
            <w:tcBorders>
              <w:left w:val="nil"/>
              <w:bottom w:val="nil"/>
              <w:right w:val="nil"/>
            </w:tcBorders>
            <w:vAlign w:val="top"/>
          </w:tcPr>
          <w:p>
            <w:pPr>
              <w:rPr>
                <w:rFonts w:ascii="Arial"/>
                <w:sz w:val="21"/>
              </w:rPr>
            </w:pPr>
          </w:p>
        </w:tc>
        <w:tc>
          <w:tcPr>
            <w:tcW w:w="722" w:type="dxa"/>
            <w:vMerge w:val="restart"/>
            <w:tcBorders>
              <w:left w:val="nil"/>
              <w:bottom w:val="nil"/>
              <w:right w:val="nil"/>
            </w:tcBorders>
            <w:vAlign w:val="top"/>
          </w:tcPr>
          <w:p>
            <w:pPr>
              <w:rPr>
                <w:rFonts w:ascii="Arial"/>
                <w:sz w:val="21"/>
              </w:rPr>
            </w:pPr>
          </w:p>
        </w:tc>
        <w:tc>
          <w:tcPr>
            <w:tcW w:w="721" w:type="dxa"/>
            <w:gridSpan w:val="2"/>
            <w:vMerge w:val="restart"/>
            <w:tcBorders>
              <w:left w:val="nil"/>
              <w:bottom w:val="nil"/>
              <w:right w:val="nil"/>
            </w:tcBorders>
            <w:vAlign w:val="top"/>
          </w:tcPr>
          <w:p>
            <w:pPr>
              <w:rPr>
                <w:rFonts w:ascii="Arial"/>
                <w:sz w:val="21"/>
              </w:rPr>
            </w:pP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20" w:type="dxa"/>
            <w:vMerge w:val="continue"/>
            <w:tcBorders>
              <w:top w:val="nil"/>
              <w:left w:val="single" w:color="000000" w:sz="6" w:space="0"/>
              <w:bottom w:val="nil"/>
            </w:tcBorders>
            <w:vAlign w:val="top"/>
          </w:tcPr>
          <w:p>
            <w:pPr>
              <w:rPr>
                <w:rFonts w:ascii="Arial"/>
                <w:sz w:val="21"/>
              </w:rPr>
            </w:pPr>
          </w:p>
        </w:tc>
        <w:tc>
          <w:tcPr>
            <w:tcW w:w="2395" w:type="dxa"/>
            <w:gridSpan w:val="7"/>
            <w:shd w:val="clear" w:color="auto" w:fill="D9D9D9"/>
            <w:vAlign w:val="top"/>
          </w:tcPr>
          <w:p>
            <w:pPr>
              <w:pStyle w:val="8"/>
              <w:spacing w:before="47" w:line="194" w:lineRule="auto"/>
            </w:pPr>
            <w:r>
              <w:rPr>
                <w:spacing w:val="-7"/>
              </w:rPr>
              <w:t>（四）公司营业执照；</w:t>
            </w:r>
          </w:p>
        </w:tc>
        <w:tc>
          <w:tcPr>
            <w:tcW w:w="480" w:type="dxa"/>
            <w:vMerge w:val="continue"/>
            <w:tcBorders>
              <w:top w:val="nil"/>
              <w:left w:val="nil"/>
              <w:right w:val="nil"/>
            </w:tcBorders>
            <w:vAlign w:val="top"/>
          </w:tcPr>
          <w:p>
            <w:pPr>
              <w:rPr>
                <w:rFonts w:ascii="Arial"/>
                <w:sz w:val="21"/>
              </w:rPr>
            </w:pPr>
          </w:p>
        </w:tc>
        <w:tc>
          <w:tcPr>
            <w:tcW w:w="722" w:type="dxa"/>
            <w:vMerge w:val="continue"/>
            <w:tcBorders>
              <w:top w:val="nil"/>
              <w:left w:val="nil"/>
              <w:bottom w:val="nil"/>
              <w:right w:val="nil"/>
            </w:tcBorders>
            <w:vAlign w:val="top"/>
          </w:tcPr>
          <w:p>
            <w:pPr>
              <w:rPr>
                <w:rFonts w:ascii="Arial"/>
                <w:sz w:val="21"/>
              </w:rPr>
            </w:pPr>
          </w:p>
        </w:tc>
        <w:tc>
          <w:tcPr>
            <w:tcW w:w="721" w:type="dxa"/>
            <w:gridSpan w:val="2"/>
            <w:vMerge w:val="continue"/>
            <w:tcBorders>
              <w:top w:val="nil"/>
              <w:left w:val="nil"/>
              <w:bottom w:val="nil"/>
              <w:right w:val="nil"/>
            </w:tcBorders>
            <w:vAlign w:val="top"/>
          </w:tcPr>
          <w:p>
            <w:pPr>
              <w:rPr>
                <w:rFonts w:ascii="Arial"/>
                <w:sz w:val="21"/>
              </w:rPr>
            </w:pP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20" w:type="dxa"/>
            <w:vMerge w:val="continue"/>
            <w:tcBorders>
              <w:top w:val="nil"/>
              <w:left w:val="single" w:color="000000" w:sz="6" w:space="0"/>
              <w:bottom w:val="nil"/>
            </w:tcBorders>
            <w:vAlign w:val="top"/>
          </w:tcPr>
          <w:p>
            <w:pPr>
              <w:rPr>
                <w:rFonts w:ascii="Arial"/>
                <w:sz w:val="21"/>
              </w:rPr>
            </w:pPr>
          </w:p>
        </w:tc>
        <w:tc>
          <w:tcPr>
            <w:tcW w:w="2875" w:type="dxa"/>
            <w:gridSpan w:val="8"/>
            <w:shd w:val="clear" w:color="auto" w:fill="D9D9D9"/>
            <w:vAlign w:val="top"/>
          </w:tcPr>
          <w:p>
            <w:pPr>
              <w:pStyle w:val="8"/>
              <w:spacing w:before="44" w:line="194" w:lineRule="auto"/>
            </w:pPr>
            <w:r>
              <w:rPr>
                <w:spacing w:val="-6"/>
              </w:rPr>
              <w:t>（五）公司债券募集办法；</w:t>
            </w:r>
          </w:p>
        </w:tc>
        <w:tc>
          <w:tcPr>
            <w:tcW w:w="722" w:type="dxa"/>
            <w:vMerge w:val="continue"/>
            <w:tcBorders>
              <w:top w:val="nil"/>
              <w:left w:val="nil"/>
              <w:right w:val="nil"/>
            </w:tcBorders>
            <w:vAlign w:val="top"/>
          </w:tcPr>
          <w:p>
            <w:pPr>
              <w:rPr>
                <w:rFonts w:ascii="Arial"/>
                <w:sz w:val="21"/>
              </w:rPr>
            </w:pPr>
          </w:p>
        </w:tc>
        <w:tc>
          <w:tcPr>
            <w:tcW w:w="721" w:type="dxa"/>
            <w:gridSpan w:val="2"/>
            <w:vMerge w:val="continue"/>
            <w:tcBorders>
              <w:top w:val="nil"/>
              <w:left w:val="nil"/>
              <w:bottom w:val="nil"/>
              <w:right w:val="nil"/>
            </w:tcBorders>
            <w:vAlign w:val="top"/>
          </w:tcPr>
          <w:p>
            <w:pPr>
              <w:rPr>
                <w:rFonts w:ascii="Arial"/>
                <w:sz w:val="21"/>
              </w:rPr>
            </w:pP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20" w:type="dxa"/>
            <w:vMerge w:val="continue"/>
            <w:tcBorders>
              <w:top w:val="nil"/>
              <w:left w:val="single" w:color="000000" w:sz="6" w:space="0"/>
              <w:bottom w:val="nil"/>
            </w:tcBorders>
            <w:vAlign w:val="top"/>
          </w:tcPr>
          <w:p>
            <w:pPr>
              <w:rPr>
                <w:rFonts w:ascii="Arial"/>
                <w:sz w:val="21"/>
              </w:rPr>
            </w:pPr>
          </w:p>
        </w:tc>
        <w:tc>
          <w:tcPr>
            <w:tcW w:w="3597" w:type="dxa"/>
            <w:gridSpan w:val="9"/>
            <w:shd w:val="clear" w:color="auto" w:fill="D9D9D9"/>
            <w:vAlign w:val="top"/>
          </w:tcPr>
          <w:p>
            <w:pPr>
              <w:pStyle w:val="8"/>
              <w:spacing w:before="42" w:line="199" w:lineRule="auto"/>
            </w:pPr>
            <w:r>
              <w:rPr>
                <w:spacing w:val="-5"/>
              </w:rPr>
              <w:t>（六）公司债券的实际发行数额；</w:t>
            </w:r>
          </w:p>
        </w:tc>
        <w:tc>
          <w:tcPr>
            <w:tcW w:w="721" w:type="dxa"/>
            <w:gridSpan w:val="2"/>
            <w:vMerge w:val="continue"/>
            <w:tcBorders>
              <w:top w:val="nil"/>
              <w:left w:val="nil"/>
              <w:right w:val="nil"/>
            </w:tcBorders>
            <w:vAlign w:val="top"/>
          </w:tcPr>
          <w:p>
            <w:pPr>
              <w:rPr>
                <w:rFonts w:ascii="Arial"/>
                <w:sz w:val="21"/>
              </w:rPr>
            </w:pPr>
          </w:p>
        </w:tc>
        <w:tc>
          <w:tcPr>
            <w:tcW w:w="2257" w:type="dxa"/>
            <w:gridSpan w:val="5"/>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20" w:type="dxa"/>
            <w:vMerge w:val="continue"/>
            <w:tcBorders>
              <w:top w:val="nil"/>
              <w:left w:val="single" w:color="000000" w:sz="6" w:space="0"/>
              <w:bottom w:val="nil"/>
            </w:tcBorders>
            <w:vAlign w:val="top"/>
          </w:tcPr>
          <w:p>
            <w:pPr>
              <w:rPr>
                <w:rFonts w:ascii="Arial"/>
                <w:sz w:val="21"/>
              </w:rPr>
            </w:pPr>
          </w:p>
        </w:tc>
        <w:tc>
          <w:tcPr>
            <w:tcW w:w="4801" w:type="dxa"/>
            <w:gridSpan w:val="13"/>
            <w:shd w:val="clear" w:color="auto" w:fill="D9D9D9"/>
            <w:vAlign w:val="top"/>
          </w:tcPr>
          <w:p>
            <w:pPr>
              <w:pStyle w:val="8"/>
              <w:spacing w:before="37" w:line="201" w:lineRule="auto"/>
            </w:pPr>
            <w:r>
              <w:rPr>
                <w:spacing w:val="-3"/>
              </w:rPr>
              <w:t>（七）证券交易所上市规则规定的其他文件。</w:t>
            </w:r>
          </w:p>
        </w:tc>
        <w:tc>
          <w:tcPr>
            <w:tcW w:w="1774" w:type="dxa"/>
            <w:gridSpan w:val="3"/>
            <w:tcBorders>
              <w:top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vMerge w:val="continue"/>
            <w:tcBorders>
              <w:top w:val="nil"/>
              <w:left w:val="single" w:color="000000" w:sz="6" w:space="0"/>
            </w:tcBorders>
            <w:vAlign w:val="top"/>
          </w:tcPr>
          <w:p>
            <w:pPr>
              <w:rPr>
                <w:rFonts w:ascii="Arial"/>
                <w:sz w:val="21"/>
              </w:rPr>
            </w:pPr>
          </w:p>
        </w:tc>
        <w:tc>
          <w:tcPr>
            <w:tcW w:w="6575" w:type="dxa"/>
            <w:gridSpan w:val="16"/>
            <w:tcBorders>
              <w:right w:val="single" w:color="000000" w:sz="6" w:space="0"/>
            </w:tcBorders>
            <w:shd w:val="clear" w:color="auto" w:fill="D9D9D9"/>
            <w:vAlign w:val="top"/>
          </w:tcPr>
          <w:p>
            <w:pPr>
              <w:pStyle w:val="8"/>
              <w:spacing w:before="35" w:line="199" w:lineRule="auto"/>
              <w:jc w:val="right"/>
            </w:pPr>
            <w:r>
              <w:rPr>
                <w:spacing w:val="2"/>
              </w:rPr>
              <w:t>申请可转换为股票的公司债券上市交易，还应</w:t>
            </w:r>
            <w:r>
              <w:rPr>
                <w:spacing w:val="1"/>
              </w:rPr>
              <w:t>当报送保荐人出</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975" w:type="dxa"/>
            <w:gridSpan w:val="4"/>
            <w:tcBorders>
              <w:left w:val="single" w:color="000000" w:sz="6" w:space="0"/>
              <w:bottom w:val="single" w:color="000000" w:sz="6" w:space="0"/>
            </w:tcBorders>
            <w:shd w:val="clear" w:color="auto" w:fill="D9D9D9"/>
            <w:vAlign w:val="top"/>
          </w:tcPr>
          <w:p>
            <w:pPr>
              <w:pStyle w:val="8"/>
              <w:spacing w:before="37" w:line="200" w:lineRule="auto"/>
              <w:ind w:left="23"/>
            </w:pPr>
            <w:r>
              <w:rPr>
                <w:spacing w:val="-8"/>
              </w:rPr>
              <w:t>具的上市保荐书。</w:t>
            </w:r>
          </w:p>
        </w:tc>
        <w:tc>
          <w:tcPr>
            <w:tcW w:w="5120" w:type="dxa"/>
            <w:gridSpan w:val="13"/>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041" w:type="dxa"/>
            <w:gridSpan w:val="5"/>
            <w:tcBorders>
              <w:top w:val="single" w:color="000000" w:sz="6" w:space="0"/>
              <w:left w:val="single" w:color="000000" w:sz="6" w:space="0"/>
            </w:tcBorders>
            <w:vAlign w:val="top"/>
          </w:tcPr>
          <w:p>
            <w:pPr>
              <w:spacing w:before="43" w:line="200" w:lineRule="auto"/>
              <w:ind w:left="513"/>
              <w:rPr>
                <w:rFonts w:ascii="黑体" w:hAnsi="黑体" w:eastAsia="黑体" w:cs="黑体"/>
                <w:sz w:val="24"/>
                <w:szCs w:val="24"/>
              </w:rPr>
            </w:pPr>
            <w:r>
              <w:rPr>
                <w:rFonts w:ascii="黑体" w:hAnsi="黑体" w:eastAsia="黑体" w:cs="黑体"/>
                <w:spacing w:val="9"/>
                <w:sz w:val="24"/>
                <w:szCs w:val="24"/>
              </w:rPr>
              <w:t>第五十九条</w:t>
            </w:r>
          </w:p>
        </w:tc>
        <w:tc>
          <w:tcPr>
            <w:tcW w:w="5054" w:type="dxa"/>
            <w:gridSpan w:val="12"/>
            <w:tcBorders>
              <w:top w:val="single" w:color="000000" w:sz="6" w:space="0"/>
              <w:right w:val="single" w:color="000000" w:sz="6" w:space="0"/>
            </w:tcBorders>
            <w:shd w:val="clear" w:color="auto" w:fill="D9D9D9"/>
            <w:vAlign w:val="top"/>
          </w:tcPr>
          <w:p>
            <w:pPr>
              <w:pStyle w:val="8"/>
              <w:spacing w:before="45" w:line="199" w:lineRule="auto"/>
              <w:jc w:val="right"/>
            </w:pPr>
            <w:r>
              <w:drawing>
                <wp:anchor distT="0" distB="0" distL="0" distR="0" simplePos="0" relativeHeight="251679744" behindDoc="0" locked="0" layoutInCell="1" allowOverlap="1">
                  <wp:simplePos x="0" y="0"/>
                  <wp:positionH relativeFrom="rightMargin">
                    <wp:posOffset>-3208020</wp:posOffset>
                  </wp:positionH>
                  <wp:positionV relativeFrom="topMargin">
                    <wp:posOffset>5715</wp:posOffset>
                  </wp:positionV>
                  <wp:extent cx="3208655" cy="635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91"/>
                          <a:stretch>
                            <a:fillRect/>
                          </a:stretch>
                        </pic:blipFill>
                        <pic:spPr>
                          <a:xfrm>
                            <a:off x="0" y="0"/>
                            <a:ext cx="3208655" cy="6350"/>
                          </a:xfrm>
                          <a:prstGeom prst="rect">
                            <a:avLst/>
                          </a:prstGeom>
                        </pic:spPr>
                      </pic:pic>
                    </a:graphicData>
                  </a:graphic>
                </wp:anchor>
              </w:drawing>
            </w:r>
            <w:r>
              <w:rPr>
                <w:spacing w:val="12"/>
              </w:rPr>
              <w:t>公司债券上市交易申请经证券交易所审核同意</w:t>
            </w:r>
          </w:p>
        </w:tc>
        <w:tc>
          <w:tcPr>
            <w:tcW w:w="6812"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095" w:type="dxa"/>
            <w:gridSpan w:val="17"/>
            <w:tcBorders>
              <w:left w:val="single" w:color="000000" w:sz="6" w:space="0"/>
              <w:right w:val="single" w:color="000000" w:sz="6" w:space="0"/>
            </w:tcBorders>
            <w:shd w:val="clear" w:color="auto" w:fill="D9D9D9"/>
            <w:vAlign w:val="top"/>
          </w:tcPr>
          <w:p>
            <w:pPr>
              <w:pStyle w:val="8"/>
              <w:spacing w:before="38" w:line="200" w:lineRule="auto"/>
              <w:jc w:val="right"/>
            </w:pPr>
            <w:r>
              <w:rPr>
                <w:spacing w:val="3"/>
              </w:rPr>
              <w:t>后，签订上市协议的公司应当在规定的期限内公告公司债券上市文</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501" w:type="dxa"/>
            <w:gridSpan w:val="15"/>
            <w:tcBorders>
              <w:left w:val="single" w:color="000000" w:sz="6" w:space="0"/>
              <w:bottom w:val="single" w:color="000000" w:sz="6" w:space="0"/>
            </w:tcBorders>
            <w:shd w:val="clear" w:color="auto" w:fill="D9D9D9"/>
            <w:vAlign w:val="top"/>
          </w:tcPr>
          <w:p>
            <w:pPr>
              <w:pStyle w:val="8"/>
              <w:spacing w:before="37" w:line="198" w:lineRule="auto"/>
              <w:ind w:left="13"/>
            </w:pPr>
            <w:r>
              <w:rPr>
                <w:spacing w:val="-2"/>
              </w:rPr>
              <w:t>件及有关文件，并将其申请文件置备于指定场所供公众查阅。</w:t>
            </w:r>
          </w:p>
        </w:tc>
        <w:tc>
          <w:tcPr>
            <w:tcW w:w="594" w:type="dxa"/>
            <w:gridSpan w:val="2"/>
            <w:tcBorders>
              <w:top w:val="nil"/>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975" w:type="dxa"/>
            <w:gridSpan w:val="4"/>
            <w:tcBorders>
              <w:top w:val="single" w:color="000000" w:sz="6" w:space="0"/>
              <w:left w:val="single" w:color="000000" w:sz="6" w:space="0"/>
            </w:tcBorders>
            <w:vAlign w:val="top"/>
          </w:tcPr>
          <w:p>
            <w:pPr>
              <w:spacing w:before="47" w:line="194" w:lineRule="auto"/>
              <w:ind w:left="513"/>
              <w:rPr>
                <w:rFonts w:ascii="黑体" w:hAnsi="黑体" w:eastAsia="黑体" w:cs="黑体"/>
                <w:sz w:val="24"/>
                <w:szCs w:val="24"/>
              </w:rPr>
            </w:pPr>
            <w:r>
              <w:rPr>
                <w:rFonts w:ascii="黑体" w:hAnsi="黑体" w:eastAsia="黑体" w:cs="黑体"/>
                <w:spacing w:val="1"/>
                <w:sz w:val="24"/>
                <w:szCs w:val="24"/>
              </w:rPr>
              <w:t>第五十五条</w:t>
            </w:r>
          </w:p>
        </w:tc>
        <w:tc>
          <w:tcPr>
            <w:tcW w:w="5120" w:type="dxa"/>
            <w:gridSpan w:val="13"/>
            <w:tcBorders>
              <w:top w:val="single" w:color="000000" w:sz="6" w:space="0"/>
              <w:right w:val="single" w:color="000000" w:sz="6" w:space="0"/>
            </w:tcBorders>
            <w:shd w:val="clear" w:color="auto" w:fill="D9D9D9"/>
            <w:vAlign w:val="top"/>
          </w:tcPr>
          <w:p>
            <w:pPr>
              <w:pStyle w:val="8"/>
              <w:spacing w:before="47" w:line="194" w:lineRule="auto"/>
              <w:jc w:val="right"/>
            </w:pPr>
            <w:r>
              <w:pict>
                <v:shape id="_x0000_s1045" o:spid="_x0000_s1045" style="position:absolute;left:0pt;margin-left:0.2pt;margin-top:1.5pt;height:0.15pt;width:255.55pt;mso-position-horizontal-relative:page;mso-position-vertical-relative:page;z-index:251680768;mso-width-relative:page;mso-height-relative:page;" fillcolor="#000000" filled="t" stroked="f" coordsize="5111,3" path="m0,0l5110,0,5110,2,0,2,0,0xe">
                  <v:path/>
                  <v:fill on="t" focussize="0,0"/>
                  <v:stroke on="f"/>
                  <v:imagedata o:title=""/>
                  <o:lock v:ext="edit"/>
                </v:shape>
              </w:pict>
            </w:r>
            <w:r>
              <w:rPr>
                <w:spacing w:val="-3"/>
              </w:rPr>
              <w:t>上市公司有下列情形之一的， 由证券交易所决定</w:t>
            </w:r>
          </w:p>
        </w:tc>
        <w:tc>
          <w:tcPr>
            <w:tcW w:w="6812" w:type="dxa"/>
            <w:vMerge w:val="restart"/>
            <w:tcBorders>
              <w:top w:val="single" w:color="000000" w:sz="6" w:space="0"/>
              <w:left w:val="single" w:color="000000" w:sz="6" w:space="0"/>
              <w:bottom w:val="nil"/>
              <w:right w:val="single" w:color="000000" w:sz="6" w:space="0"/>
            </w:tcBorders>
            <w:vAlign w:val="top"/>
          </w:tcPr>
          <w:p>
            <w:pPr>
              <w:spacing w:before="48" w:line="226" w:lineRule="auto"/>
              <w:ind w:left="19" w:right="5" w:firstLine="496"/>
              <w:rPr>
                <w:rFonts w:ascii="黑体" w:hAnsi="黑体" w:eastAsia="黑体" w:cs="黑体"/>
                <w:sz w:val="24"/>
                <w:szCs w:val="24"/>
              </w:rPr>
            </w:pPr>
            <w:r>
              <w:rPr>
                <w:rFonts w:ascii="黑体" w:hAnsi="黑体" w:eastAsia="黑体" w:cs="黑体"/>
                <w:spacing w:val="-3"/>
                <w:sz w:val="24"/>
                <w:szCs w:val="24"/>
              </w:rPr>
              <w:t>第四十八条  上市交易的证券， 有证券交易所规定的终止上</w:t>
            </w:r>
            <w:r>
              <w:rPr>
                <w:rFonts w:ascii="黑体" w:hAnsi="黑体" w:eastAsia="黑体" w:cs="黑体"/>
                <w:sz w:val="24"/>
                <w:szCs w:val="24"/>
              </w:rPr>
              <w:t xml:space="preserve"> </w:t>
            </w:r>
            <w:r>
              <w:rPr>
                <w:rFonts w:ascii="黑体" w:hAnsi="黑体" w:eastAsia="黑体" w:cs="黑体"/>
                <w:spacing w:val="-2"/>
                <w:sz w:val="24"/>
                <w:szCs w:val="24"/>
              </w:rPr>
              <w:t>市情形的，由证券交易所按照业务规则终止其上市交易。</w:t>
            </w:r>
          </w:p>
          <w:p>
            <w:pPr>
              <w:pStyle w:val="8"/>
              <w:spacing w:before="35" w:line="229" w:lineRule="auto"/>
              <w:ind w:left="37" w:right="4" w:firstLine="466"/>
            </w:pPr>
            <w:r>
              <w:rPr>
                <w:spacing w:val="2"/>
              </w:rPr>
              <w:t>证券交易所决定终止证券上市交易的，应当及时</w:t>
            </w:r>
            <w:r>
              <w:rPr>
                <w:spacing w:val="1"/>
              </w:rPr>
              <w:t>公告，并报</w:t>
            </w:r>
            <w:r>
              <w:t xml:space="preserve"> </w:t>
            </w:r>
            <w:r>
              <w:rPr>
                <w:spacing w:val="-6"/>
              </w:rPr>
              <w:t>国务院证券监督管理机构备案。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429" w:type="dxa"/>
            <w:gridSpan w:val="6"/>
            <w:tcBorders>
              <w:left w:val="single" w:color="000000" w:sz="6" w:space="0"/>
            </w:tcBorders>
            <w:shd w:val="clear" w:color="auto" w:fill="D9D9D9"/>
            <w:vAlign w:val="top"/>
          </w:tcPr>
          <w:p>
            <w:pPr>
              <w:pStyle w:val="8"/>
              <w:spacing w:before="42" w:line="195" w:lineRule="auto"/>
              <w:ind w:left="26"/>
            </w:pPr>
            <w:r>
              <w:rPr>
                <w:spacing w:val="-8"/>
              </w:rPr>
              <w:t>暂停其股票上市交易：</w:t>
            </w:r>
          </w:p>
        </w:tc>
        <w:tc>
          <w:tcPr>
            <w:tcW w:w="4666" w:type="dxa"/>
            <w:gridSpan w:val="11"/>
            <w:tcBorders>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tcBorders>
              <w:left w:val="single" w:color="000000" w:sz="6" w:space="0"/>
            </w:tcBorders>
            <w:vAlign w:val="top"/>
          </w:tcPr>
          <w:p>
            <w:pPr>
              <w:rPr>
                <w:rFonts w:ascii="Arial"/>
                <w:sz w:val="21"/>
              </w:rPr>
            </w:pPr>
          </w:p>
        </w:tc>
        <w:tc>
          <w:tcPr>
            <w:tcW w:w="6575" w:type="dxa"/>
            <w:gridSpan w:val="16"/>
            <w:tcBorders>
              <w:right w:val="single" w:color="000000" w:sz="6" w:space="0"/>
            </w:tcBorders>
            <w:shd w:val="clear" w:color="auto" w:fill="D9D9D9"/>
            <w:vAlign w:val="top"/>
          </w:tcPr>
          <w:p>
            <w:pPr>
              <w:pStyle w:val="8"/>
              <w:spacing w:before="44" w:line="192" w:lineRule="auto"/>
            </w:pPr>
            <w:r>
              <w:rPr>
                <w:spacing w:val="12"/>
              </w:rPr>
              <w:t>（一）公司股本总额、股权分布等发生变化不再具备上市条</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20" w:type="dxa"/>
            <w:tcBorders>
              <w:left w:val="single" w:color="000000" w:sz="6" w:space="0"/>
              <w:right w:val="nil"/>
            </w:tcBorders>
            <w:shd w:val="clear" w:color="auto" w:fill="D9D9D9"/>
            <w:vAlign w:val="top"/>
          </w:tcPr>
          <w:p>
            <w:pPr>
              <w:pStyle w:val="8"/>
              <w:spacing w:before="46" w:line="194" w:lineRule="auto"/>
              <w:ind w:left="13"/>
            </w:pPr>
            <w:r>
              <w:rPr>
                <w:spacing w:val="-18"/>
              </w:rPr>
              <w:t>件；</w:t>
            </w:r>
          </w:p>
        </w:tc>
        <w:tc>
          <w:tcPr>
            <w:tcW w:w="6575" w:type="dxa"/>
            <w:gridSpan w:val="16"/>
            <w:tcBorders>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0" w:type="dxa"/>
            <w:tcBorders>
              <w:left w:val="single" w:color="000000" w:sz="6" w:space="0"/>
            </w:tcBorders>
            <w:vAlign w:val="top"/>
          </w:tcPr>
          <w:p>
            <w:pPr>
              <w:rPr>
                <w:rFonts w:ascii="Arial"/>
                <w:sz w:val="21"/>
              </w:rPr>
            </w:pPr>
          </w:p>
        </w:tc>
        <w:tc>
          <w:tcPr>
            <w:tcW w:w="6575" w:type="dxa"/>
            <w:gridSpan w:val="16"/>
            <w:tcBorders>
              <w:right w:val="single" w:color="000000" w:sz="6" w:space="0"/>
            </w:tcBorders>
            <w:shd w:val="clear" w:color="auto" w:fill="D9D9D9"/>
            <w:vAlign w:val="top"/>
          </w:tcPr>
          <w:p>
            <w:pPr>
              <w:pStyle w:val="8"/>
              <w:spacing w:before="44" w:line="192" w:lineRule="auto"/>
            </w:pPr>
            <w:r>
              <w:rPr>
                <w:spacing w:val="3"/>
              </w:rPr>
              <w:t>（二）公司不按照规定公开其财务状况，或者对财务会计报告</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395" w:type="dxa"/>
            <w:gridSpan w:val="9"/>
            <w:tcBorders>
              <w:left w:val="single" w:color="000000" w:sz="6" w:space="0"/>
              <w:bottom w:val="single" w:color="000000" w:sz="6" w:space="0"/>
            </w:tcBorders>
            <w:shd w:val="clear" w:color="auto" w:fill="D9D9D9"/>
            <w:vAlign w:val="top"/>
          </w:tcPr>
          <w:p>
            <w:pPr>
              <w:pStyle w:val="8"/>
              <w:spacing w:before="45" w:line="210" w:lineRule="auto"/>
              <w:ind w:left="18"/>
            </w:pPr>
            <w:r>
              <w:rPr>
                <w:spacing w:val="-5"/>
              </w:rPr>
              <w:t>作虚假记载，可能误导投资者；</w:t>
            </w:r>
          </w:p>
        </w:tc>
        <w:tc>
          <w:tcPr>
            <w:tcW w:w="3700" w:type="dxa"/>
            <w:gridSpan w:val="8"/>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spacing w:line="149" w:lineRule="exact"/>
        <w:rPr>
          <w:rFonts w:ascii="Arial"/>
          <w:sz w:val="13"/>
        </w:rPr>
      </w:pPr>
    </w:p>
    <w:p>
      <w:pPr>
        <w:spacing w:line="149" w:lineRule="exact"/>
        <w:rPr>
          <w:rFonts w:ascii="Arial" w:hAnsi="Arial" w:eastAsia="Arial" w:cs="Arial"/>
          <w:sz w:val="13"/>
          <w:szCs w:val="13"/>
        </w:rPr>
        <w:sectPr>
          <w:footerReference r:id="rId18"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224"/>
        <w:gridCol w:w="482"/>
        <w:gridCol w:w="513"/>
        <w:gridCol w:w="246"/>
        <w:gridCol w:w="203"/>
        <w:gridCol w:w="242"/>
        <w:gridCol w:w="475"/>
        <w:gridCol w:w="736"/>
        <w:gridCol w:w="240"/>
        <w:gridCol w:w="240"/>
        <w:gridCol w:w="462"/>
        <w:gridCol w:w="536"/>
        <w:gridCol w:w="213"/>
        <w:gridCol w:w="453"/>
        <w:gridCol w:w="281"/>
        <w:gridCol w:w="454"/>
        <w:gridCol w:w="62"/>
        <w:gridCol w:w="515"/>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17" w:type="dxa"/>
            <w:vMerge w:val="restart"/>
            <w:tcBorders>
              <w:top w:val="single" w:color="000000" w:sz="6" w:space="0"/>
              <w:left w:val="single" w:color="000000" w:sz="6" w:space="0"/>
              <w:bottom w:val="nil"/>
            </w:tcBorders>
            <w:vAlign w:val="top"/>
          </w:tcPr>
          <w:p>
            <w:pPr>
              <w:rPr>
                <w:rFonts w:ascii="Arial"/>
                <w:sz w:val="21"/>
              </w:rPr>
            </w:pPr>
          </w:p>
        </w:tc>
        <w:tc>
          <w:tcPr>
            <w:tcW w:w="3121" w:type="dxa"/>
            <w:gridSpan w:val="8"/>
            <w:tcBorders>
              <w:top w:val="single" w:color="000000" w:sz="6" w:space="0"/>
            </w:tcBorders>
            <w:shd w:val="clear" w:color="auto" w:fill="D9D9D9"/>
            <w:vAlign w:val="top"/>
          </w:tcPr>
          <w:p>
            <w:pPr>
              <w:pStyle w:val="8"/>
              <w:spacing w:before="38" w:line="210" w:lineRule="auto"/>
            </w:pPr>
            <w:r>
              <w:rPr>
                <w:spacing w:val="-5"/>
              </w:rPr>
              <w:t>（三）公司有重大违法行为；</w:t>
            </w:r>
          </w:p>
        </w:tc>
        <w:tc>
          <w:tcPr>
            <w:tcW w:w="240" w:type="dxa"/>
            <w:tcBorders>
              <w:top w:val="single" w:color="000000" w:sz="6" w:space="0"/>
              <w:right w:val="nil"/>
            </w:tcBorders>
            <w:vAlign w:val="top"/>
          </w:tcPr>
          <w:p>
            <w:pPr>
              <w:rPr>
                <w:rFonts w:ascii="Arial"/>
                <w:sz w:val="21"/>
              </w:rPr>
            </w:pPr>
          </w:p>
        </w:tc>
        <w:tc>
          <w:tcPr>
            <w:tcW w:w="1451" w:type="dxa"/>
            <w:gridSpan w:val="4"/>
            <w:vMerge w:val="restart"/>
            <w:tcBorders>
              <w:top w:val="single" w:color="000000" w:sz="6" w:space="0"/>
              <w:left w:val="nil"/>
              <w:bottom w:val="nil"/>
              <w:right w:val="nil"/>
            </w:tcBorders>
            <w:vAlign w:val="top"/>
          </w:tcPr>
          <w:p>
            <w:pPr>
              <w:rPr>
                <w:rFonts w:ascii="Arial"/>
                <w:sz w:val="21"/>
              </w:rPr>
            </w:pPr>
          </w:p>
        </w:tc>
        <w:tc>
          <w:tcPr>
            <w:tcW w:w="1765" w:type="dxa"/>
            <w:gridSpan w:val="5"/>
            <w:vMerge w:val="restart"/>
            <w:tcBorders>
              <w:top w:val="single" w:color="000000" w:sz="6" w:space="0"/>
              <w:left w:val="nil"/>
              <w:bottom w:val="nil"/>
              <w:right w:val="single" w:color="000000" w:sz="6" w:space="0"/>
            </w:tcBorders>
            <w:vAlign w:val="top"/>
          </w:tcPr>
          <w:p>
            <w:pPr>
              <w:rPr>
                <w:rFonts w:ascii="Arial"/>
                <w:sz w:val="21"/>
              </w:rPr>
            </w:pPr>
          </w:p>
        </w:tc>
        <w:tc>
          <w:tcPr>
            <w:tcW w:w="6813"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17" w:type="dxa"/>
            <w:vMerge w:val="continue"/>
            <w:tcBorders>
              <w:top w:val="nil"/>
              <w:left w:val="single" w:color="000000" w:sz="6" w:space="0"/>
              <w:bottom w:val="nil"/>
            </w:tcBorders>
            <w:vAlign w:val="top"/>
          </w:tcPr>
          <w:p>
            <w:pPr>
              <w:rPr>
                <w:rFonts w:ascii="Arial"/>
                <w:sz w:val="21"/>
              </w:rPr>
            </w:pPr>
          </w:p>
        </w:tc>
        <w:tc>
          <w:tcPr>
            <w:tcW w:w="3361" w:type="dxa"/>
            <w:gridSpan w:val="9"/>
            <w:shd w:val="clear" w:color="auto" w:fill="D9D9D9"/>
            <w:vAlign w:val="top"/>
          </w:tcPr>
          <w:p>
            <w:pPr>
              <w:pStyle w:val="8"/>
              <w:spacing w:before="24" w:line="209" w:lineRule="auto"/>
            </w:pPr>
            <w:r>
              <w:rPr>
                <w:spacing w:val="-5"/>
              </w:rPr>
              <w:t>（四）公司最近三年连续亏损；</w:t>
            </w:r>
          </w:p>
        </w:tc>
        <w:tc>
          <w:tcPr>
            <w:tcW w:w="1451" w:type="dxa"/>
            <w:gridSpan w:val="4"/>
            <w:vMerge w:val="continue"/>
            <w:tcBorders>
              <w:top w:val="nil"/>
              <w:left w:val="nil"/>
              <w:right w:val="nil"/>
            </w:tcBorders>
            <w:vAlign w:val="top"/>
          </w:tcPr>
          <w:p>
            <w:pPr>
              <w:rPr>
                <w:rFonts w:ascii="Arial"/>
                <w:sz w:val="21"/>
              </w:rPr>
            </w:pPr>
          </w:p>
        </w:tc>
        <w:tc>
          <w:tcPr>
            <w:tcW w:w="1765" w:type="dxa"/>
            <w:gridSpan w:val="5"/>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7" w:type="dxa"/>
            <w:vMerge w:val="continue"/>
            <w:tcBorders>
              <w:top w:val="nil"/>
              <w:left w:val="single" w:color="000000" w:sz="6" w:space="0"/>
              <w:bottom w:val="nil"/>
            </w:tcBorders>
            <w:vAlign w:val="top"/>
          </w:tcPr>
          <w:p>
            <w:pPr>
              <w:rPr>
                <w:rFonts w:ascii="Arial"/>
                <w:sz w:val="21"/>
              </w:rPr>
            </w:pPr>
          </w:p>
        </w:tc>
        <w:tc>
          <w:tcPr>
            <w:tcW w:w="4812" w:type="dxa"/>
            <w:gridSpan w:val="13"/>
            <w:shd w:val="clear" w:color="auto" w:fill="D9D9D9"/>
            <w:vAlign w:val="top"/>
          </w:tcPr>
          <w:p>
            <w:pPr>
              <w:pStyle w:val="8"/>
              <w:spacing w:before="22" w:line="208" w:lineRule="auto"/>
            </w:pPr>
            <w:r>
              <w:rPr>
                <w:spacing w:val="-3"/>
              </w:rPr>
              <w:t>（五）证券交易所上市规则规定的其他情形。</w:t>
            </w:r>
          </w:p>
        </w:tc>
        <w:tc>
          <w:tcPr>
            <w:tcW w:w="1765" w:type="dxa"/>
            <w:gridSpan w:val="5"/>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982" w:type="dxa"/>
            <w:gridSpan w:val="5"/>
            <w:tcBorders>
              <w:left w:val="single" w:color="000000" w:sz="6" w:space="0"/>
              <w:bottom w:val="nil"/>
            </w:tcBorders>
            <w:vAlign w:val="top"/>
          </w:tcPr>
          <w:p>
            <w:pPr>
              <w:spacing w:before="26" w:line="205" w:lineRule="auto"/>
              <w:ind w:left="513"/>
              <w:rPr>
                <w:rFonts w:ascii="黑体" w:hAnsi="黑体" w:eastAsia="黑体" w:cs="黑体"/>
                <w:sz w:val="24"/>
                <w:szCs w:val="24"/>
              </w:rPr>
            </w:pPr>
            <w:r>
              <w:rPr>
                <w:rFonts w:ascii="黑体" w:hAnsi="黑体" w:eastAsia="黑体" w:cs="黑体"/>
                <w:spacing w:val="1"/>
                <w:sz w:val="24"/>
                <w:szCs w:val="24"/>
              </w:rPr>
              <w:t>第五十六条</w:t>
            </w:r>
          </w:p>
        </w:tc>
        <w:tc>
          <w:tcPr>
            <w:tcW w:w="3134" w:type="dxa"/>
            <w:gridSpan w:val="8"/>
            <w:shd w:val="clear" w:color="auto" w:fill="D9D9D9"/>
            <w:vAlign w:val="top"/>
          </w:tcPr>
          <w:p>
            <w:pPr>
              <w:pStyle w:val="8"/>
              <w:spacing w:before="26" w:line="205" w:lineRule="auto"/>
              <w:ind w:left="8"/>
            </w:pPr>
            <w:r>
              <w:rPr>
                <w:spacing w:val="-1"/>
              </w:rPr>
              <w:t>上市公司有下列情形之一的，</w:t>
            </w:r>
          </w:p>
        </w:tc>
        <w:tc>
          <w:tcPr>
            <w:tcW w:w="1463" w:type="dxa"/>
            <w:gridSpan w:val="5"/>
            <w:vMerge w:val="restart"/>
            <w:tcBorders>
              <w:top w:val="nil"/>
              <w:left w:val="nil"/>
              <w:bottom w:val="nil"/>
              <w:right w:val="nil"/>
            </w:tcBorders>
            <w:vAlign w:val="top"/>
          </w:tcPr>
          <w:p>
            <w:pPr>
              <w:pStyle w:val="8"/>
              <w:spacing w:before="27" w:line="217" w:lineRule="auto"/>
              <w:jc w:val="right"/>
            </w:pPr>
            <w:r>
              <w:rPr>
                <w:spacing w:val="-10"/>
              </w:rPr>
              <w:t>由证券交易所</w:t>
            </w:r>
          </w:p>
        </w:tc>
        <w:tc>
          <w:tcPr>
            <w:tcW w:w="515" w:type="dxa"/>
            <w:tcBorders>
              <w:right w:val="single" w:color="000000" w:sz="6" w:space="0"/>
            </w:tcBorders>
            <w:shd w:val="clear" w:color="auto" w:fill="D9D9D9"/>
            <w:vAlign w:val="top"/>
          </w:tcPr>
          <w:p>
            <w:pPr>
              <w:pStyle w:val="8"/>
              <w:spacing w:before="26" w:line="205" w:lineRule="auto"/>
              <w:jc w:val="right"/>
            </w:pPr>
            <w:r>
              <w:rPr>
                <w:spacing w:val="-10"/>
              </w:rPr>
              <w:t>决定</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1" w:type="dxa"/>
            <w:gridSpan w:val="2"/>
            <w:tcBorders>
              <w:top w:val="nil"/>
              <w:left w:val="single" w:color="000000" w:sz="6" w:space="0"/>
              <w:bottom w:val="nil"/>
            </w:tcBorders>
            <w:vAlign w:val="top"/>
          </w:tcPr>
          <w:p>
            <w:pPr>
              <w:pStyle w:val="8"/>
              <w:spacing w:before="31" w:line="206" w:lineRule="auto"/>
              <w:ind w:left="14"/>
            </w:pPr>
            <w:r>
              <w:rPr>
                <w:spacing w:val="-3"/>
              </w:rPr>
              <w:t>终止其</w:t>
            </w:r>
          </w:p>
        </w:tc>
        <w:tc>
          <w:tcPr>
            <w:tcW w:w="482" w:type="dxa"/>
            <w:shd w:val="clear" w:color="auto" w:fill="D9D9D9"/>
            <w:vAlign w:val="top"/>
          </w:tcPr>
          <w:p>
            <w:pPr>
              <w:pStyle w:val="8"/>
              <w:spacing w:before="31" w:line="206" w:lineRule="auto"/>
              <w:ind w:left="1"/>
            </w:pPr>
            <w:r>
              <w:rPr>
                <w:spacing w:val="-3"/>
              </w:rPr>
              <w:t>股票</w:t>
            </w:r>
          </w:p>
        </w:tc>
        <w:tc>
          <w:tcPr>
            <w:tcW w:w="962" w:type="dxa"/>
            <w:gridSpan w:val="3"/>
            <w:tcBorders>
              <w:top w:val="nil"/>
            </w:tcBorders>
            <w:vAlign w:val="top"/>
          </w:tcPr>
          <w:p>
            <w:pPr>
              <w:pStyle w:val="8"/>
              <w:spacing w:before="31" w:line="206" w:lineRule="auto"/>
              <w:ind w:left="6"/>
            </w:pPr>
            <w:r>
              <w:rPr>
                <w:spacing w:val="-3"/>
              </w:rPr>
              <w:t>上市交易</w:t>
            </w:r>
          </w:p>
        </w:tc>
        <w:tc>
          <w:tcPr>
            <w:tcW w:w="242" w:type="dxa"/>
            <w:shd w:val="clear" w:color="auto" w:fill="D9D9D9"/>
            <w:vAlign w:val="top"/>
          </w:tcPr>
          <w:p>
            <w:pPr>
              <w:pStyle w:val="8"/>
              <w:spacing w:before="123" w:line="151" w:lineRule="exact"/>
              <w:ind w:left="15"/>
              <w:rPr>
                <w:sz w:val="11"/>
                <w:szCs w:val="11"/>
              </w:rPr>
            </w:pPr>
            <w:r>
              <w:rPr>
                <w:position w:val="3"/>
                <w:sz w:val="11"/>
                <w:szCs w:val="11"/>
              </w:rPr>
              <w:t>:</w:t>
            </w:r>
          </w:p>
        </w:tc>
        <w:tc>
          <w:tcPr>
            <w:tcW w:w="2689" w:type="dxa"/>
            <w:gridSpan w:val="6"/>
            <w:tcBorders>
              <w:right w:val="nil"/>
            </w:tcBorders>
            <w:vAlign w:val="top"/>
          </w:tcPr>
          <w:p>
            <w:pPr>
              <w:rPr>
                <w:rFonts w:ascii="Arial"/>
                <w:sz w:val="21"/>
              </w:rPr>
            </w:pPr>
          </w:p>
        </w:tc>
        <w:tc>
          <w:tcPr>
            <w:tcW w:w="1463" w:type="dxa"/>
            <w:gridSpan w:val="5"/>
            <w:vMerge w:val="continue"/>
            <w:tcBorders>
              <w:top w:val="nil"/>
              <w:left w:val="nil"/>
              <w:right w:val="nil"/>
            </w:tcBorders>
            <w:vAlign w:val="top"/>
          </w:tcPr>
          <w:p>
            <w:pPr>
              <w:rPr>
                <w:rFonts w:ascii="Arial"/>
                <w:sz w:val="21"/>
              </w:rPr>
            </w:pPr>
          </w:p>
        </w:tc>
        <w:tc>
          <w:tcPr>
            <w:tcW w:w="515" w:type="dxa"/>
            <w:tcBorders>
              <w:left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7" w:type="dxa"/>
            <w:tcBorders>
              <w:top w:val="nil"/>
              <w:left w:val="single" w:color="000000" w:sz="6" w:space="0"/>
            </w:tcBorders>
            <w:vAlign w:val="top"/>
          </w:tcPr>
          <w:p>
            <w:pPr>
              <w:rPr>
                <w:rFonts w:ascii="Arial"/>
                <w:sz w:val="21"/>
              </w:rPr>
            </w:pPr>
          </w:p>
        </w:tc>
        <w:tc>
          <w:tcPr>
            <w:tcW w:w="6577" w:type="dxa"/>
            <w:gridSpan w:val="18"/>
            <w:tcBorders>
              <w:right w:val="single" w:color="000000" w:sz="6" w:space="0"/>
            </w:tcBorders>
            <w:shd w:val="clear" w:color="auto" w:fill="D9D9D9"/>
            <w:vAlign w:val="top"/>
          </w:tcPr>
          <w:p>
            <w:pPr>
              <w:pStyle w:val="8"/>
              <w:spacing w:before="26" w:line="205" w:lineRule="auto"/>
            </w:pPr>
            <w:r>
              <w:rPr>
                <w:spacing w:val="12"/>
              </w:rPr>
              <w:t>（一）公司股本总额、股权分布等发生变化不再具备上市条</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782" w:type="dxa"/>
            <w:gridSpan w:val="15"/>
            <w:tcBorders>
              <w:left w:val="single" w:color="000000" w:sz="6" w:space="0"/>
            </w:tcBorders>
            <w:shd w:val="clear" w:color="auto" w:fill="D9D9D9"/>
            <w:vAlign w:val="top"/>
          </w:tcPr>
          <w:p>
            <w:pPr>
              <w:pStyle w:val="8"/>
              <w:spacing w:before="30" w:line="204" w:lineRule="auto"/>
              <w:ind w:left="13"/>
            </w:pPr>
            <w:r>
              <w:rPr>
                <w:spacing w:val="-3"/>
              </w:rPr>
              <w:t>件，在证券交易所规定的期限内仍不能达到上市条件；</w:t>
            </w:r>
          </w:p>
        </w:tc>
        <w:tc>
          <w:tcPr>
            <w:tcW w:w="1312" w:type="dxa"/>
            <w:gridSpan w:val="4"/>
            <w:tcBorders>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tcBorders>
              <w:top w:val="nil"/>
              <w:left w:val="single" w:color="000000" w:sz="6" w:space="0"/>
            </w:tcBorders>
            <w:vAlign w:val="top"/>
          </w:tcPr>
          <w:p>
            <w:pPr>
              <w:rPr>
                <w:rFonts w:ascii="Arial"/>
                <w:sz w:val="21"/>
              </w:rPr>
            </w:pPr>
          </w:p>
        </w:tc>
        <w:tc>
          <w:tcPr>
            <w:tcW w:w="6577" w:type="dxa"/>
            <w:gridSpan w:val="18"/>
            <w:tcBorders>
              <w:right w:val="single" w:color="000000" w:sz="6" w:space="0"/>
            </w:tcBorders>
            <w:shd w:val="clear" w:color="auto" w:fill="D9D9D9"/>
            <w:vAlign w:val="top"/>
          </w:tcPr>
          <w:p>
            <w:pPr>
              <w:pStyle w:val="8"/>
              <w:spacing w:before="31" w:line="202" w:lineRule="auto"/>
              <w:jc w:val="right"/>
            </w:pPr>
            <w:r>
              <w:rPr>
                <w:spacing w:val="2"/>
              </w:rPr>
              <w:t>（二）公司不按照规定公开其财务状况，或者对财务会计报告</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902" w:type="dxa"/>
            <w:gridSpan w:val="8"/>
            <w:tcBorders>
              <w:left w:val="single" w:color="000000" w:sz="6" w:space="0"/>
            </w:tcBorders>
            <w:shd w:val="clear" w:color="auto" w:fill="D9D9D9"/>
            <w:vAlign w:val="top"/>
          </w:tcPr>
          <w:p>
            <w:pPr>
              <w:pStyle w:val="8"/>
              <w:spacing w:before="32" w:line="202" w:lineRule="auto"/>
              <w:ind w:left="18"/>
            </w:pPr>
            <w:r>
              <w:rPr>
                <w:spacing w:val="-6"/>
              </w:rPr>
              <w:t>作虚假记载，且拒绝纠正；</w:t>
            </w:r>
          </w:p>
        </w:tc>
        <w:tc>
          <w:tcPr>
            <w:tcW w:w="4192" w:type="dxa"/>
            <w:gridSpan w:val="11"/>
            <w:tcBorders>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7" w:type="dxa"/>
            <w:tcBorders>
              <w:left w:val="single" w:color="000000" w:sz="6" w:space="0"/>
            </w:tcBorders>
            <w:vAlign w:val="top"/>
          </w:tcPr>
          <w:p>
            <w:pPr>
              <w:rPr>
                <w:rFonts w:ascii="Arial"/>
                <w:sz w:val="21"/>
              </w:rPr>
            </w:pPr>
          </w:p>
        </w:tc>
        <w:tc>
          <w:tcPr>
            <w:tcW w:w="6577" w:type="dxa"/>
            <w:gridSpan w:val="18"/>
            <w:tcBorders>
              <w:right w:val="single" w:color="000000" w:sz="6" w:space="0"/>
            </w:tcBorders>
            <w:shd w:val="clear" w:color="auto" w:fill="D9D9D9"/>
            <w:vAlign w:val="top"/>
          </w:tcPr>
          <w:p>
            <w:pPr>
              <w:pStyle w:val="8"/>
              <w:spacing w:before="34" w:line="199" w:lineRule="auto"/>
              <w:jc w:val="right"/>
            </w:pPr>
            <w:r>
              <w:rPr>
                <w:spacing w:val="-1"/>
              </w:rPr>
              <w:t>（三）公司最近三年连续亏损， 在其后一个年</w:t>
            </w:r>
            <w:r>
              <w:rPr>
                <w:spacing w:val="-2"/>
              </w:rPr>
              <w:t>度内未能恢复盈</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17" w:type="dxa"/>
            <w:tcBorders>
              <w:left w:val="single" w:color="000000" w:sz="6" w:space="0"/>
            </w:tcBorders>
            <w:shd w:val="clear" w:color="auto" w:fill="D9D9D9"/>
            <w:vAlign w:val="top"/>
          </w:tcPr>
          <w:p>
            <w:pPr>
              <w:pStyle w:val="8"/>
              <w:spacing w:before="39" w:line="199" w:lineRule="auto"/>
              <w:ind w:left="13"/>
            </w:pPr>
            <w:r>
              <w:rPr>
                <w:spacing w:val="-18"/>
              </w:rPr>
              <w:t>利；</w:t>
            </w:r>
          </w:p>
        </w:tc>
        <w:tc>
          <w:tcPr>
            <w:tcW w:w="3601" w:type="dxa"/>
            <w:gridSpan w:val="10"/>
            <w:tcBorders>
              <w:right w:val="nil"/>
            </w:tcBorders>
            <w:vAlign w:val="top"/>
          </w:tcPr>
          <w:p>
            <w:pPr>
              <w:rPr>
                <w:rFonts w:ascii="Arial"/>
                <w:sz w:val="21"/>
              </w:rPr>
            </w:pPr>
          </w:p>
        </w:tc>
        <w:tc>
          <w:tcPr>
            <w:tcW w:w="1211" w:type="dxa"/>
            <w:gridSpan w:val="3"/>
            <w:vMerge w:val="restart"/>
            <w:tcBorders>
              <w:left w:val="nil"/>
              <w:bottom w:val="nil"/>
              <w:right w:val="nil"/>
            </w:tcBorders>
            <w:vAlign w:val="top"/>
          </w:tcPr>
          <w:p>
            <w:pPr>
              <w:rPr>
                <w:rFonts w:ascii="Arial"/>
                <w:sz w:val="21"/>
              </w:rPr>
            </w:pPr>
          </w:p>
        </w:tc>
        <w:tc>
          <w:tcPr>
            <w:tcW w:w="1765" w:type="dxa"/>
            <w:gridSpan w:val="5"/>
            <w:vMerge w:val="restart"/>
            <w:tcBorders>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7" w:type="dxa"/>
            <w:vMerge w:val="restart"/>
            <w:tcBorders>
              <w:left w:val="single" w:color="000000" w:sz="6" w:space="0"/>
              <w:bottom w:val="nil"/>
            </w:tcBorders>
            <w:vAlign w:val="top"/>
          </w:tcPr>
          <w:p>
            <w:pPr>
              <w:rPr>
                <w:rFonts w:ascii="Arial"/>
                <w:sz w:val="21"/>
              </w:rPr>
            </w:pPr>
          </w:p>
        </w:tc>
        <w:tc>
          <w:tcPr>
            <w:tcW w:w="3601" w:type="dxa"/>
            <w:gridSpan w:val="10"/>
            <w:shd w:val="clear" w:color="auto" w:fill="D9D9D9"/>
            <w:vAlign w:val="top"/>
          </w:tcPr>
          <w:p>
            <w:pPr>
              <w:pStyle w:val="8"/>
              <w:spacing w:before="35" w:line="203" w:lineRule="auto"/>
            </w:pPr>
            <w:r>
              <w:rPr>
                <w:spacing w:val="-5"/>
              </w:rPr>
              <w:t>（四）公司解散或者被宣告破产；</w:t>
            </w:r>
          </w:p>
        </w:tc>
        <w:tc>
          <w:tcPr>
            <w:tcW w:w="1211" w:type="dxa"/>
            <w:gridSpan w:val="3"/>
            <w:vMerge w:val="continue"/>
            <w:tcBorders>
              <w:top w:val="nil"/>
              <w:left w:val="nil"/>
              <w:right w:val="nil"/>
            </w:tcBorders>
            <w:vAlign w:val="top"/>
          </w:tcPr>
          <w:p>
            <w:pPr>
              <w:rPr>
                <w:rFonts w:ascii="Arial"/>
                <w:sz w:val="21"/>
              </w:rPr>
            </w:pPr>
          </w:p>
        </w:tc>
        <w:tc>
          <w:tcPr>
            <w:tcW w:w="1765" w:type="dxa"/>
            <w:gridSpan w:val="5"/>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Merge w:val="continue"/>
            <w:tcBorders>
              <w:top w:val="nil"/>
              <w:left w:val="single" w:color="000000" w:sz="6" w:space="0"/>
              <w:bottom w:val="nil"/>
            </w:tcBorders>
            <w:vAlign w:val="top"/>
          </w:tcPr>
          <w:p>
            <w:pPr>
              <w:rPr>
                <w:rFonts w:ascii="Arial"/>
                <w:sz w:val="21"/>
              </w:rPr>
            </w:pPr>
          </w:p>
        </w:tc>
        <w:tc>
          <w:tcPr>
            <w:tcW w:w="4812" w:type="dxa"/>
            <w:gridSpan w:val="13"/>
            <w:shd w:val="clear" w:color="auto" w:fill="D9D9D9"/>
            <w:vAlign w:val="top"/>
          </w:tcPr>
          <w:p>
            <w:pPr>
              <w:pStyle w:val="8"/>
              <w:spacing w:before="34" w:line="200" w:lineRule="auto"/>
            </w:pPr>
            <w:r>
              <w:rPr>
                <w:spacing w:val="-3"/>
              </w:rPr>
              <w:t>（五）证券交易所上市规则规定的其他情形。</w:t>
            </w:r>
          </w:p>
        </w:tc>
        <w:tc>
          <w:tcPr>
            <w:tcW w:w="1765" w:type="dxa"/>
            <w:gridSpan w:val="5"/>
            <w:vMerge w:val="continue"/>
            <w:tcBorders>
              <w:top w:val="nil"/>
              <w:left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Merge w:val="continue"/>
            <w:tcBorders>
              <w:top w:val="nil"/>
              <w:left w:val="single" w:color="000000" w:sz="6" w:space="0"/>
            </w:tcBorders>
            <w:vAlign w:val="top"/>
          </w:tcPr>
          <w:p>
            <w:pPr>
              <w:rPr>
                <w:rFonts w:ascii="Arial"/>
                <w:sz w:val="21"/>
              </w:rPr>
            </w:pPr>
          </w:p>
        </w:tc>
        <w:tc>
          <w:tcPr>
            <w:tcW w:w="1219" w:type="dxa"/>
            <w:gridSpan w:val="3"/>
            <w:tcBorders>
              <w:left w:val="nil"/>
            </w:tcBorders>
            <w:vAlign w:val="top"/>
          </w:tcPr>
          <w:p>
            <w:pPr>
              <w:spacing w:before="35" w:line="199" w:lineRule="auto"/>
              <w:ind w:left="1"/>
              <w:rPr>
                <w:rFonts w:ascii="黑体" w:hAnsi="黑体" w:eastAsia="黑体" w:cs="黑体"/>
                <w:sz w:val="24"/>
                <w:szCs w:val="24"/>
              </w:rPr>
            </w:pPr>
            <w:r>
              <w:rPr>
                <w:rFonts w:ascii="黑体" w:hAnsi="黑体" w:eastAsia="黑体" w:cs="黑体"/>
                <w:spacing w:val="-1"/>
                <w:sz w:val="24"/>
                <w:szCs w:val="24"/>
              </w:rPr>
              <w:t>第六十条</w:t>
            </w:r>
          </w:p>
        </w:tc>
        <w:tc>
          <w:tcPr>
            <w:tcW w:w="5358" w:type="dxa"/>
            <w:gridSpan w:val="15"/>
            <w:tcBorders>
              <w:right w:val="single" w:color="000000" w:sz="6" w:space="0"/>
            </w:tcBorders>
            <w:shd w:val="clear" w:color="auto" w:fill="D9D9D9"/>
            <w:vAlign w:val="top"/>
          </w:tcPr>
          <w:p>
            <w:pPr>
              <w:pStyle w:val="8"/>
              <w:spacing w:before="36" w:line="198" w:lineRule="auto"/>
              <w:jc w:val="right"/>
            </w:pPr>
            <w:r>
              <w:rPr>
                <w:spacing w:val="-3"/>
              </w:rPr>
              <w:t>公司债券上市交易后，公司有下列情形之一的， 由</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580" w:type="dxa"/>
            <w:gridSpan w:val="12"/>
            <w:tcBorders>
              <w:left w:val="single" w:color="000000" w:sz="6" w:space="0"/>
            </w:tcBorders>
            <w:shd w:val="clear" w:color="auto" w:fill="D9D9D9"/>
            <w:vAlign w:val="top"/>
          </w:tcPr>
          <w:p>
            <w:pPr>
              <w:pStyle w:val="8"/>
              <w:spacing w:before="39" w:line="195" w:lineRule="auto"/>
              <w:ind w:left="23"/>
            </w:pPr>
            <w:r>
              <w:rPr>
                <w:spacing w:val="-5"/>
              </w:rPr>
              <w:t>证券交易所决定暂停其公司债券上市交易：</w:t>
            </w:r>
          </w:p>
        </w:tc>
        <w:tc>
          <w:tcPr>
            <w:tcW w:w="2514" w:type="dxa"/>
            <w:gridSpan w:val="7"/>
            <w:vMerge w:val="restart"/>
            <w:tcBorders>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17" w:type="dxa"/>
            <w:vMerge w:val="restart"/>
            <w:tcBorders>
              <w:left w:val="single" w:color="000000" w:sz="6" w:space="0"/>
              <w:bottom w:val="nil"/>
            </w:tcBorders>
            <w:vAlign w:val="top"/>
          </w:tcPr>
          <w:p>
            <w:pPr>
              <w:rPr>
                <w:rFonts w:ascii="Arial"/>
                <w:sz w:val="21"/>
              </w:rPr>
            </w:pPr>
          </w:p>
        </w:tc>
        <w:tc>
          <w:tcPr>
            <w:tcW w:w="3121" w:type="dxa"/>
            <w:gridSpan w:val="8"/>
            <w:shd w:val="clear" w:color="auto" w:fill="D9D9D9"/>
            <w:vAlign w:val="top"/>
          </w:tcPr>
          <w:p>
            <w:pPr>
              <w:pStyle w:val="8"/>
              <w:spacing w:before="42" w:line="200" w:lineRule="auto"/>
            </w:pPr>
            <w:r>
              <w:rPr>
                <w:spacing w:val="-5"/>
              </w:rPr>
              <w:t>（一）公司有重大违法行为；</w:t>
            </w:r>
          </w:p>
        </w:tc>
        <w:tc>
          <w:tcPr>
            <w:tcW w:w="942" w:type="dxa"/>
            <w:gridSpan w:val="3"/>
            <w:tcBorders>
              <w:right w:val="nil"/>
            </w:tcBorders>
            <w:vAlign w:val="top"/>
          </w:tcPr>
          <w:p>
            <w:pPr>
              <w:rPr>
                <w:rFonts w:ascii="Arial"/>
                <w:sz w:val="21"/>
              </w:rPr>
            </w:pPr>
          </w:p>
        </w:tc>
        <w:tc>
          <w:tcPr>
            <w:tcW w:w="2514" w:type="dxa"/>
            <w:gridSpan w:val="7"/>
            <w:vMerge w:val="continue"/>
            <w:tcBorders>
              <w:top w:val="nil"/>
              <w:left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17" w:type="dxa"/>
            <w:vMerge w:val="continue"/>
            <w:tcBorders>
              <w:top w:val="nil"/>
              <w:left w:val="single" w:color="000000" w:sz="6" w:space="0"/>
              <w:bottom w:val="nil"/>
            </w:tcBorders>
            <w:vAlign w:val="top"/>
          </w:tcPr>
          <w:p>
            <w:pPr>
              <w:rPr>
                <w:rFonts w:ascii="Arial"/>
                <w:sz w:val="21"/>
              </w:rPr>
            </w:pPr>
          </w:p>
        </w:tc>
        <w:tc>
          <w:tcPr>
            <w:tcW w:w="6000" w:type="dxa"/>
            <w:gridSpan w:val="16"/>
            <w:shd w:val="clear" w:color="auto" w:fill="D9D9D9"/>
            <w:vAlign w:val="top"/>
          </w:tcPr>
          <w:p>
            <w:pPr>
              <w:pStyle w:val="8"/>
              <w:spacing w:before="36" w:line="201" w:lineRule="auto"/>
            </w:pPr>
            <w:r>
              <w:rPr>
                <w:spacing w:val="-3"/>
              </w:rPr>
              <w:t>（二）公司情况发生重大变化不符合公司债券上市条件；</w:t>
            </w:r>
          </w:p>
        </w:tc>
        <w:tc>
          <w:tcPr>
            <w:tcW w:w="577" w:type="dxa"/>
            <w:gridSpan w:val="2"/>
            <w:tcBorders>
              <w:top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7" w:type="dxa"/>
            <w:vMerge w:val="continue"/>
            <w:tcBorders>
              <w:top w:val="nil"/>
              <w:left w:val="single" w:color="000000" w:sz="6" w:space="0"/>
              <w:bottom w:val="nil"/>
            </w:tcBorders>
            <w:vAlign w:val="top"/>
          </w:tcPr>
          <w:p>
            <w:pPr>
              <w:rPr>
                <w:rFonts w:ascii="Arial"/>
                <w:sz w:val="21"/>
              </w:rPr>
            </w:pPr>
          </w:p>
        </w:tc>
        <w:tc>
          <w:tcPr>
            <w:tcW w:w="5546" w:type="dxa"/>
            <w:gridSpan w:val="15"/>
            <w:shd w:val="clear" w:color="auto" w:fill="D9D9D9"/>
            <w:vAlign w:val="top"/>
          </w:tcPr>
          <w:p>
            <w:pPr>
              <w:pStyle w:val="8"/>
              <w:spacing w:before="35" w:line="198" w:lineRule="auto"/>
            </w:pPr>
            <w:r>
              <w:rPr>
                <w:spacing w:val="-3"/>
              </w:rPr>
              <w:t>（三）公司债券所募集资金不按照核准的用途使用；</w:t>
            </w:r>
          </w:p>
        </w:tc>
        <w:tc>
          <w:tcPr>
            <w:tcW w:w="1031" w:type="dxa"/>
            <w:gridSpan w:val="3"/>
            <w:vMerge w:val="restart"/>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17" w:type="dxa"/>
            <w:vMerge w:val="continue"/>
            <w:tcBorders>
              <w:top w:val="nil"/>
              <w:left w:val="single" w:color="000000" w:sz="6" w:space="0"/>
              <w:bottom w:val="nil"/>
            </w:tcBorders>
            <w:vAlign w:val="top"/>
          </w:tcPr>
          <w:p>
            <w:pPr>
              <w:rPr>
                <w:rFonts w:ascii="Arial"/>
                <w:sz w:val="21"/>
              </w:rPr>
            </w:pPr>
          </w:p>
        </w:tc>
        <w:tc>
          <w:tcPr>
            <w:tcW w:w="4599" w:type="dxa"/>
            <w:gridSpan w:val="12"/>
            <w:shd w:val="clear" w:color="auto" w:fill="D9D9D9"/>
            <w:vAlign w:val="top"/>
          </w:tcPr>
          <w:p>
            <w:pPr>
              <w:pStyle w:val="8"/>
              <w:spacing w:before="36" w:line="197" w:lineRule="auto"/>
            </w:pPr>
            <w:r>
              <w:rPr>
                <w:spacing w:val="-4"/>
              </w:rPr>
              <w:t>（四）未按照公司债券募集办法履行义务；</w:t>
            </w:r>
          </w:p>
        </w:tc>
        <w:tc>
          <w:tcPr>
            <w:tcW w:w="947" w:type="dxa"/>
            <w:gridSpan w:val="3"/>
            <w:vMerge w:val="restart"/>
            <w:tcBorders>
              <w:left w:val="nil"/>
              <w:bottom w:val="nil"/>
              <w:right w:val="nil"/>
            </w:tcBorders>
            <w:vAlign w:val="top"/>
          </w:tcPr>
          <w:p>
            <w:pPr>
              <w:rPr>
                <w:rFonts w:ascii="Arial"/>
                <w:sz w:val="21"/>
              </w:rPr>
            </w:pPr>
          </w:p>
        </w:tc>
        <w:tc>
          <w:tcPr>
            <w:tcW w:w="1031" w:type="dxa"/>
            <w:gridSpan w:val="3"/>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17" w:type="dxa"/>
            <w:vMerge w:val="continue"/>
            <w:tcBorders>
              <w:top w:val="nil"/>
              <w:left w:val="single" w:color="000000" w:sz="6" w:space="0"/>
              <w:bottom w:val="nil"/>
            </w:tcBorders>
            <w:vAlign w:val="top"/>
          </w:tcPr>
          <w:p>
            <w:pPr>
              <w:rPr>
                <w:rFonts w:ascii="Arial"/>
                <w:sz w:val="21"/>
              </w:rPr>
            </w:pPr>
          </w:p>
        </w:tc>
        <w:tc>
          <w:tcPr>
            <w:tcW w:w="3361" w:type="dxa"/>
            <w:gridSpan w:val="9"/>
            <w:shd w:val="clear" w:color="auto" w:fill="D9D9D9"/>
            <w:vAlign w:val="top"/>
          </w:tcPr>
          <w:p>
            <w:pPr>
              <w:pStyle w:val="8"/>
              <w:spacing w:before="40" w:line="198" w:lineRule="auto"/>
            </w:pPr>
            <w:r>
              <w:rPr>
                <w:spacing w:val="-4"/>
              </w:rPr>
              <w:t>（五）公司最近二年连续亏损。</w:t>
            </w:r>
          </w:p>
        </w:tc>
        <w:tc>
          <w:tcPr>
            <w:tcW w:w="1238" w:type="dxa"/>
            <w:gridSpan w:val="3"/>
            <w:tcBorders>
              <w:right w:val="nil"/>
            </w:tcBorders>
            <w:vAlign w:val="top"/>
          </w:tcPr>
          <w:p>
            <w:pPr>
              <w:rPr>
                <w:rFonts w:ascii="Arial"/>
                <w:sz w:val="21"/>
              </w:rPr>
            </w:pPr>
          </w:p>
        </w:tc>
        <w:tc>
          <w:tcPr>
            <w:tcW w:w="947" w:type="dxa"/>
            <w:gridSpan w:val="3"/>
            <w:vMerge w:val="continue"/>
            <w:tcBorders>
              <w:top w:val="nil"/>
              <w:left w:val="nil"/>
              <w:right w:val="nil"/>
            </w:tcBorders>
            <w:vAlign w:val="top"/>
          </w:tcPr>
          <w:p>
            <w:pPr>
              <w:rPr>
                <w:rFonts w:ascii="Arial"/>
                <w:sz w:val="21"/>
              </w:rPr>
            </w:pPr>
          </w:p>
        </w:tc>
        <w:tc>
          <w:tcPr>
            <w:tcW w:w="1031" w:type="dxa"/>
            <w:gridSpan w:val="3"/>
            <w:vMerge w:val="continue"/>
            <w:tcBorders>
              <w:top w:val="nil"/>
              <w:left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17" w:type="dxa"/>
            <w:vMerge w:val="continue"/>
            <w:tcBorders>
              <w:top w:val="nil"/>
              <w:left w:val="single" w:color="000000" w:sz="6" w:space="0"/>
            </w:tcBorders>
            <w:vAlign w:val="top"/>
          </w:tcPr>
          <w:p>
            <w:pPr>
              <w:rPr>
                <w:rFonts w:ascii="Arial"/>
                <w:sz w:val="21"/>
              </w:rPr>
            </w:pPr>
          </w:p>
        </w:tc>
        <w:tc>
          <w:tcPr>
            <w:tcW w:w="1465" w:type="dxa"/>
            <w:gridSpan w:val="4"/>
            <w:tcBorders>
              <w:left w:val="nil"/>
            </w:tcBorders>
            <w:vAlign w:val="top"/>
          </w:tcPr>
          <w:p>
            <w:pPr>
              <w:spacing w:before="38" w:line="198" w:lineRule="auto"/>
              <w:ind w:left="1"/>
              <w:rPr>
                <w:rFonts w:ascii="黑体" w:hAnsi="黑体" w:eastAsia="黑体" w:cs="黑体"/>
                <w:sz w:val="24"/>
                <w:szCs w:val="24"/>
              </w:rPr>
            </w:pPr>
            <w:r>
              <w:rPr>
                <w:rFonts w:ascii="黑体" w:hAnsi="黑体" w:eastAsia="黑体" w:cs="黑体"/>
                <w:spacing w:val="1"/>
                <w:sz w:val="24"/>
                <w:szCs w:val="24"/>
              </w:rPr>
              <w:t>第六十一条</w:t>
            </w:r>
          </w:p>
        </w:tc>
        <w:tc>
          <w:tcPr>
            <w:tcW w:w="5112" w:type="dxa"/>
            <w:gridSpan w:val="14"/>
            <w:tcBorders>
              <w:right w:val="single" w:color="000000" w:sz="6" w:space="0"/>
            </w:tcBorders>
            <w:shd w:val="clear" w:color="auto" w:fill="D9D9D9"/>
            <w:vAlign w:val="top"/>
          </w:tcPr>
          <w:p>
            <w:pPr>
              <w:pStyle w:val="8"/>
              <w:spacing w:before="39" w:line="197" w:lineRule="auto"/>
              <w:jc w:val="right"/>
            </w:pPr>
            <w:r>
              <w:rPr>
                <w:spacing w:val="-4"/>
              </w:rPr>
              <w:t>公司有前条第（一）项、第（四） 项所列情形之</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094" w:type="dxa"/>
            <w:gridSpan w:val="19"/>
            <w:tcBorders>
              <w:left w:val="single" w:color="000000" w:sz="6" w:space="0"/>
              <w:right w:val="single" w:color="000000" w:sz="6" w:space="0"/>
            </w:tcBorders>
            <w:shd w:val="clear" w:color="auto" w:fill="D9D9D9"/>
            <w:vAlign w:val="top"/>
          </w:tcPr>
          <w:p>
            <w:pPr>
              <w:pStyle w:val="8"/>
              <w:spacing w:before="37" w:line="200" w:lineRule="auto"/>
              <w:jc w:val="right"/>
            </w:pPr>
            <w:r>
              <w:rPr>
                <w:spacing w:val="11"/>
              </w:rPr>
              <w:t>一经查实后果严重的，或者有前条第（二）项、第（三）项、第</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094" w:type="dxa"/>
            <w:gridSpan w:val="19"/>
            <w:tcBorders>
              <w:left w:val="single" w:color="000000" w:sz="6" w:space="0"/>
              <w:right w:val="single" w:color="000000" w:sz="6" w:space="0"/>
            </w:tcBorders>
            <w:shd w:val="clear" w:color="auto" w:fill="D9D9D9"/>
            <w:vAlign w:val="top"/>
          </w:tcPr>
          <w:p>
            <w:pPr>
              <w:pStyle w:val="8"/>
              <w:spacing w:before="38" w:line="196" w:lineRule="auto"/>
              <w:ind w:left="6"/>
            </w:pPr>
            <w:r>
              <w:rPr>
                <w:spacing w:val="-1"/>
              </w:rPr>
              <w:t>（五）项所列情形之一，在限期内未能消除的， 由证券交易所决定</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902" w:type="dxa"/>
            <w:gridSpan w:val="8"/>
            <w:tcBorders>
              <w:left w:val="single" w:color="000000" w:sz="6" w:space="0"/>
            </w:tcBorders>
            <w:shd w:val="clear" w:color="auto" w:fill="D9D9D9"/>
            <w:vAlign w:val="top"/>
          </w:tcPr>
          <w:p>
            <w:pPr>
              <w:pStyle w:val="8"/>
              <w:spacing w:before="42" w:line="196" w:lineRule="auto"/>
              <w:ind w:left="16"/>
            </w:pPr>
            <w:r>
              <w:rPr>
                <w:spacing w:val="-5"/>
              </w:rPr>
              <w:t>终止其公司债券上市交易。</w:t>
            </w:r>
          </w:p>
        </w:tc>
        <w:tc>
          <w:tcPr>
            <w:tcW w:w="4192" w:type="dxa"/>
            <w:gridSpan w:val="11"/>
            <w:tcBorders>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094" w:type="dxa"/>
            <w:gridSpan w:val="19"/>
            <w:tcBorders>
              <w:left w:val="single" w:color="000000" w:sz="6" w:space="0"/>
              <w:bottom w:val="nil"/>
              <w:right w:val="single" w:color="000000" w:sz="6" w:space="0"/>
            </w:tcBorders>
            <w:vAlign w:val="top"/>
          </w:tcPr>
          <w:p>
            <w:pPr>
              <w:pStyle w:val="8"/>
              <w:tabs>
                <w:tab w:val="left" w:pos="502"/>
              </w:tabs>
              <w:spacing w:before="9" w:line="239" w:lineRule="auto"/>
              <w:ind w:left="25" w:hanging="19"/>
            </w:pPr>
            <w:r>
              <w:rPr>
                <w:u w:val="single" w:color="auto"/>
              </w:rPr>
              <w:tab/>
            </w:r>
            <w:r>
              <w:rPr>
                <w:u w:val="single" w:color="auto"/>
              </w:rPr>
              <w:tab/>
            </w:r>
            <w:r>
              <w:rPr>
                <w:position w:val="-6"/>
              </w:rPr>
              <w:drawing>
                <wp:inline distT="0" distB="0" distL="0" distR="0">
                  <wp:extent cx="1270" cy="19304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84"/>
                          <a:stretch>
                            <a:fillRect/>
                          </a:stretch>
                        </pic:blipFill>
                        <pic:spPr>
                          <a:xfrm>
                            <a:off x="0" y="0"/>
                            <a:ext cx="1828" cy="193548"/>
                          </a:xfrm>
                          <a:prstGeom prst="rect">
                            <a:avLst/>
                          </a:prstGeom>
                        </pic:spPr>
                      </pic:pic>
                    </a:graphicData>
                  </a:graphic>
                </wp:inline>
              </w:drawing>
            </w:r>
            <w:r>
              <w:rPr>
                <w:spacing w:val="3"/>
                <w:u w:val="single" w:color="auto"/>
                <w:shd w:val="clear" w:fill="D9D9D9"/>
              </w:rPr>
              <w:t>公司解散或者被宣告破产的，由证券交易所终止其公司债券上</w:t>
            </w:r>
            <w:r>
              <w:rPr>
                <w:spacing w:val="11"/>
              </w:rPr>
              <w:t xml:space="preserve"> </w:t>
            </w:r>
            <w:r>
              <w:rPr>
                <w:spacing w:val="-36"/>
                <w:u w:val="single" w:color="auto"/>
                <w:shd w:val="clear" w:fill="D9D9D9"/>
              </w:rPr>
              <w:t>市交易。</w:t>
            </w:r>
            <w:r>
              <w:rPr>
                <w:spacing w:val="2"/>
                <w:u w:val="single" w:color="auto"/>
                <w:shd w:val="clear" w:fill="D9D9D9"/>
              </w:rPr>
              <w:t xml:space="preserve"> </w:t>
            </w:r>
            <w:r>
              <w:rPr>
                <w:position w:val="-7"/>
              </w:rPr>
              <w:drawing>
                <wp:inline distT="0" distB="0" distL="0" distR="0">
                  <wp:extent cx="1270" cy="19494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84"/>
                          <a:stretch>
                            <a:fillRect/>
                          </a:stretch>
                        </pic:blipFill>
                        <pic:spPr>
                          <a:xfrm>
                            <a:off x="0" y="0"/>
                            <a:ext cx="1522" cy="195072"/>
                          </a:xfrm>
                          <a:prstGeom prst="rect">
                            <a:avLst/>
                          </a:prstGeom>
                        </pic:spPr>
                      </pic:pic>
                    </a:graphicData>
                  </a:graphic>
                </wp:inline>
              </w:drawing>
            </w:r>
            <w:r>
              <w:rPr>
                <w:spacing w:val="3"/>
              </w:rPr>
              <w:t xml:space="preserve">                   </w:t>
            </w:r>
            <w:r>
              <w:rPr>
                <w:spacing w:val="2"/>
              </w:rPr>
              <w:t xml:space="preserve">   </w:t>
            </w:r>
            <w:r>
              <w:rPr>
                <w:position w:val="-7"/>
              </w:rPr>
              <w:drawing>
                <wp:inline distT="0" distB="0" distL="0" distR="0">
                  <wp:extent cx="1270" cy="127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74"/>
                          <a:stretch>
                            <a:fillRect/>
                          </a:stretch>
                        </pic:blipFill>
                        <pic:spPr>
                          <a:xfrm>
                            <a:off x="0" y="0"/>
                            <a:ext cx="1522" cy="1523"/>
                          </a:xfrm>
                          <a:prstGeom prst="rect">
                            <a:avLst/>
                          </a:prstGeom>
                        </pic:spPr>
                      </pic:pic>
                    </a:graphicData>
                  </a:graphic>
                </wp:inline>
              </w:drawing>
            </w:r>
            <w:r>
              <w:rPr>
                <w:spacing w:val="2"/>
                <w:u w:val="single" w:color="auto"/>
              </w:rPr>
              <w:t xml:space="preserve">        </w:t>
            </w:r>
            <w:r>
              <w:rPr>
                <w:position w:val="-7"/>
              </w:rPr>
              <w:drawing>
                <wp:inline distT="0" distB="0" distL="0" distR="0">
                  <wp:extent cx="1270" cy="127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74"/>
                          <a:stretch>
                            <a:fillRect/>
                          </a:stretch>
                        </pic:blipFill>
                        <pic:spPr>
                          <a:xfrm>
                            <a:off x="0" y="0"/>
                            <a:ext cx="1522" cy="1523"/>
                          </a:xfrm>
                          <a:prstGeom prst="rect">
                            <a:avLst/>
                          </a:prstGeom>
                        </pic:spPr>
                      </pic:pic>
                    </a:graphicData>
                  </a:graphic>
                </wp:inline>
              </w:drawing>
            </w:r>
          </w:p>
          <w:p>
            <w:pPr>
              <w:pStyle w:val="8"/>
              <w:spacing w:line="220" w:lineRule="auto"/>
              <w:jc w:val="right"/>
            </w:pPr>
            <w:r>
              <w:rPr>
                <w:rFonts w:ascii="黑体" w:hAnsi="黑体" w:eastAsia="黑体" w:cs="黑体"/>
                <w:spacing w:val="1"/>
              </w:rPr>
              <w:t xml:space="preserve">第七十二条  </w:t>
            </w:r>
            <w:r>
              <w:rPr>
                <w:spacing w:val="1"/>
              </w:rPr>
              <w:t>证券交易所决定</w:t>
            </w:r>
            <w:r>
              <w:rPr>
                <w:position w:val="-6"/>
              </w:rPr>
              <w:drawing>
                <wp:inline distT="0" distB="0" distL="0" distR="0">
                  <wp:extent cx="3810" cy="18161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92"/>
                          <a:stretch>
                            <a:fillRect/>
                          </a:stretch>
                        </pic:blipFill>
                        <pic:spPr>
                          <a:xfrm>
                            <a:off x="0" y="0"/>
                            <a:ext cx="4152" cy="181736"/>
                          </a:xfrm>
                          <a:prstGeom prst="rect">
                            <a:avLst/>
                          </a:prstGeom>
                        </pic:spPr>
                      </pic:pic>
                    </a:graphicData>
                  </a:graphic>
                </wp:inline>
              </w:drawing>
            </w:r>
            <w:r>
              <w:rPr>
                <w:spacing w:val="1"/>
                <w:shd w:val="clear" w:fill="D9D9D9"/>
              </w:rPr>
              <w:t>暂停或者</w:t>
            </w:r>
            <w:r>
              <w:rPr>
                <w:position w:val="-6"/>
              </w:rPr>
              <w:drawing>
                <wp:inline distT="0" distB="0" distL="0" distR="0">
                  <wp:extent cx="3810" cy="18161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3"/>
                          <a:stretch>
                            <a:fillRect/>
                          </a:stretch>
                        </pic:blipFill>
                        <pic:spPr>
                          <a:xfrm>
                            <a:off x="0" y="0"/>
                            <a:ext cx="4152" cy="181736"/>
                          </a:xfrm>
                          <a:prstGeom prst="rect">
                            <a:avLst/>
                          </a:prstGeom>
                        </pic:spPr>
                      </pic:pic>
                    </a:graphicData>
                  </a:graphic>
                </wp:inline>
              </w:drawing>
            </w:r>
            <w:r>
              <w:rPr>
                <w:spacing w:val="1"/>
              </w:rPr>
              <w:t>终止证券上市交</w:t>
            </w:r>
            <w:r>
              <w:t>易的，</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94" w:type="dxa"/>
            <w:gridSpan w:val="19"/>
            <w:tcBorders>
              <w:top w:val="nil"/>
              <w:left w:val="single" w:color="000000" w:sz="6" w:space="0"/>
              <w:bottom w:val="single" w:color="000000" w:sz="6" w:space="0"/>
              <w:right w:val="single" w:color="000000" w:sz="6" w:space="0"/>
            </w:tcBorders>
            <w:vAlign w:val="top"/>
          </w:tcPr>
          <w:p>
            <w:pPr>
              <w:pStyle w:val="8"/>
              <w:spacing w:before="48" w:line="206" w:lineRule="auto"/>
              <w:ind w:left="19"/>
            </w:pPr>
            <w:r>
              <w:rPr>
                <w:spacing w:val="-3"/>
              </w:rPr>
              <w:t>应当及时公告，并报国务院证券监督管理机构备案。</w:t>
            </w: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329" w:type="dxa"/>
            <w:gridSpan w:val="14"/>
            <w:tcBorders>
              <w:top w:val="single" w:color="000000" w:sz="6" w:space="0"/>
              <w:left w:val="single" w:color="000000" w:sz="6" w:space="0"/>
              <w:bottom w:val="nil"/>
            </w:tcBorders>
            <w:vAlign w:val="top"/>
          </w:tcPr>
          <w:p>
            <w:pPr>
              <w:pStyle w:val="8"/>
              <w:spacing w:before="34" w:line="192" w:lineRule="auto"/>
              <w:jc w:val="right"/>
            </w:pPr>
            <w:r>
              <w:rPr>
                <w:rFonts w:ascii="黑体" w:hAnsi="黑体" w:eastAsia="黑体" w:cs="黑体"/>
              </w:rPr>
              <w:t xml:space="preserve">第六十二条  </w:t>
            </w:r>
            <w:r>
              <w:t>对证券交易所作出的不予上市、</w:t>
            </w:r>
          </w:p>
        </w:tc>
        <w:tc>
          <w:tcPr>
            <w:tcW w:w="1250" w:type="dxa"/>
            <w:gridSpan w:val="4"/>
            <w:tcBorders>
              <w:top w:val="single" w:color="000000" w:sz="6" w:space="0"/>
            </w:tcBorders>
            <w:shd w:val="clear" w:color="auto" w:fill="D9D9D9"/>
            <w:vAlign w:val="top"/>
          </w:tcPr>
          <w:p>
            <w:pPr>
              <w:pStyle w:val="8"/>
              <w:spacing w:before="35" w:line="191" w:lineRule="auto"/>
              <w:jc w:val="right"/>
            </w:pPr>
            <w:r>
              <w:rPr>
                <w:spacing w:val="-10"/>
              </w:rPr>
              <w:t>暂停上市、</w:t>
            </w:r>
          </w:p>
        </w:tc>
        <w:tc>
          <w:tcPr>
            <w:tcW w:w="515" w:type="dxa"/>
            <w:vMerge w:val="restart"/>
            <w:tcBorders>
              <w:top w:val="single" w:color="000000" w:sz="6" w:space="0"/>
              <w:left w:val="nil"/>
              <w:bottom w:val="nil"/>
              <w:right w:val="single" w:color="000000" w:sz="6" w:space="0"/>
            </w:tcBorders>
            <w:vAlign w:val="top"/>
          </w:tcPr>
          <w:p>
            <w:pPr>
              <w:pStyle w:val="8"/>
              <w:spacing w:before="36" w:line="220" w:lineRule="auto"/>
              <w:jc w:val="right"/>
            </w:pPr>
            <w:r>
              <w:rPr>
                <w:spacing w:val="-9"/>
              </w:rPr>
              <w:t>终止</w:t>
            </w:r>
          </w:p>
        </w:tc>
        <w:tc>
          <w:tcPr>
            <w:tcW w:w="6813" w:type="dxa"/>
            <w:vMerge w:val="restart"/>
            <w:tcBorders>
              <w:top w:val="single" w:color="000000" w:sz="6" w:space="0"/>
              <w:left w:val="single" w:color="000000" w:sz="6" w:space="0"/>
              <w:bottom w:val="nil"/>
              <w:right w:val="single" w:color="000000" w:sz="6" w:space="0"/>
            </w:tcBorders>
            <w:vAlign w:val="top"/>
          </w:tcPr>
          <w:p>
            <w:pPr>
              <w:pStyle w:val="8"/>
              <w:spacing w:before="36" w:line="224" w:lineRule="auto"/>
              <w:ind w:left="26" w:right="4" w:firstLine="490"/>
            </w:pPr>
            <w:r>
              <w:rPr>
                <w:rFonts w:ascii="黑体" w:hAnsi="黑体" w:eastAsia="黑体" w:cs="黑体"/>
                <w:spacing w:val="1"/>
              </w:rPr>
              <w:t xml:space="preserve">第四十九条  </w:t>
            </w:r>
            <w:r>
              <w:rPr>
                <w:spacing w:val="1"/>
              </w:rPr>
              <w:t>对证券交易所作出的不予上市交易、终止上市</w:t>
            </w:r>
            <w:r>
              <w:rPr>
                <w:spacing w:val="8"/>
              </w:rPr>
              <w:t xml:space="preserve"> </w:t>
            </w:r>
            <w:r>
              <w:rPr>
                <w:spacing w:val="-8"/>
              </w:rPr>
              <w:t>交易决定不服的，</w:t>
            </w:r>
            <w:r>
              <w:rPr>
                <w:spacing w:val="85"/>
              </w:rPr>
              <w:t xml:space="preserve"> </w:t>
            </w:r>
            <w:r>
              <w:rPr>
                <w:spacing w:val="-8"/>
              </w:rPr>
              <w:t>可以向证券交易所设立的复核机构申请复核。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579" w:type="dxa"/>
            <w:gridSpan w:val="18"/>
            <w:tcBorders>
              <w:top w:val="nil"/>
              <w:left w:val="single" w:color="000000" w:sz="6" w:space="0"/>
              <w:bottom w:val="single" w:color="000000" w:sz="6" w:space="0"/>
              <w:right w:val="nil"/>
            </w:tcBorders>
            <w:vAlign w:val="top"/>
          </w:tcPr>
          <w:p>
            <w:pPr>
              <w:pStyle w:val="8"/>
              <w:spacing w:before="49" w:line="208" w:lineRule="auto"/>
              <w:jc w:val="right"/>
            </w:pPr>
            <w:r>
              <w:rPr>
                <w:spacing w:val="-6"/>
              </w:rPr>
              <w:t>上市决定不服的，可以向证券交易所设立的复核机构申请复核。</w:t>
            </w:r>
          </w:p>
        </w:tc>
        <w:tc>
          <w:tcPr>
            <w:tcW w:w="515" w:type="dxa"/>
            <w:vMerge w:val="continue"/>
            <w:tcBorders>
              <w:top w:val="nil"/>
              <w:left w:val="nil"/>
              <w:bottom w:val="single" w:color="000000" w:sz="6" w:space="0"/>
              <w:right w:val="single" w:color="000000" w:sz="6" w:space="0"/>
            </w:tcBorders>
            <w:vAlign w:val="top"/>
          </w:tcPr>
          <w:p>
            <w:pPr>
              <w:rPr>
                <w:rFonts w:ascii="Arial"/>
                <w:sz w:val="21"/>
              </w:rPr>
            </w:pP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spacing w:line="209" w:lineRule="exact"/>
        <w:rPr>
          <w:rFonts w:ascii="Arial"/>
          <w:sz w:val="18"/>
        </w:rPr>
      </w:pPr>
    </w:p>
    <w:p>
      <w:pPr>
        <w:spacing w:line="209" w:lineRule="exact"/>
        <w:rPr>
          <w:rFonts w:ascii="Arial" w:hAnsi="Arial" w:eastAsia="Arial" w:cs="Arial"/>
          <w:sz w:val="18"/>
          <w:szCs w:val="18"/>
        </w:rPr>
        <w:sectPr>
          <w:footerReference r:id="rId19"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727"/>
        <w:gridCol w:w="1108"/>
        <w:gridCol w:w="597"/>
        <w:gridCol w:w="440"/>
        <w:gridCol w:w="968"/>
        <w:gridCol w:w="396"/>
        <w:gridCol w:w="2341"/>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355" w:type="dxa"/>
            <w:gridSpan w:val="3"/>
            <w:vMerge w:val="restart"/>
            <w:tcBorders>
              <w:bottom w:val="nil"/>
              <w:right w:val="single" w:color="000000" w:sz="2" w:space="0"/>
            </w:tcBorders>
            <w:vAlign w:val="top"/>
          </w:tcPr>
          <w:p>
            <w:pPr>
              <w:rPr>
                <w:rFonts w:ascii="Arial"/>
                <w:sz w:val="21"/>
              </w:rPr>
            </w:pPr>
          </w:p>
        </w:tc>
        <w:tc>
          <w:tcPr>
            <w:tcW w:w="2401" w:type="dxa"/>
            <w:gridSpan w:val="4"/>
            <w:tcBorders>
              <w:left w:val="single" w:color="000000" w:sz="2" w:space="0"/>
              <w:bottom w:val="single" w:color="000000" w:sz="2" w:space="0"/>
              <w:right w:val="single" w:color="000000" w:sz="2" w:space="0"/>
            </w:tcBorders>
            <w:shd w:val="clear" w:color="auto" w:fill="D9D9D9"/>
            <w:vAlign w:val="top"/>
          </w:tcPr>
          <w:p>
            <w:pPr>
              <w:spacing w:before="38" w:line="205" w:lineRule="auto"/>
              <w:ind w:left="1"/>
              <w:rPr>
                <w:rFonts w:ascii="黑体" w:hAnsi="黑体" w:eastAsia="黑体" w:cs="黑体"/>
                <w:sz w:val="24"/>
                <w:szCs w:val="24"/>
              </w:rPr>
            </w:pPr>
            <w:r>
              <w:rPr>
                <w:rFonts w:ascii="黑体" w:hAnsi="黑体" w:eastAsia="黑体" w:cs="黑体"/>
                <w:spacing w:val="-1"/>
                <w:sz w:val="24"/>
                <w:szCs w:val="24"/>
              </w:rPr>
              <w:t>第三节  持续信息公开</w:t>
            </w:r>
          </w:p>
        </w:tc>
        <w:tc>
          <w:tcPr>
            <w:tcW w:w="2341" w:type="dxa"/>
            <w:vMerge w:val="restart"/>
            <w:tcBorders>
              <w:left w:val="single" w:color="000000" w:sz="2" w:space="0"/>
              <w:bottom w:val="nil"/>
            </w:tcBorders>
            <w:vAlign w:val="top"/>
          </w:tcPr>
          <w:p>
            <w:pPr>
              <w:rPr>
                <w:rFonts w:ascii="Arial"/>
                <w:sz w:val="21"/>
              </w:rPr>
            </w:pPr>
          </w:p>
        </w:tc>
        <w:tc>
          <w:tcPr>
            <w:tcW w:w="6810" w:type="dxa"/>
            <w:vMerge w:val="restart"/>
            <w:tcBorders>
              <w:bottom w:val="nil"/>
            </w:tcBorders>
            <w:vAlign w:val="top"/>
          </w:tcPr>
          <w:p>
            <w:pPr>
              <w:spacing w:before="40" w:line="222" w:lineRule="auto"/>
              <w:ind w:left="2341"/>
              <w:rPr>
                <w:rFonts w:ascii="黑体" w:hAnsi="黑体" w:eastAsia="黑体" w:cs="黑体"/>
                <w:sz w:val="24"/>
                <w:szCs w:val="24"/>
              </w:rPr>
            </w:pPr>
            <w:r>
              <w:rPr>
                <w:rFonts w:ascii="黑体" w:hAnsi="黑体" w:eastAsia="黑体" w:cs="黑体"/>
                <w:spacing w:val="-5"/>
                <w:sz w:val="24"/>
                <w:szCs w:val="24"/>
              </w:rPr>
              <w:t>（内容移至第五章）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2355" w:type="dxa"/>
            <w:gridSpan w:val="3"/>
            <w:vMerge w:val="continue"/>
            <w:tcBorders>
              <w:top w:val="nil"/>
              <w:right w:val="single" w:color="000000" w:sz="2" w:space="0"/>
            </w:tcBorders>
            <w:vAlign w:val="top"/>
          </w:tcPr>
          <w:p>
            <w:pPr>
              <w:rPr>
                <w:rFonts w:ascii="Arial"/>
                <w:sz w:val="21"/>
              </w:rPr>
            </w:pPr>
          </w:p>
        </w:tc>
        <w:tc>
          <w:tcPr>
            <w:tcW w:w="2401" w:type="dxa"/>
            <w:gridSpan w:val="4"/>
            <w:tcBorders>
              <w:top w:val="single" w:color="000000" w:sz="2" w:space="0"/>
              <w:left w:val="nil"/>
              <w:right w:val="nil"/>
            </w:tcBorders>
            <w:vAlign w:val="top"/>
          </w:tcPr>
          <w:p>
            <w:pPr>
              <w:spacing w:line="229" w:lineRule="exact"/>
              <w:rPr>
                <w:rFonts w:ascii="Arial"/>
                <w:sz w:val="19"/>
              </w:rPr>
            </w:pPr>
          </w:p>
        </w:tc>
        <w:tc>
          <w:tcPr>
            <w:tcW w:w="2341" w:type="dxa"/>
            <w:vMerge w:val="continue"/>
            <w:tcBorders>
              <w:top w:val="nil"/>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7097" w:type="dxa"/>
            <w:gridSpan w:val="8"/>
            <w:vAlign w:val="top"/>
          </w:tcPr>
          <w:p>
            <w:pPr>
              <w:spacing w:before="27" w:line="222" w:lineRule="auto"/>
              <w:ind w:left="2231"/>
              <w:rPr>
                <w:rFonts w:ascii="黑体" w:hAnsi="黑体" w:eastAsia="黑体" w:cs="黑体"/>
                <w:sz w:val="24"/>
                <w:szCs w:val="24"/>
              </w:rPr>
            </w:pPr>
            <w:r>
              <w:rPr>
                <w:rFonts w:ascii="黑体" w:hAnsi="黑体" w:eastAsia="黑体" w:cs="黑体"/>
                <w:spacing w:val="-1"/>
                <w:sz w:val="24"/>
                <w:szCs w:val="24"/>
              </w:rPr>
              <w:t>第四节  禁止的交易行为</w:t>
            </w:r>
          </w:p>
        </w:tc>
        <w:tc>
          <w:tcPr>
            <w:tcW w:w="6810" w:type="dxa"/>
            <w:vAlign w:val="top"/>
          </w:tcPr>
          <w:p>
            <w:pPr>
              <w:spacing w:before="27" w:line="222" w:lineRule="auto"/>
              <w:ind w:left="2085"/>
              <w:rPr>
                <w:rFonts w:ascii="黑体" w:hAnsi="黑体" w:eastAsia="黑体" w:cs="黑体"/>
                <w:sz w:val="24"/>
                <w:szCs w:val="24"/>
              </w:rPr>
            </w:pPr>
            <w:r>
              <w:rPr>
                <w:rFonts w:ascii="黑体" w:hAnsi="黑体" w:eastAsia="黑体" w:cs="黑体"/>
                <w:spacing w:val="-1"/>
                <w:sz w:val="24"/>
                <w:szCs w:val="24"/>
              </w:rPr>
              <w:t>第三节  禁止的交易行为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097" w:type="dxa"/>
            <w:gridSpan w:val="8"/>
            <w:vAlign w:val="top"/>
          </w:tcPr>
          <w:p>
            <w:pPr>
              <w:pStyle w:val="8"/>
              <w:spacing w:before="27" w:line="227" w:lineRule="auto"/>
              <w:ind w:left="6" w:firstLine="506"/>
            </w:pPr>
            <w:r>
              <w:rPr>
                <w:rFonts w:ascii="黑体" w:hAnsi="黑体" w:eastAsia="黑体" w:cs="黑体"/>
                <w:spacing w:val="3"/>
              </w:rPr>
              <w:t xml:space="preserve">第七十三条  </w:t>
            </w:r>
            <w:r>
              <w:rPr>
                <w:spacing w:val="3"/>
              </w:rPr>
              <w:t xml:space="preserve">禁止证券交易内幕信息的知情人和非法获取内幕 </w:t>
            </w:r>
            <w:r>
              <w:rPr>
                <w:spacing w:val="-3"/>
              </w:rPr>
              <w:t>信息的人利用内幕信息从事证券交易活动。</w:t>
            </w:r>
          </w:p>
        </w:tc>
        <w:tc>
          <w:tcPr>
            <w:tcW w:w="6810" w:type="dxa"/>
            <w:vAlign w:val="top"/>
          </w:tcPr>
          <w:p>
            <w:pPr>
              <w:pStyle w:val="8"/>
              <w:spacing w:before="27" w:line="227" w:lineRule="auto"/>
              <w:ind w:left="7" w:right="7" w:firstLine="506"/>
            </w:pPr>
            <w:r>
              <w:rPr>
                <w:rFonts w:ascii="黑体" w:hAnsi="黑体" w:eastAsia="黑体" w:cs="黑体"/>
                <w:spacing w:val="1"/>
              </w:rPr>
              <w:t xml:space="preserve">第五十条  </w:t>
            </w:r>
            <w:r>
              <w:rPr>
                <w:spacing w:val="1"/>
              </w:rPr>
              <w:t>禁止证券交易内幕信息的知情人和非法获取内幕</w:t>
            </w:r>
            <w:r>
              <w:rPr>
                <w:spacing w:val="5"/>
              </w:rPr>
              <w:t xml:space="preserve"> </w:t>
            </w:r>
            <w:r>
              <w:rPr>
                <w:spacing w:val="-3"/>
              </w:rPr>
              <w:t>信息的人利用内幕信息从事证券交易活动。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7097" w:type="dxa"/>
            <w:gridSpan w:val="8"/>
            <w:tcBorders>
              <w:bottom w:val="single" w:color="000000" w:sz="2" w:space="0"/>
            </w:tcBorders>
            <w:vAlign w:val="top"/>
          </w:tcPr>
          <w:p>
            <w:pPr>
              <w:pStyle w:val="8"/>
              <w:spacing w:before="27" w:line="216" w:lineRule="auto"/>
              <w:ind w:left="513"/>
            </w:pPr>
            <w:r>
              <w:rPr>
                <w:rFonts w:ascii="黑体" w:hAnsi="黑体" w:eastAsia="黑体" w:cs="黑体"/>
                <w:spacing w:val="-5"/>
              </w:rPr>
              <w:t xml:space="preserve">第七十四条  </w:t>
            </w:r>
            <w:r>
              <w:rPr>
                <w:position w:val="-7"/>
              </w:rPr>
              <w:drawing>
                <wp:inline distT="0" distB="0" distL="0" distR="0">
                  <wp:extent cx="1270" cy="127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74"/>
                          <a:stretch>
                            <a:fillRect/>
                          </a:stretch>
                        </pic:blipFill>
                        <pic:spPr>
                          <a:xfrm>
                            <a:off x="0" y="0"/>
                            <a:ext cx="1523" cy="1523"/>
                          </a:xfrm>
                          <a:prstGeom prst="rect">
                            <a:avLst/>
                          </a:prstGeom>
                        </pic:spPr>
                      </pic:pic>
                    </a:graphicData>
                  </a:graphic>
                </wp:inline>
              </w:drawing>
            </w:r>
            <w:r>
              <w:rPr>
                <w:spacing w:val="-94"/>
                <w:u w:val="single" w:color="auto"/>
              </w:rPr>
              <w:t xml:space="preserve"> </w:t>
            </w:r>
            <w:r>
              <w:rPr>
                <w:spacing w:val="-5"/>
                <w:u w:val="single" w:color="auto"/>
              </w:rPr>
              <w:t>证</w:t>
            </w:r>
            <w:r>
              <w:rPr>
                <w:spacing w:val="-118"/>
                <w:u w:val="single" w:color="auto"/>
              </w:rPr>
              <w:t xml:space="preserve"> </w:t>
            </w:r>
            <w:r>
              <w:rPr>
                <w:position w:val="-7"/>
              </w:rPr>
              <w:drawing>
                <wp:inline distT="0" distB="0" distL="0" distR="0">
                  <wp:extent cx="1270" cy="127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74"/>
                          <a:stretch>
                            <a:fillRect/>
                          </a:stretch>
                        </pic:blipFill>
                        <pic:spPr>
                          <a:xfrm>
                            <a:off x="0" y="0"/>
                            <a:ext cx="1523" cy="1523"/>
                          </a:xfrm>
                          <a:prstGeom prst="rect">
                            <a:avLst/>
                          </a:prstGeom>
                        </pic:spPr>
                      </pic:pic>
                    </a:graphicData>
                  </a:graphic>
                </wp:inline>
              </w:drawing>
            </w:r>
            <w:r>
              <w:rPr>
                <w:spacing w:val="-112"/>
              </w:rPr>
              <w:t xml:space="preserve"> </w:t>
            </w:r>
            <w:r>
              <w:rPr>
                <w:spacing w:val="-5"/>
              </w:rPr>
              <w:t>券交易内幕信息的知情人包括：</w:t>
            </w:r>
          </w:p>
          <w:p>
            <w:pPr>
              <w:pStyle w:val="8"/>
              <w:spacing w:line="234" w:lineRule="auto"/>
              <w:ind w:left="503"/>
            </w:pPr>
            <w:r>
              <w:rPr>
                <w:spacing w:val="-4"/>
              </w:rPr>
              <w:t>（一）发行人</w:t>
            </w:r>
            <w:r>
              <w:rPr>
                <w:position w:val="-6"/>
              </w:rPr>
              <w:drawing>
                <wp:inline distT="0" distB="0" distL="0" distR="0">
                  <wp:extent cx="5080" cy="1930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76"/>
                          <a:stretch>
                            <a:fillRect/>
                          </a:stretch>
                        </pic:blipFill>
                        <pic:spPr>
                          <a:xfrm>
                            <a:off x="0" y="0"/>
                            <a:ext cx="5384" cy="193547"/>
                          </a:xfrm>
                          <a:prstGeom prst="rect">
                            <a:avLst/>
                          </a:prstGeom>
                        </pic:spPr>
                      </pic:pic>
                    </a:graphicData>
                  </a:graphic>
                </wp:inline>
              </w:drawing>
            </w:r>
            <w:r>
              <w:rPr>
                <w:spacing w:val="-4"/>
                <w:u w:val="single" w:color="auto"/>
                <w:shd w:val="clear" w:fill="D9D9D9"/>
              </w:rPr>
              <w:t>的</w:t>
            </w:r>
            <w:r>
              <w:rPr>
                <w:position w:val="-7"/>
              </w:rPr>
              <w:drawing>
                <wp:inline distT="0" distB="0" distL="0" distR="0">
                  <wp:extent cx="5080" cy="19494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76"/>
                          <a:stretch>
                            <a:fillRect/>
                          </a:stretch>
                        </pic:blipFill>
                        <pic:spPr>
                          <a:xfrm>
                            <a:off x="0" y="0"/>
                            <a:ext cx="5384" cy="195072"/>
                          </a:xfrm>
                          <a:prstGeom prst="rect">
                            <a:avLst/>
                          </a:prstGeom>
                        </pic:spPr>
                      </pic:pic>
                    </a:graphicData>
                  </a:graphic>
                </wp:inline>
              </w:drawing>
            </w:r>
            <w:r>
              <w:rPr>
                <w:spacing w:val="-4"/>
              </w:rPr>
              <w:t>董事、监事、高级管理人员；</w:t>
            </w:r>
          </w:p>
          <w:p>
            <w:pPr>
              <w:pStyle w:val="8"/>
              <w:spacing w:before="36" w:line="228" w:lineRule="auto"/>
              <w:ind w:left="23" w:right="22" w:firstLine="480"/>
            </w:pPr>
            <w:r>
              <w:rPr>
                <w:spacing w:val="3"/>
              </w:rPr>
              <w:t>（二）持有公司百分之五以上股份的股东及其</w:t>
            </w:r>
            <w:r>
              <w:rPr>
                <w:spacing w:val="2"/>
              </w:rPr>
              <w:t>董事、监事、高</w:t>
            </w:r>
            <w:r>
              <w:t xml:space="preserve"> </w:t>
            </w:r>
            <w:r>
              <w:rPr>
                <w:spacing w:val="-3"/>
              </w:rPr>
              <w:t>级管理人员，公司的实际控制人及其董事、监事、高级管理人员；</w:t>
            </w:r>
          </w:p>
          <w:p>
            <w:pPr>
              <w:pStyle w:val="8"/>
              <w:spacing w:before="30" w:line="216" w:lineRule="auto"/>
              <w:ind w:left="503"/>
            </w:pPr>
            <w:r>
              <w:rPr>
                <w:spacing w:val="-3"/>
              </w:rPr>
              <w:t>（三）发行人控股的公司及其董事、监事、高级管理人员；</w:t>
            </w:r>
          </w:p>
          <w:p>
            <w:pPr>
              <w:pStyle w:val="8"/>
              <w:spacing w:before="28" w:line="215" w:lineRule="auto"/>
              <w:ind w:left="503"/>
            </w:pPr>
            <w:r>
              <w:rPr>
                <w:position w:val="-7"/>
              </w:rPr>
              <w:drawing>
                <wp:inline distT="0" distB="0" distL="0" distR="0">
                  <wp:extent cx="1270" cy="127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74"/>
                          <a:stretch>
                            <a:fillRect/>
                          </a:stretch>
                        </pic:blipFill>
                        <pic:spPr>
                          <a:xfrm>
                            <a:off x="0" y="0"/>
                            <a:ext cx="1524" cy="1523"/>
                          </a:xfrm>
                          <a:prstGeom prst="rect">
                            <a:avLst/>
                          </a:prstGeom>
                        </pic:spPr>
                      </pic:pic>
                    </a:graphicData>
                  </a:graphic>
                </wp:inline>
              </w:drawing>
            </w:r>
            <w:r>
              <w:rPr>
                <w:spacing w:val="-71"/>
                <w:u w:val="single" w:color="auto"/>
              </w:rPr>
              <w:t xml:space="preserve"> </w:t>
            </w:r>
            <w:r>
              <w:rPr>
                <w:spacing w:val="-7"/>
                <w:u w:val="single" w:color="auto"/>
              </w:rPr>
              <w:t>（四）</w:t>
            </w:r>
            <w:r>
              <w:rPr>
                <w:spacing w:val="-66"/>
                <w:u w:val="single" w:color="auto"/>
              </w:rPr>
              <w:t xml:space="preserve"> </w:t>
            </w:r>
            <w:r>
              <w:rPr>
                <w:position w:val="-7"/>
              </w:rPr>
              <w:drawing>
                <wp:inline distT="0" distB="0" distL="0" distR="0">
                  <wp:extent cx="1270" cy="127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74"/>
                          <a:stretch>
                            <a:fillRect/>
                          </a:stretch>
                        </pic:blipFill>
                        <pic:spPr>
                          <a:xfrm>
                            <a:off x="0" y="0"/>
                            <a:ext cx="1523" cy="1523"/>
                          </a:xfrm>
                          <a:prstGeom prst="rect">
                            <a:avLst/>
                          </a:prstGeom>
                        </pic:spPr>
                      </pic:pic>
                    </a:graphicData>
                  </a:graphic>
                </wp:inline>
              </w:drawing>
            </w:r>
            <w:r>
              <w:rPr>
                <w:spacing w:val="-94"/>
              </w:rPr>
              <w:t xml:space="preserve"> </w:t>
            </w:r>
            <w:r>
              <w:rPr>
                <w:spacing w:val="-7"/>
              </w:rPr>
              <w:t>由于所任公司职务可以获取</w:t>
            </w:r>
            <w:r>
              <w:rPr>
                <w:spacing w:val="-7"/>
                <w:u w:val="single" w:color="auto"/>
              </w:rPr>
              <w:t>公司有关</w:t>
            </w:r>
            <w:r>
              <w:rPr>
                <w:spacing w:val="-7"/>
              </w:rPr>
              <w:t>内幕信息的人员；</w:t>
            </w:r>
          </w:p>
          <w:p>
            <w:pPr>
              <w:pStyle w:val="8"/>
              <w:spacing w:line="234" w:lineRule="auto"/>
              <w:ind w:left="13" w:firstLine="490"/>
            </w:pPr>
            <w:r>
              <w:rPr>
                <w:position w:val="-7"/>
              </w:rPr>
              <w:drawing>
                <wp:inline distT="0" distB="0" distL="0" distR="0">
                  <wp:extent cx="3175" cy="19240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84"/>
                          <a:stretch>
                            <a:fillRect/>
                          </a:stretch>
                        </pic:blipFill>
                        <pic:spPr>
                          <a:xfrm>
                            <a:off x="0" y="0"/>
                            <a:ext cx="3180" cy="192731"/>
                          </a:xfrm>
                          <a:prstGeom prst="rect">
                            <a:avLst/>
                          </a:prstGeom>
                        </pic:spPr>
                      </pic:pic>
                    </a:graphicData>
                  </a:graphic>
                </wp:inline>
              </w:drawing>
            </w:r>
            <w:r>
              <w:rPr>
                <w:spacing w:val="3"/>
                <w:u w:val="single" w:color="auto"/>
                <w:shd w:val="clear" w:fill="D9D9D9"/>
              </w:rPr>
              <w:t>（五）</w:t>
            </w:r>
            <w:r>
              <w:rPr>
                <w:position w:val="-7"/>
              </w:rPr>
              <w:drawing>
                <wp:inline distT="0" distB="0" distL="0" distR="0">
                  <wp:extent cx="3175" cy="19240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84"/>
                          <a:stretch>
                            <a:fillRect/>
                          </a:stretch>
                        </pic:blipFill>
                        <pic:spPr>
                          <a:xfrm>
                            <a:off x="0" y="0"/>
                            <a:ext cx="3180" cy="192731"/>
                          </a:xfrm>
                          <a:prstGeom prst="rect">
                            <a:avLst/>
                          </a:prstGeom>
                        </pic:spPr>
                      </pic:pic>
                    </a:graphicData>
                  </a:graphic>
                </wp:inline>
              </w:drawing>
            </w:r>
            <w:r>
              <w:rPr>
                <w:spacing w:val="3"/>
              </w:rPr>
              <w:t>证券监督</w:t>
            </w:r>
            <w:r>
              <w:rPr>
                <w:spacing w:val="3"/>
                <w:u w:val="single" w:color="auto"/>
              </w:rPr>
              <w:t>管理机构工作</w:t>
            </w:r>
            <w:r>
              <w:rPr>
                <w:spacing w:val="3"/>
              </w:rPr>
              <w:t>人员</w:t>
            </w:r>
            <w:r>
              <w:rPr>
                <w:position w:val="-7"/>
              </w:rPr>
              <w:drawing>
                <wp:inline distT="0" distB="0" distL="0" distR="0">
                  <wp:extent cx="3175" cy="19240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84"/>
                          <a:stretch>
                            <a:fillRect/>
                          </a:stretch>
                        </pic:blipFill>
                        <pic:spPr>
                          <a:xfrm>
                            <a:off x="0" y="0"/>
                            <a:ext cx="3179" cy="192731"/>
                          </a:xfrm>
                          <a:prstGeom prst="rect">
                            <a:avLst/>
                          </a:prstGeom>
                        </pic:spPr>
                      </pic:pic>
                    </a:graphicData>
                  </a:graphic>
                </wp:inline>
              </w:drawing>
            </w:r>
            <w:r>
              <w:rPr>
                <w:spacing w:val="3"/>
                <w:u w:val="single" w:color="auto"/>
                <w:shd w:val="clear" w:fill="D9D9D9"/>
              </w:rPr>
              <w:t>以及由于</w:t>
            </w:r>
            <w:r>
              <w:rPr>
                <w:position w:val="-7"/>
              </w:rPr>
              <w:drawing>
                <wp:inline distT="0" distB="0" distL="0" distR="0">
                  <wp:extent cx="3175" cy="19240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84"/>
                          <a:stretch>
                            <a:fillRect/>
                          </a:stretch>
                        </pic:blipFill>
                        <pic:spPr>
                          <a:xfrm>
                            <a:off x="0" y="0"/>
                            <a:ext cx="3179" cy="192731"/>
                          </a:xfrm>
                          <a:prstGeom prst="rect">
                            <a:avLst/>
                          </a:prstGeom>
                        </pic:spPr>
                      </pic:pic>
                    </a:graphicData>
                  </a:graphic>
                </wp:inline>
              </w:drawing>
            </w:r>
            <w:r>
              <w:rPr>
                <w:spacing w:val="3"/>
              </w:rPr>
              <w:t>法定职责</w:t>
            </w:r>
            <w:r>
              <w:rPr>
                <w:spacing w:val="2"/>
              </w:rPr>
              <w:t>对证券的</w:t>
            </w:r>
            <w:r>
              <w:t xml:space="preserve"> </w:t>
            </w:r>
            <w:r>
              <w:rPr>
                <w:spacing w:val="-13"/>
              </w:rPr>
              <w:t>发行、交易进行管理</w:t>
            </w:r>
            <w:r>
              <w:rPr>
                <w:position w:val="-6"/>
              </w:rPr>
              <w:drawing>
                <wp:inline distT="0" distB="0" distL="0" distR="0">
                  <wp:extent cx="1270" cy="19113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84"/>
                          <a:stretch>
                            <a:fillRect/>
                          </a:stretch>
                        </pic:blipFill>
                        <pic:spPr>
                          <a:xfrm>
                            <a:off x="0" y="0"/>
                            <a:ext cx="1650" cy="191225"/>
                          </a:xfrm>
                          <a:prstGeom prst="rect">
                            <a:avLst/>
                          </a:prstGeom>
                        </pic:spPr>
                      </pic:pic>
                    </a:graphicData>
                  </a:graphic>
                </wp:inline>
              </w:drawing>
            </w:r>
            <w:r>
              <w:rPr>
                <w:spacing w:val="-13"/>
                <w:shd w:val="clear" w:fill="D9D9D9"/>
              </w:rPr>
              <w:t>的其他人员；</w:t>
            </w:r>
            <w:r>
              <w:rPr>
                <w:spacing w:val="63"/>
                <w:shd w:val="clear" w:fill="D9D9D9"/>
              </w:rPr>
              <w:t xml:space="preserve"> </w:t>
            </w:r>
            <w:r>
              <w:rPr>
                <w:position w:val="-6"/>
              </w:rPr>
              <w:drawing>
                <wp:inline distT="0" distB="0" distL="0" distR="0">
                  <wp:extent cx="1270" cy="19113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84"/>
                          <a:stretch>
                            <a:fillRect/>
                          </a:stretch>
                        </pic:blipFill>
                        <pic:spPr>
                          <a:xfrm>
                            <a:off x="0" y="0"/>
                            <a:ext cx="1650" cy="191225"/>
                          </a:xfrm>
                          <a:prstGeom prst="rect">
                            <a:avLst/>
                          </a:prstGeom>
                        </pic:spPr>
                      </pic:pic>
                    </a:graphicData>
                  </a:graphic>
                </wp:inline>
              </w:drawing>
            </w:r>
          </w:p>
        </w:tc>
        <w:tc>
          <w:tcPr>
            <w:tcW w:w="6810" w:type="dxa"/>
            <w:vMerge w:val="restart"/>
            <w:tcBorders>
              <w:bottom w:val="nil"/>
            </w:tcBorders>
            <w:vAlign w:val="top"/>
          </w:tcPr>
          <w:p>
            <w:pPr>
              <w:pStyle w:val="8"/>
              <w:spacing w:before="28" w:line="219" w:lineRule="auto"/>
              <w:ind w:left="513"/>
            </w:pPr>
            <w:r>
              <w:rPr>
                <w:rFonts w:ascii="黑体" w:hAnsi="黑体" w:eastAsia="黑体" w:cs="黑体"/>
                <w:spacing w:val="-3"/>
              </w:rPr>
              <w:t xml:space="preserve">第五十一条  </w:t>
            </w:r>
            <w:r>
              <w:rPr>
                <w:spacing w:val="-3"/>
              </w:rPr>
              <w:t>证券交易内幕信息的知情人</w:t>
            </w:r>
            <w:r>
              <w:rPr>
                <w:spacing w:val="-4"/>
              </w:rPr>
              <w:t>包括：</w:t>
            </w:r>
          </w:p>
          <w:p>
            <w:pPr>
              <w:pStyle w:val="8"/>
              <w:spacing w:before="27" w:line="219" w:lineRule="auto"/>
              <w:ind w:left="504"/>
            </w:pPr>
            <w:r>
              <w:rPr>
                <w:spacing w:val="-3"/>
              </w:rPr>
              <w:t>（一）发行人</w:t>
            </w:r>
            <w:r>
              <w:rPr>
                <w:rFonts w:ascii="黑体" w:hAnsi="黑体" w:eastAsia="黑体" w:cs="黑体"/>
                <w:spacing w:val="-3"/>
              </w:rPr>
              <w:t>及其</w:t>
            </w:r>
            <w:r>
              <w:rPr>
                <w:spacing w:val="-3"/>
              </w:rPr>
              <w:t>董事、监事、高级管理人员；</w:t>
            </w:r>
          </w:p>
          <w:p>
            <w:pPr>
              <w:pStyle w:val="8"/>
              <w:spacing w:before="27" w:line="232" w:lineRule="auto"/>
              <w:ind w:left="25" w:right="7" w:firstLine="479"/>
            </w:pPr>
            <w:r>
              <w:t>（二）持有公司百分之五以上股份的股东及其董事、监</w:t>
            </w:r>
            <w:r>
              <w:rPr>
                <w:spacing w:val="-1"/>
              </w:rPr>
              <w:t>事、</w:t>
            </w:r>
            <w:r>
              <w:t xml:space="preserve"> </w:t>
            </w:r>
            <w:r>
              <w:rPr>
                <w:spacing w:val="1"/>
              </w:rPr>
              <w:t>高级管理人员，公司的实际控制人及其董事、监事、高级管理人</w:t>
            </w:r>
            <w:r>
              <w:rPr>
                <w:spacing w:val="13"/>
              </w:rPr>
              <w:t xml:space="preserve"> </w:t>
            </w:r>
            <w:r>
              <w:rPr>
                <w:spacing w:val="-21"/>
              </w:rPr>
              <w:t>员；</w:t>
            </w:r>
          </w:p>
          <w:p>
            <w:pPr>
              <w:pStyle w:val="8"/>
              <w:spacing w:before="26" w:line="229" w:lineRule="auto"/>
              <w:ind w:left="25" w:right="4" w:firstLine="479"/>
            </w:pPr>
            <w:r>
              <w:rPr>
                <w:spacing w:val="2"/>
              </w:rPr>
              <w:t>（三）发行人控股</w:t>
            </w:r>
            <w:r>
              <w:rPr>
                <w:rFonts w:ascii="黑体" w:hAnsi="黑体" w:eastAsia="黑体" w:cs="黑体"/>
                <w:spacing w:val="2"/>
              </w:rPr>
              <w:t>或者实际控制</w:t>
            </w:r>
            <w:r>
              <w:rPr>
                <w:spacing w:val="2"/>
              </w:rPr>
              <w:t>的公司及其</w:t>
            </w:r>
            <w:r>
              <w:rPr>
                <w:spacing w:val="1"/>
              </w:rPr>
              <w:t>董事、监事、高</w:t>
            </w:r>
            <w:r>
              <w:t xml:space="preserve"> </w:t>
            </w:r>
            <w:r>
              <w:rPr>
                <w:spacing w:val="-12"/>
              </w:rPr>
              <w:t>级管理人员；</w:t>
            </w:r>
          </w:p>
          <w:p>
            <w:pPr>
              <w:pStyle w:val="8"/>
              <w:spacing w:before="29" w:line="227" w:lineRule="auto"/>
              <w:ind w:left="37" w:right="4" w:firstLine="467"/>
            </w:pPr>
            <w:r>
              <w:rPr>
                <w:spacing w:val="1"/>
              </w:rPr>
              <w:t>（四）由于所任公司职务</w:t>
            </w:r>
            <w:r>
              <w:rPr>
                <w:rFonts w:ascii="黑体" w:hAnsi="黑体" w:eastAsia="黑体" w:cs="黑体"/>
                <w:spacing w:val="1"/>
              </w:rPr>
              <w:t>或者因与公司业务往来</w:t>
            </w:r>
            <w:r>
              <w:rPr>
                <w:spacing w:val="1"/>
              </w:rPr>
              <w:t>可以获取公</w:t>
            </w:r>
            <w:r>
              <w:rPr>
                <w:spacing w:val="18"/>
              </w:rPr>
              <w:t xml:space="preserve"> </w:t>
            </w:r>
            <w:r>
              <w:rPr>
                <w:spacing w:val="-8"/>
              </w:rPr>
              <w:t>司有关内幕信息的人员；</w:t>
            </w:r>
          </w:p>
          <w:p>
            <w:pPr>
              <w:spacing w:before="29" w:line="227" w:lineRule="auto"/>
              <w:ind w:left="21" w:right="40" w:firstLine="508"/>
              <w:rPr>
                <w:rFonts w:ascii="黑体" w:hAnsi="黑体" w:eastAsia="黑体" w:cs="黑体"/>
                <w:sz w:val="24"/>
                <w:szCs w:val="24"/>
              </w:rPr>
            </w:pPr>
            <w:r>
              <w:rPr>
                <w:rFonts w:ascii="黑体" w:hAnsi="黑体" w:eastAsia="黑体" w:cs="黑体"/>
                <w:spacing w:val="-1"/>
                <w:sz w:val="24"/>
                <w:szCs w:val="24"/>
              </w:rPr>
              <w:t>（五）上市公司收购人或者重大资产交易方及其控股股东、</w:t>
            </w:r>
            <w:r>
              <w:rPr>
                <w:rFonts w:ascii="黑体" w:hAnsi="黑体" w:eastAsia="黑体" w:cs="黑体"/>
                <w:spacing w:val="10"/>
                <w:sz w:val="24"/>
                <w:szCs w:val="24"/>
              </w:rPr>
              <w:t xml:space="preserve"> </w:t>
            </w:r>
            <w:r>
              <w:rPr>
                <w:rFonts w:ascii="黑体" w:hAnsi="黑体" w:eastAsia="黑体" w:cs="黑体"/>
                <w:spacing w:val="-3"/>
                <w:sz w:val="24"/>
                <w:szCs w:val="24"/>
              </w:rPr>
              <w:t>实际控制人、董事、监事和高级管理人员；</w:t>
            </w:r>
          </w:p>
          <w:p>
            <w:pPr>
              <w:pStyle w:val="8"/>
              <w:spacing w:before="32" w:line="229" w:lineRule="auto"/>
              <w:ind w:left="17" w:right="3" w:firstLine="486"/>
            </w:pPr>
            <w:r>
              <w:rPr>
                <w:spacing w:val="-5"/>
              </w:rPr>
              <w:t>（六）</w:t>
            </w:r>
            <w:r>
              <w:rPr>
                <w:spacing w:val="-60"/>
              </w:rPr>
              <w:t xml:space="preserve"> </w:t>
            </w:r>
            <w:r>
              <w:rPr>
                <w:rFonts w:ascii="黑体" w:hAnsi="黑体" w:eastAsia="黑体" w:cs="黑体"/>
                <w:spacing w:val="-5"/>
              </w:rPr>
              <w:t>因职务、工作可以获取内幕信息的</w:t>
            </w:r>
            <w:r>
              <w:rPr>
                <w:spacing w:val="-5"/>
              </w:rPr>
              <w:t>证券交易</w:t>
            </w:r>
            <w:r>
              <w:rPr>
                <w:rFonts w:ascii="黑体" w:hAnsi="黑体" w:eastAsia="黑体" w:cs="黑体"/>
                <w:spacing w:val="-5"/>
              </w:rPr>
              <w:t>场</w:t>
            </w:r>
            <w:r>
              <w:rPr>
                <w:spacing w:val="-5"/>
              </w:rPr>
              <w:t>所、 证</w:t>
            </w:r>
            <w:r>
              <w:t xml:space="preserve"> </w:t>
            </w:r>
            <w:r>
              <w:rPr>
                <w:spacing w:val="-8"/>
              </w:rPr>
              <w:t>券公司、 证券登记结算机构、证券服务机构的有关人员；</w:t>
            </w:r>
          </w:p>
          <w:p>
            <w:pPr>
              <w:pStyle w:val="8"/>
              <w:spacing w:before="30" w:line="228" w:lineRule="auto"/>
              <w:ind w:left="20" w:right="6" w:firstLine="484"/>
            </w:pPr>
            <w:r>
              <w:rPr>
                <w:spacing w:val="-1"/>
              </w:rPr>
              <w:t>（七）</w:t>
            </w:r>
            <w:r>
              <w:rPr>
                <w:spacing w:val="-52"/>
              </w:rPr>
              <w:t xml:space="preserve"> </w:t>
            </w:r>
            <w:r>
              <w:rPr>
                <w:rFonts w:ascii="黑体" w:hAnsi="黑体" w:eastAsia="黑体" w:cs="黑体"/>
                <w:spacing w:val="-1"/>
              </w:rPr>
              <w:t>因职责、工作可以获取内幕信息的</w:t>
            </w:r>
            <w:r>
              <w:rPr>
                <w:spacing w:val="-1"/>
              </w:rPr>
              <w:t>证券监督管理机构</w:t>
            </w:r>
            <w:r>
              <w:t xml:space="preserve"> </w:t>
            </w:r>
            <w:r>
              <w:rPr>
                <w:spacing w:val="-13"/>
              </w:rPr>
              <w:t>工作人员；</w:t>
            </w:r>
          </w:p>
          <w:p>
            <w:pPr>
              <w:pStyle w:val="8"/>
              <w:spacing w:before="28" w:line="234" w:lineRule="auto"/>
              <w:ind w:left="13" w:right="2" w:firstLine="490"/>
            </w:pPr>
            <w:r>
              <w:rPr>
                <w:spacing w:val="2"/>
              </w:rPr>
              <w:t>（八）因法定职责对证券的发行、交易</w:t>
            </w:r>
            <w:r>
              <w:rPr>
                <w:rFonts w:ascii="黑体" w:hAnsi="黑体" w:eastAsia="黑体" w:cs="黑体"/>
                <w:spacing w:val="2"/>
              </w:rPr>
              <w:t>或者</w:t>
            </w:r>
            <w:r>
              <w:rPr>
                <w:rFonts w:ascii="黑体" w:hAnsi="黑体" w:eastAsia="黑体" w:cs="黑体"/>
                <w:spacing w:val="1"/>
              </w:rPr>
              <w:t>对上市公司及其</w:t>
            </w:r>
            <w:r>
              <w:rPr>
                <w:rFonts w:ascii="黑体" w:hAnsi="黑体" w:eastAsia="黑体" w:cs="黑体"/>
              </w:rPr>
              <w:t xml:space="preserve"> </w:t>
            </w:r>
            <w:r>
              <w:rPr>
                <w:rFonts w:ascii="黑体" w:hAnsi="黑体" w:eastAsia="黑体" w:cs="黑体"/>
                <w:spacing w:val="11"/>
              </w:rPr>
              <w:t>收购、重大资产交易进行管理可以获取内幕信息的有关主管部</w:t>
            </w:r>
            <w:r>
              <w:rPr>
                <w:rFonts w:ascii="黑体" w:hAnsi="黑体" w:eastAsia="黑体" w:cs="黑体"/>
              </w:rPr>
              <w:t xml:space="preserve"> </w:t>
            </w:r>
            <w:r>
              <w:rPr>
                <w:rFonts w:ascii="黑体" w:hAnsi="黑体" w:eastAsia="黑体" w:cs="黑体"/>
                <w:spacing w:val="-1"/>
              </w:rPr>
              <w:t>门、监管机构的工作人员</w:t>
            </w:r>
            <w:r>
              <w:rPr>
                <w:spacing w:val="-1"/>
              </w:rPr>
              <w:t>；</w:t>
            </w:r>
          </w:p>
          <w:p>
            <w:pPr>
              <w:pStyle w:val="8"/>
              <w:spacing w:before="21" w:line="221" w:lineRule="auto"/>
              <w:ind w:left="14" w:right="3" w:firstLine="489"/>
            </w:pPr>
            <w:r>
              <w:t>（九）</w:t>
            </w:r>
            <w:r>
              <w:rPr>
                <w:spacing w:val="-68"/>
              </w:rPr>
              <w:t xml:space="preserve"> </w:t>
            </w:r>
            <w:r>
              <w:t>国务院证券监督管理机构规定的</w:t>
            </w:r>
            <w:r>
              <w:rPr>
                <w:rFonts w:ascii="黑体" w:hAnsi="黑体" w:eastAsia="黑体" w:cs="黑体"/>
              </w:rPr>
              <w:t>可以</w:t>
            </w:r>
            <w:r>
              <w:rPr>
                <w:rFonts w:ascii="黑体" w:hAnsi="黑体" w:eastAsia="黑体" w:cs="黑体"/>
                <w:spacing w:val="-1"/>
              </w:rPr>
              <w:t>获取内幕信息</w:t>
            </w:r>
            <w:r>
              <w:rPr>
                <w:spacing w:val="-1"/>
              </w:rPr>
              <w:t>的</w:t>
            </w:r>
            <w:r>
              <w:t xml:space="preserve"> </w:t>
            </w:r>
            <w:r>
              <w:rPr>
                <w:spacing w:val="-2"/>
              </w:rPr>
              <w:t>其他人</w:t>
            </w:r>
            <w:r>
              <w:rPr>
                <w:rFonts w:ascii="黑体" w:hAnsi="黑体" w:eastAsia="黑体" w:cs="黑体"/>
                <w:spacing w:val="-2"/>
              </w:rPr>
              <w:t>员</w:t>
            </w:r>
            <w:r>
              <w:rPr>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247" w:type="dxa"/>
            <w:gridSpan w:val="2"/>
            <w:tcBorders>
              <w:top w:val="nil"/>
              <w:bottom w:val="single" w:color="000000" w:sz="2" w:space="0"/>
              <w:right w:val="single" w:color="000000" w:sz="2" w:space="0"/>
            </w:tcBorders>
            <w:vAlign w:val="top"/>
          </w:tcPr>
          <w:p>
            <w:pPr>
              <w:pStyle w:val="8"/>
              <w:spacing w:before="40" w:line="200" w:lineRule="auto"/>
              <w:ind w:right="8"/>
              <w:jc w:val="right"/>
            </w:pPr>
            <w:r>
              <w:rPr>
                <w:spacing w:val="1"/>
              </w:rPr>
              <w:t>（六）</w:t>
            </w:r>
          </w:p>
        </w:tc>
        <w:tc>
          <w:tcPr>
            <w:tcW w:w="1705"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0" w:line="200" w:lineRule="auto"/>
            </w:pPr>
            <w:r>
              <w:rPr>
                <w:spacing w:val="1"/>
              </w:rPr>
              <w:t>保荐人、承销的</w:t>
            </w:r>
          </w:p>
        </w:tc>
        <w:tc>
          <w:tcPr>
            <w:tcW w:w="4145" w:type="dxa"/>
            <w:gridSpan w:val="4"/>
            <w:tcBorders>
              <w:top w:val="single" w:color="000000" w:sz="2" w:space="0"/>
              <w:left w:val="single" w:color="000000" w:sz="2" w:space="0"/>
              <w:bottom w:val="single" w:color="000000" w:sz="2" w:space="0"/>
            </w:tcBorders>
            <w:vAlign w:val="top"/>
          </w:tcPr>
          <w:p>
            <w:pPr>
              <w:pStyle w:val="8"/>
              <w:spacing w:before="40" w:line="200" w:lineRule="auto"/>
              <w:ind w:left="19"/>
            </w:pPr>
            <w:r>
              <w:rPr>
                <w:spacing w:val="1"/>
              </w:rPr>
              <w:t>证券公司、证券交易所、证券登记结算</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392" w:type="dxa"/>
            <w:gridSpan w:val="5"/>
            <w:tcBorders>
              <w:top w:val="single" w:color="000000" w:sz="2" w:space="0"/>
              <w:bottom w:val="single" w:color="000000" w:sz="2" w:space="0"/>
              <w:right w:val="single" w:color="000000" w:sz="2" w:space="0"/>
            </w:tcBorders>
            <w:vAlign w:val="top"/>
          </w:tcPr>
          <w:p>
            <w:pPr>
              <w:pStyle w:val="8"/>
              <w:spacing w:before="56" w:line="194" w:lineRule="auto"/>
              <w:ind w:left="21"/>
            </w:pPr>
            <w:r>
              <w:rPr>
                <w:spacing w:val="-1"/>
              </w:rPr>
              <w:t>机构、证券服务机构的有关人员</w:t>
            </w:r>
          </w:p>
        </w:tc>
        <w:tc>
          <w:tcPr>
            <w:tcW w:w="968" w:type="dxa"/>
            <w:tcBorders>
              <w:top w:val="single" w:color="000000" w:sz="2" w:space="0"/>
              <w:left w:val="single" w:color="000000" w:sz="2" w:space="0"/>
              <w:bottom w:val="single" w:color="000000" w:sz="2" w:space="0"/>
              <w:right w:val="nil"/>
            </w:tcBorders>
            <w:vAlign w:val="top"/>
          </w:tcPr>
          <w:p>
            <w:pPr>
              <w:pStyle w:val="8"/>
              <w:spacing w:before="140" w:line="169" w:lineRule="exact"/>
              <w:ind w:left="19"/>
            </w:pPr>
            <w:r>
              <w:rPr>
                <w:position w:val="2"/>
              </w:rPr>
              <w:t>;</w:t>
            </w:r>
          </w:p>
        </w:tc>
        <w:tc>
          <w:tcPr>
            <w:tcW w:w="2737" w:type="dxa"/>
            <w:gridSpan w:val="2"/>
            <w:vMerge w:val="restart"/>
            <w:tcBorders>
              <w:top w:val="single" w:color="000000" w:sz="2" w:space="0"/>
              <w:left w:val="nil"/>
              <w:bottom w:val="nil"/>
            </w:tcBorders>
            <w:vAlign w:val="top"/>
          </w:tcPr>
          <w:p>
            <w:pPr>
              <w:spacing w:line="294" w:lineRule="auto"/>
              <w:rPr>
                <w:rFonts w:ascii="Arial"/>
                <w:sz w:val="21"/>
              </w:rPr>
            </w:pPr>
          </w:p>
          <w:p>
            <w:pPr>
              <w:pStyle w:val="8"/>
              <w:spacing w:before="78" w:line="189" w:lineRule="auto"/>
              <w:ind w:left="26"/>
            </w:pPr>
            <w:r>
              <w:rPr>
                <w:spacing w:val="-13"/>
              </w:rPr>
              <w:t>的其他人。</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20" w:type="dxa"/>
            <w:tcBorders>
              <w:top w:val="single" w:color="000000" w:sz="2" w:space="0"/>
              <w:bottom w:val="nil"/>
              <w:right w:val="single" w:color="000000" w:sz="2" w:space="0"/>
            </w:tcBorders>
            <w:vAlign w:val="top"/>
          </w:tcPr>
          <w:p>
            <w:pPr>
              <w:rPr>
                <w:rFonts w:ascii="Arial"/>
                <w:sz w:val="21"/>
              </w:rPr>
            </w:pPr>
          </w:p>
        </w:tc>
        <w:tc>
          <w:tcPr>
            <w:tcW w:w="3840" w:type="dxa"/>
            <w:gridSpan w:val="5"/>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0" w:line="189" w:lineRule="auto"/>
            </w:pPr>
            <w:r>
              <w:rPr>
                <w:spacing w:val="-2"/>
              </w:rPr>
              <w:t>（七）国务院证券监督管理机构规定</w:t>
            </w:r>
          </w:p>
        </w:tc>
        <w:tc>
          <w:tcPr>
            <w:tcW w:w="2737" w:type="dxa"/>
            <w:gridSpan w:val="2"/>
            <w:vMerge w:val="continue"/>
            <w:tcBorders>
              <w:top w:val="nil"/>
              <w:left w:val="nil"/>
              <w:bottom w:val="nil"/>
            </w:tcBorders>
            <w:vAlign w:val="top"/>
          </w:tcPr>
          <w:p>
            <w:pPr>
              <w:rPr>
                <w:rFonts w:ascii="Arial"/>
                <w:sz w:val="21"/>
              </w:rPr>
            </w:pP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7097" w:type="dxa"/>
            <w:gridSpan w:val="8"/>
            <w:tcBorders>
              <w:top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7097" w:type="dxa"/>
            <w:gridSpan w:val="8"/>
            <w:vAlign w:val="top"/>
          </w:tcPr>
          <w:p>
            <w:pPr>
              <w:pStyle w:val="8"/>
              <w:spacing w:before="11" w:line="239" w:lineRule="auto"/>
              <w:ind w:left="11" w:firstLine="501"/>
              <w:jc w:val="both"/>
            </w:pPr>
            <w:r>
              <w:pict>
                <v:shape id="_x0000_s1046" o:spid="_x0000_s1046" style="position:absolute;left:0pt;margin-left:13.05pt;margin-top:16.05pt;height:0.15pt;width:25.35pt;z-index:251682816;mso-width-relative:page;mso-height-relative:page;" fillcolor="#000000" filled="t" stroked="f" coordsize="507,3" path="m0,0l506,0,506,2,0,2,0,0xe">
                  <v:path/>
                  <v:fill on="t" focussize="0,0"/>
                  <v:stroke on="f"/>
                  <v:imagedata o:title=""/>
                  <o:lock v:ext="edit"/>
                </v:shape>
              </w:pict>
            </w:r>
            <w:r>
              <w:pict>
                <v:shape id="_x0000_s1047" o:spid="_x0000_s1047" style="position:absolute;left:0pt;margin-left:25.75pt;margin-top:47.95pt;height:0.15pt;width:132pt;mso-position-horizontal-relative:page;mso-position-vertical-relative:page;z-index:-251634688;mso-width-relative:page;mso-height-relative:page;" fillcolor="#000000" filled="t" stroked="f" coordsize="2640,3" path="m0,0l2639,0,2639,2,0,2,0,0xe">
                  <v:path/>
                  <v:fill on="t" focussize="0,0"/>
                  <v:stroke on="f"/>
                  <v:imagedata o:title=""/>
                  <o:lock v:ext="edit"/>
                </v:shape>
              </w:pict>
            </w:r>
            <w:r>
              <w:rPr>
                <w:rFonts w:ascii="黑体" w:hAnsi="黑体" w:eastAsia="黑体" w:cs="黑体"/>
                <w:spacing w:val="-2"/>
              </w:rPr>
              <w:t xml:space="preserve">第七十五条  </w:t>
            </w:r>
            <w:r>
              <w:rPr>
                <w:spacing w:val="-2"/>
              </w:rPr>
              <w:t>证券交易活动中， 涉及</w:t>
            </w:r>
            <w:r>
              <w:rPr>
                <w:position w:val="-7"/>
              </w:rPr>
              <w:drawing>
                <wp:inline distT="0" distB="0" distL="0" distR="0">
                  <wp:extent cx="4445" cy="19494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84"/>
                          <a:stretch>
                            <a:fillRect/>
                          </a:stretch>
                        </pic:blipFill>
                        <pic:spPr>
                          <a:xfrm>
                            <a:off x="0" y="0"/>
                            <a:ext cx="4911" cy="195072"/>
                          </a:xfrm>
                          <a:prstGeom prst="rect">
                            <a:avLst/>
                          </a:prstGeom>
                        </pic:spPr>
                      </pic:pic>
                    </a:graphicData>
                  </a:graphic>
                </wp:inline>
              </w:drawing>
            </w:r>
            <w:r>
              <w:rPr>
                <w:spacing w:val="-2"/>
                <w:u w:val="single" w:color="auto"/>
                <w:shd w:val="clear" w:fill="D9D9D9"/>
              </w:rPr>
              <w:t>公司</w:t>
            </w:r>
            <w:r>
              <w:rPr>
                <w:position w:val="-7"/>
              </w:rPr>
              <w:drawing>
                <wp:inline distT="0" distB="0" distL="0" distR="0">
                  <wp:extent cx="4445" cy="19494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84"/>
                          <a:stretch>
                            <a:fillRect/>
                          </a:stretch>
                        </pic:blipFill>
                        <pic:spPr>
                          <a:xfrm>
                            <a:off x="0" y="0"/>
                            <a:ext cx="4911" cy="195072"/>
                          </a:xfrm>
                          <a:prstGeom prst="rect">
                            <a:avLst/>
                          </a:prstGeom>
                        </pic:spPr>
                      </pic:pic>
                    </a:graphicData>
                  </a:graphic>
                </wp:inline>
              </w:drawing>
            </w:r>
            <w:r>
              <w:rPr>
                <w:spacing w:val="-2"/>
              </w:rPr>
              <w:t>的经营、财务或者对</w:t>
            </w:r>
            <w:r>
              <w:rPr>
                <w:spacing w:val="10"/>
              </w:rPr>
              <w:t xml:space="preserve"> </w:t>
            </w:r>
            <w:r>
              <w:rPr>
                <w:spacing w:val="11"/>
              </w:rPr>
              <w:t>该</w:t>
            </w:r>
            <w:r>
              <w:rPr>
                <w:spacing w:val="-99"/>
              </w:rPr>
              <w:t xml:space="preserve"> </w:t>
            </w:r>
            <w:r>
              <w:rPr>
                <w:position w:val="23"/>
              </w:rPr>
              <w:drawing>
                <wp:inline distT="0" distB="0" distL="0" distR="0">
                  <wp:extent cx="635" cy="127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72"/>
                          <a:stretch>
                            <a:fillRect/>
                          </a:stretch>
                        </pic:blipFill>
                        <pic:spPr>
                          <a:xfrm>
                            <a:off x="0" y="0"/>
                            <a:ext cx="761" cy="1524"/>
                          </a:xfrm>
                          <a:prstGeom prst="rect">
                            <a:avLst/>
                          </a:prstGeom>
                        </pic:spPr>
                      </pic:pic>
                    </a:graphicData>
                  </a:graphic>
                </wp:inline>
              </w:drawing>
            </w:r>
            <w:r>
              <w:rPr>
                <w:position w:val="-7"/>
              </w:rPr>
              <w:drawing>
                <wp:inline distT="0" distB="0" distL="0" distR="0">
                  <wp:extent cx="635" cy="19494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94"/>
                          <a:stretch>
                            <a:fillRect/>
                          </a:stretch>
                        </pic:blipFill>
                        <pic:spPr>
                          <a:xfrm>
                            <a:off x="0" y="0"/>
                            <a:ext cx="761" cy="195072"/>
                          </a:xfrm>
                          <a:prstGeom prst="rect">
                            <a:avLst/>
                          </a:prstGeom>
                        </pic:spPr>
                      </pic:pic>
                    </a:graphicData>
                  </a:graphic>
                </wp:inline>
              </w:drawing>
            </w:r>
            <w:r>
              <w:rPr>
                <w:spacing w:val="11"/>
                <w:u w:val="single" w:color="auto"/>
                <w:shd w:val="clear" w:fill="D9D9D9"/>
              </w:rPr>
              <w:t>公司</w:t>
            </w:r>
            <w:r>
              <w:rPr>
                <w:spacing w:val="-108"/>
                <w:u w:val="single" w:color="auto"/>
                <w:shd w:val="clear" w:fill="D9D9D9"/>
              </w:rPr>
              <w:t xml:space="preserve"> </w:t>
            </w:r>
            <w:r>
              <w:rPr>
                <w:position w:val="23"/>
              </w:rPr>
              <w:drawing>
                <wp:inline distT="0" distB="0" distL="0" distR="0">
                  <wp:extent cx="635" cy="1270"/>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74"/>
                          <a:stretch>
                            <a:fillRect/>
                          </a:stretch>
                        </pic:blipFill>
                        <pic:spPr>
                          <a:xfrm>
                            <a:off x="0" y="0"/>
                            <a:ext cx="761" cy="1524"/>
                          </a:xfrm>
                          <a:prstGeom prst="rect">
                            <a:avLst/>
                          </a:prstGeom>
                        </pic:spPr>
                      </pic:pic>
                    </a:graphicData>
                  </a:graphic>
                </wp:inline>
              </w:drawing>
            </w:r>
            <w:r>
              <w:rPr>
                <w:position w:val="-7"/>
              </w:rPr>
              <w:drawing>
                <wp:inline distT="0" distB="0" distL="0" distR="0">
                  <wp:extent cx="635" cy="19494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84"/>
                          <a:stretch>
                            <a:fillRect/>
                          </a:stretch>
                        </pic:blipFill>
                        <pic:spPr>
                          <a:xfrm>
                            <a:off x="0" y="0"/>
                            <a:ext cx="761" cy="195072"/>
                          </a:xfrm>
                          <a:prstGeom prst="rect">
                            <a:avLst/>
                          </a:prstGeom>
                        </pic:spPr>
                      </pic:pic>
                    </a:graphicData>
                  </a:graphic>
                </wp:inline>
              </w:drawing>
            </w:r>
            <w:r>
              <w:rPr>
                <w:spacing w:val="11"/>
              </w:rPr>
              <w:t>证券的市场价格有重大影响的尚未公开的信息，为内幕信</w:t>
            </w:r>
            <w:r>
              <w:t xml:space="preserve"> </w:t>
            </w:r>
            <w:r>
              <w:rPr>
                <w:spacing w:val="-15"/>
              </w:rPr>
              <w:t>息。</w:t>
            </w:r>
          </w:p>
          <w:p>
            <w:pPr>
              <w:pStyle w:val="8"/>
              <w:spacing w:line="232" w:lineRule="auto"/>
              <w:ind w:left="503"/>
            </w:pPr>
            <w:r>
              <w:rPr>
                <w:position w:val="-6"/>
                <w:shd w:val="clear" w:fill="D9D9D9"/>
              </w:rPr>
              <w:drawing>
                <wp:inline distT="0" distB="0" distL="0" distR="0">
                  <wp:extent cx="1270" cy="19367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84"/>
                          <a:stretch>
                            <a:fillRect/>
                          </a:stretch>
                        </pic:blipFill>
                        <pic:spPr>
                          <a:xfrm>
                            <a:off x="0" y="0"/>
                            <a:ext cx="1524" cy="194056"/>
                          </a:xfrm>
                          <a:prstGeom prst="rect">
                            <a:avLst/>
                          </a:prstGeom>
                        </pic:spPr>
                      </pic:pic>
                    </a:graphicData>
                  </a:graphic>
                </wp:inline>
              </w:drawing>
            </w:r>
            <w:r>
              <w:rPr>
                <w:spacing w:val="-17"/>
                <w:shd w:val="clear" w:fill="D9D9D9"/>
              </w:rPr>
              <w:t>下列信息皆属内幕信息：</w:t>
            </w:r>
            <w:r>
              <w:rPr>
                <w:spacing w:val="65"/>
                <w:shd w:val="clear" w:fill="D9D9D9"/>
              </w:rPr>
              <w:t xml:space="preserve"> </w:t>
            </w:r>
            <w:r>
              <w:rPr>
                <w:position w:val="-6"/>
                <w:shd w:val="clear" w:fill="D9D9D9"/>
              </w:rPr>
              <w:drawing>
                <wp:inline distT="0" distB="0" distL="0" distR="0">
                  <wp:extent cx="1270" cy="19367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94"/>
                          <a:stretch>
                            <a:fillRect/>
                          </a:stretch>
                        </pic:blipFill>
                        <pic:spPr>
                          <a:xfrm>
                            <a:off x="0" y="0"/>
                            <a:ext cx="1523" cy="194056"/>
                          </a:xfrm>
                          <a:prstGeom prst="rect">
                            <a:avLst/>
                          </a:prstGeom>
                        </pic:spPr>
                      </pic:pic>
                    </a:graphicData>
                  </a:graphic>
                </wp:inline>
              </w:drawing>
            </w:r>
          </w:p>
        </w:tc>
        <w:tc>
          <w:tcPr>
            <w:tcW w:w="6810" w:type="dxa"/>
            <w:vAlign w:val="top"/>
          </w:tcPr>
          <w:p>
            <w:pPr>
              <w:pStyle w:val="8"/>
              <w:spacing w:before="43" w:line="232" w:lineRule="auto"/>
              <w:ind w:left="16" w:right="6" w:firstLine="497"/>
              <w:jc w:val="both"/>
            </w:pPr>
            <w:r>
              <w:rPr>
                <w:rFonts w:ascii="黑体" w:hAnsi="黑体" w:eastAsia="黑体" w:cs="黑体"/>
                <w:spacing w:val="-3"/>
              </w:rPr>
              <w:t xml:space="preserve">第五十二条  </w:t>
            </w:r>
            <w:r>
              <w:rPr>
                <w:spacing w:val="-3"/>
              </w:rPr>
              <w:t>证券交易活动中， 涉及</w:t>
            </w:r>
            <w:r>
              <w:rPr>
                <w:rFonts w:ascii="黑体" w:hAnsi="黑体" w:eastAsia="黑体" w:cs="黑体"/>
                <w:spacing w:val="-3"/>
              </w:rPr>
              <w:t>发行人</w:t>
            </w:r>
            <w:r>
              <w:rPr>
                <w:spacing w:val="-3"/>
              </w:rPr>
              <w:t>的经营、</w:t>
            </w:r>
            <w:r>
              <w:rPr>
                <w:spacing w:val="-4"/>
              </w:rPr>
              <w:t>财务或</w:t>
            </w:r>
            <w:r>
              <w:t xml:space="preserve"> 者对该</w:t>
            </w:r>
            <w:r>
              <w:rPr>
                <w:rFonts w:ascii="黑体" w:hAnsi="黑体" w:eastAsia="黑体" w:cs="黑体"/>
              </w:rPr>
              <w:t>发行人</w:t>
            </w:r>
            <w:r>
              <w:t>证券的市场价格有重大影响的尚未公开的信息，为</w:t>
            </w:r>
            <w:r>
              <w:rPr>
                <w:spacing w:val="10"/>
              </w:rPr>
              <w:t xml:space="preserve"> </w:t>
            </w:r>
            <w:r>
              <w:rPr>
                <w:spacing w:val="-10"/>
              </w:rPr>
              <w:t>内幕信息。</w:t>
            </w:r>
          </w:p>
          <w:p>
            <w:pPr>
              <w:spacing w:before="30" w:line="209" w:lineRule="auto"/>
              <w:ind w:right="4"/>
              <w:jc w:val="right"/>
              <w:rPr>
                <w:rFonts w:ascii="黑体" w:hAnsi="黑体" w:eastAsia="黑体" w:cs="黑体"/>
                <w:sz w:val="24"/>
                <w:szCs w:val="24"/>
              </w:rPr>
            </w:pPr>
            <w:r>
              <w:rPr>
                <w:rFonts w:ascii="黑体" w:hAnsi="黑体" w:eastAsia="黑体" w:cs="黑体"/>
                <w:spacing w:val="1"/>
                <w:sz w:val="24"/>
                <w:szCs w:val="24"/>
              </w:rPr>
              <w:t>本法第八十条第二款、第八十一条第二款所列重大事件属于</w:t>
            </w:r>
          </w:p>
        </w:tc>
      </w:tr>
    </w:tbl>
    <w:p>
      <w:pPr>
        <w:rPr>
          <w:rFonts w:ascii="Arial"/>
          <w:sz w:val="21"/>
        </w:rPr>
      </w:pPr>
    </w:p>
    <w:p>
      <w:pPr>
        <w:rPr>
          <w:rFonts w:ascii="Arial" w:hAnsi="Arial" w:eastAsia="Arial" w:cs="Arial"/>
          <w:sz w:val="21"/>
          <w:szCs w:val="21"/>
        </w:rPr>
        <w:sectPr>
          <w:footerReference r:id="rId20"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662"/>
        <w:gridCol w:w="240"/>
        <w:gridCol w:w="1699"/>
        <w:gridCol w:w="480"/>
        <w:gridCol w:w="719"/>
        <w:gridCol w:w="1775"/>
        <w:gridCol w:w="6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top w:val="single" w:color="000000" w:sz="6" w:space="0"/>
              <w:left w:val="single" w:color="000000" w:sz="6" w:space="0"/>
              <w:bottom w:val="nil"/>
            </w:tcBorders>
            <w:vAlign w:val="top"/>
          </w:tcPr>
          <w:p>
            <w:pPr>
              <w:rPr>
                <w:rFonts w:ascii="Arial"/>
                <w:sz w:val="21"/>
              </w:rPr>
            </w:pPr>
          </w:p>
        </w:tc>
        <w:tc>
          <w:tcPr>
            <w:tcW w:w="4800" w:type="dxa"/>
            <w:gridSpan w:val="5"/>
            <w:tcBorders>
              <w:top w:val="single" w:color="000000" w:sz="6" w:space="0"/>
            </w:tcBorders>
            <w:shd w:val="clear" w:color="auto" w:fill="D9D9D9"/>
            <w:vAlign w:val="top"/>
          </w:tcPr>
          <w:p>
            <w:pPr>
              <w:pStyle w:val="8"/>
              <w:spacing w:before="39" w:line="205" w:lineRule="auto"/>
            </w:pPr>
            <w:r>
              <w:rPr>
                <w:spacing w:val="-4"/>
              </w:rPr>
              <w:t>（一）本法第六十七条第二款所列重大事件；</w:t>
            </w:r>
          </w:p>
        </w:tc>
        <w:tc>
          <w:tcPr>
            <w:tcW w:w="1775" w:type="dxa"/>
            <w:vMerge w:val="restart"/>
            <w:tcBorders>
              <w:top w:val="single" w:color="000000" w:sz="6" w:space="0"/>
              <w:left w:val="nil"/>
              <w:bottom w:val="nil"/>
              <w:right w:val="single" w:color="000000" w:sz="6" w:space="0"/>
            </w:tcBorders>
            <w:vAlign w:val="top"/>
          </w:tcPr>
          <w:p>
            <w:pPr>
              <w:rPr>
                <w:rFonts w:ascii="Arial"/>
                <w:sz w:val="21"/>
              </w:rPr>
            </w:pPr>
          </w:p>
        </w:tc>
        <w:tc>
          <w:tcPr>
            <w:tcW w:w="6812" w:type="dxa"/>
            <w:vMerge w:val="restart"/>
            <w:tcBorders>
              <w:top w:val="single" w:color="000000" w:sz="6" w:space="0"/>
              <w:left w:val="single" w:color="000000" w:sz="6" w:space="0"/>
              <w:bottom w:val="nil"/>
              <w:right w:val="single" w:color="000000" w:sz="6" w:space="0"/>
            </w:tcBorders>
            <w:vAlign w:val="top"/>
          </w:tcPr>
          <w:p>
            <w:pPr>
              <w:spacing w:before="40" w:line="223" w:lineRule="auto"/>
              <w:ind w:left="31"/>
              <w:rPr>
                <w:rFonts w:ascii="黑体" w:hAnsi="黑体" w:eastAsia="黑体" w:cs="黑体"/>
                <w:sz w:val="24"/>
                <w:szCs w:val="24"/>
              </w:rPr>
            </w:pPr>
            <w:r>
              <w:rPr>
                <w:rFonts w:ascii="黑体" w:hAnsi="黑体" w:eastAsia="黑体" w:cs="黑体"/>
                <w:spacing w:val="-9"/>
                <w:sz w:val="24"/>
                <w:szCs w:val="24"/>
              </w:rPr>
              <w:t>内幕信息。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20" w:type="dxa"/>
            <w:vMerge w:val="continue"/>
            <w:tcBorders>
              <w:top w:val="nil"/>
              <w:left w:val="single" w:color="000000" w:sz="6" w:space="0"/>
              <w:bottom w:val="nil"/>
            </w:tcBorders>
            <w:vAlign w:val="top"/>
          </w:tcPr>
          <w:p>
            <w:pPr>
              <w:rPr>
                <w:rFonts w:ascii="Arial"/>
                <w:sz w:val="21"/>
              </w:rPr>
            </w:pPr>
          </w:p>
        </w:tc>
        <w:tc>
          <w:tcPr>
            <w:tcW w:w="4081" w:type="dxa"/>
            <w:gridSpan w:val="4"/>
            <w:shd w:val="clear" w:color="auto" w:fill="D9D9D9"/>
            <w:vAlign w:val="top"/>
          </w:tcPr>
          <w:p>
            <w:pPr>
              <w:pStyle w:val="8"/>
              <w:spacing w:before="30" w:line="201" w:lineRule="auto"/>
            </w:pPr>
            <w:r>
              <w:rPr>
                <w:spacing w:val="-4"/>
              </w:rPr>
              <w:t>（二）公司分配股利或者增资的计划；</w:t>
            </w:r>
          </w:p>
        </w:tc>
        <w:tc>
          <w:tcPr>
            <w:tcW w:w="719" w:type="dxa"/>
            <w:vMerge w:val="restart"/>
            <w:tcBorders>
              <w:left w:val="nil"/>
              <w:bottom w:val="nil"/>
              <w:right w:val="nil"/>
            </w:tcBorders>
            <w:vAlign w:val="top"/>
          </w:tcPr>
          <w:p>
            <w:pPr>
              <w:rPr>
                <w:rFonts w:ascii="Arial"/>
                <w:sz w:val="21"/>
              </w:rPr>
            </w:pPr>
          </w:p>
        </w:tc>
        <w:tc>
          <w:tcPr>
            <w:tcW w:w="1775" w:type="dxa"/>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20" w:type="dxa"/>
            <w:vMerge w:val="continue"/>
            <w:tcBorders>
              <w:top w:val="nil"/>
              <w:left w:val="single" w:color="000000" w:sz="6" w:space="0"/>
              <w:bottom w:val="nil"/>
            </w:tcBorders>
            <w:vAlign w:val="top"/>
          </w:tcPr>
          <w:p>
            <w:pPr>
              <w:rPr>
                <w:rFonts w:ascii="Arial"/>
                <w:sz w:val="21"/>
              </w:rPr>
            </w:pPr>
          </w:p>
        </w:tc>
        <w:tc>
          <w:tcPr>
            <w:tcW w:w="3601" w:type="dxa"/>
            <w:gridSpan w:val="3"/>
            <w:shd w:val="clear" w:color="auto" w:fill="D9D9D9"/>
            <w:vAlign w:val="top"/>
          </w:tcPr>
          <w:p>
            <w:pPr>
              <w:pStyle w:val="8"/>
              <w:spacing w:before="33" w:line="203" w:lineRule="auto"/>
            </w:pPr>
            <w:r>
              <w:rPr>
                <w:spacing w:val="-5"/>
              </w:rPr>
              <w:t>（三）公司股权结构的重大变化；</w:t>
            </w:r>
          </w:p>
        </w:tc>
        <w:tc>
          <w:tcPr>
            <w:tcW w:w="480" w:type="dxa"/>
            <w:vMerge w:val="restart"/>
            <w:tcBorders>
              <w:bottom w:val="nil"/>
              <w:right w:val="nil"/>
            </w:tcBorders>
            <w:vAlign w:val="top"/>
          </w:tcPr>
          <w:p>
            <w:pPr>
              <w:rPr>
                <w:rFonts w:ascii="Arial"/>
                <w:sz w:val="21"/>
              </w:rPr>
            </w:pPr>
          </w:p>
        </w:tc>
        <w:tc>
          <w:tcPr>
            <w:tcW w:w="719" w:type="dxa"/>
            <w:vMerge w:val="continue"/>
            <w:tcBorders>
              <w:top w:val="nil"/>
              <w:left w:val="nil"/>
              <w:bottom w:val="nil"/>
              <w:right w:val="nil"/>
            </w:tcBorders>
            <w:vAlign w:val="top"/>
          </w:tcPr>
          <w:p>
            <w:pPr>
              <w:rPr>
                <w:rFonts w:ascii="Arial"/>
                <w:sz w:val="21"/>
              </w:rPr>
            </w:pPr>
          </w:p>
        </w:tc>
        <w:tc>
          <w:tcPr>
            <w:tcW w:w="1775" w:type="dxa"/>
            <w:vMerge w:val="continue"/>
            <w:tcBorders>
              <w:top w:val="nil"/>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0" w:type="dxa"/>
            <w:vMerge w:val="continue"/>
            <w:tcBorders>
              <w:top w:val="nil"/>
              <w:left w:val="single" w:color="000000" w:sz="6" w:space="0"/>
              <w:bottom w:val="nil"/>
            </w:tcBorders>
            <w:vAlign w:val="top"/>
          </w:tcPr>
          <w:p>
            <w:pPr>
              <w:rPr>
                <w:rFonts w:ascii="Arial"/>
                <w:sz w:val="21"/>
              </w:rPr>
            </w:pPr>
          </w:p>
        </w:tc>
        <w:tc>
          <w:tcPr>
            <w:tcW w:w="3601" w:type="dxa"/>
            <w:gridSpan w:val="3"/>
            <w:shd w:val="clear" w:color="auto" w:fill="D9D9D9"/>
            <w:vAlign w:val="top"/>
          </w:tcPr>
          <w:p>
            <w:pPr>
              <w:pStyle w:val="8"/>
              <w:spacing w:before="32" w:line="207" w:lineRule="auto"/>
            </w:pPr>
            <w:r>
              <w:rPr>
                <w:spacing w:val="-5"/>
              </w:rPr>
              <w:t>（四）公司债务担保的重大变更；</w:t>
            </w:r>
          </w:p>
        </w:tc>
        <w:tc>
          <w:tcPr>
            <w:tcW w:w="480" w:type="dxa"/>
            <w:vMerge w:val="continue"/>
            <w:tcBorders>
              <w:top w:val="nil"/>
              <w:right w:val="nil"/>
            </w:tcBorders>
            <w:vAlign w:val="top"/>
          </w:tcPr>
          <w:p>
            <w:pPr>
              <w:rPr>
                <w:rFonts w:ascii="Arial"/>
                <w:sz w:val="21"/>
              </w:rPr>
            </w:pPr>
          </w:p>
        </w:tc>
        <w:tc>
          <w:tcPr>
            <w:tcW w:w="719" w:type="dxa"/>
            <w:vMerge w:val="continue"/>
            <w:tcBorders>
              <w:top w:val="nil"/>
              <w:left w:val="nil"/>
              <w:right w:val="nil"/>
            </w:tcBorders>
            <w:vAlign w:val="top"/>
          </w:tcPr>
          <w:p>
            <w:pPr>
              <w:rPr>
                <w:rFonts w:ascii="Arial"/>
                <w:sz w:val="21"/>
              </w:rPr>
            </w:pPr>
          </w:p>
        </w:tc>
        <w:tc>
          <w:tcPr>
            <w:tcW w:w="1775" w:type="dxa"/>
            <w:vMerge w:val="continue"/>
            <w:tcBorders>
              <w:top w:val="nil"/>
              <w:left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20" w:type="dxa"/>
            <w:vMerge w:val="continue"/>
            <w:tcBorders>
              <w:top w:val="nil"/>
              <w:left w:val="single" w:color="000000" w:sz="6" w:space="0"/>
            </w:tcBorders>
            <w:vAlign w:val="top"/>
          </w:tcPr>
          <w:p>
            <w:pPr>
              <w:rPr>
                <w:rFonts w:ascii="Arial"/>
                <w:sz w:val="21"/>
              </w:rPr>
            </w:pPr>
          </w:p>
        </w:tc>
        <w:tc>
          <w:tcPr>
            <w:tcW w:w="6575" w:type="dxa"/>
            <w:gridSpan w:val="6"/>
            <w:tcBorders>
              <w:right w:val="single" w:color="000000" w:sz="6" w:space="0"/>
            </w:tcBorders>
            <w:shd w:val="clear" w:color="auto" w:fill="D9D9D9"/>
            <w:vAlign w:val="top"/>
          </w:tcPr>
          <w:p>
            <w:pPr>
              <w:pStyle w:val="8"/>
              <w:spacing w:before="27" w:line="204" w:lineRule="auto"/>
              <w:jc w:val="right"/>
            </w:pPr>
            <w:r>
              <w:rPr>
                <w:spacing w:val="3"/>
              </w:rPr>
              <w:t>（五）公司营业用主要资产的抵押、出售或者报废一次超过该</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182" w:type="dxa"/>
            <w:gridSpan w:val="2"/>
            <w:tcBorders>
              <w:left w:val="single" w:color="000000" w:sz="6" w:space="0"/>
            </w:tcBorders>
            <w:shd w:val="clear" w:color="auto" w:fill="D9D9D9"/>
            <w:vAlign w:val="top"/>
          </w:tcPr>
          <w:p>
            <w:pPr>
              <w:pStyle w:val="8"/>
              <w:spacing w:before="30" w:line="203" w:lineRule="auto"/>
              <w:ind w:left="26"/>
            </w:pPr>
            <w:r>
              <w:rPr>
                <w:spacing w:val="-9"/>
              </w:rPr>
              <w:t>资产的百分之三十；</w:t>
            </w:r>
          </w:p>
        </w:tc>
        <w:tc>
          <w:tcPr>
            <w:tcW w:w="4913" w:type="dxa"/>
            <w:gridSpan w:val="5"/>
            <w:tcBorders>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20" w:type="dxa"/>
            <w:tcBorders>
              <w:left w:val="single" w:color="000000" w:sz="6" w:space="0"/>
            </w:tcBorders>
            <w:vAlign w:val="top"/>
          </w:tcPr>
          <w:p>
            <w:pPr>
              <w:rPr>
                <w:rFonts w:ascii="Arial"/>
                <w:sz w:val="21"/>
              </w:rPr>
            </w:pPr>
          </w:p>
        </w:tc>
        <w:tc>
          <w:tcPr>
            <w:tcW w:w="6575" w:type="dxa"/>
            <w:gridSpan w:val="6"/>
            <w:tcBorders>
              <w:right w:val="single" w:color="000000" w:sz="6" w:space="0"/>
            </w:tcBorders>
            <w:shd w:val="clear" w:color="auto" w:fill="D9D9D9"/>
            <w:vAlign w:val="top"/>
          </w:tcPr>
          <w:p>
            <w:pPr>
              <w:pStyle w:val="8"/>
              <w:spacing w:before="32" w:line="200" w:lineRule="auto"/>
            </w:pPr>
            <w:r>
              <w:rPr>
                <w:spacing w:val="3"/>
              </w:rPr>
              <w:t>（六）公司的董事、监事、高级管理人员的行为可能依法承担</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182" w:type="dxa"/>
            <w:gridSpan w:val="2"/>
            <w:tcBorders>
              <w:left w:val="single" w:color="000000" w:sz="6" w:space="0"/>
            </w:tcBorders>
            <w:shd w:val="clear" w:color="auto" w:fill="D9D9D9"/>
            <w:vAlign w:val="top"/>
          </w:tcPr>
          <w:p>
            <w:pPr>
              <w:pStyle w:val="8"/>
              <w:spacing w:before="37" w:line="198" w:lineRule="auto"/>
              <w:ind w:left="26"/>
            </w:pPr>
            <w:r>
              <w:rPr>
                <w:spacing w:val="-9"/>
              </w:rPr>
              <w:t>重大损害赔偿责任；</w:t>
            </w:r>
          </w:p>
        </w:tc>
        <w:tc>
          <w:tcPr>
            <w:tcW w:w="1939" w:type="dxa"/>
            <w:gridSpan w:val="2"/>
            <w:tcBorders>
              <w:right w:val="nil"/>
            </w:tcBorders>
            <w:vAlign w:val="top"/>
          </w:tcPr>
          <w:p>
            <w:pPr>
              <w:rPr>
                <w:rFonts w:ascii="Arial"/>
                <w:sz w:val="21"/>
              </w:rPr>
            </w:pPr>
          </w:p>
        </w:tc>
        <w:tc>
          <w:tcPr>
            <w:tcW w:w="2974" w:type="dxa"/>
            <w:gridSpan w:val="3"/>
            <w:vMerge w:val="restart"/>
            <w:tcBorders>
              <w:left w:val="nil"/>
              <w:bottom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20" w:type="dxa"/>
            <w:vMerge w:val="restart"/>
            <w:tcBorders>
              <w:left w:val="single" w:color="000000" w:sz="6" w:space="0"/>
              <w:bottom w:val="nil"/>
            </w:tcBorders>
            <w:vAlign w:val="top"/>
          </w:tcPr>
          <w:p>
            <w:pPr>
              <w:rPr>
                <w:rFonts w:ascii="Arial"/>
                <w:sz w:val="21"/>
              </w:rPr>
            </w:pPr>
          </w:p>
        </w:tc>
        <w:tc>
          <w:tcPr>
            <w:tcW w:w="3601" w:type="dxa"/>
            <w:gridSpan w:val="3"/>
            <w:shd w:val="clear" w:color="auto" w:fill="D9D9D9"/>
            <w:vAlign w:val="top"/>
          </w:tcPr>
          <w:p>
            <w:pPr>
              <w:pStyle w:val="8"/>
              <w:spacing w:before="37" w:line="202" w:lineRule="auto"/>
            </w:pPr>
            <w:r>
              <w:rPr>
                <w:spacing w:val="-5"/>
              </w:rPr>
              <w:t>（七）上市公司收购的有关方案；</w:t>
            </w:r>
          </w:p>
        </w:tc>
        <w:tc>
          <w:tcPr>
            <w:tcW w:w="2974" w:type="dxa"/>
            <w:gridSpan w:val="3"/>
            <w:vMerge w:val="continue"/>
            <w:tcBorders>
              <w:top w:val="nil"/>
              <w:left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20" w:type="dxa"/>
            <w:vMerge w:val="continue"/>
            <w:tcBorders>
              <w:top w:val="nil"/>
              <w:left w:val="single" w:color="000000" w:sz="6" w:space="0"/>
            </w:tcBorders>
            <w:vAlign w:val="top"/>
          </w:tcPr>
          <w:p>
            <w:pPr>
              <w:rPr>
                <w:rFonts w:ascii="Arial"/>
                <w:sz w:val="21"/>
              </w:rPr>
            </w:pPr>
          </w:p>
        </w:tc>
        <w:tc>
          <w:tcPr>
            <w:tcW w:w="6575" w:type="dxa"/>
            <w:gridSpan w:val="6"/>
            <w:tcBorders>
              <w:right w:val="single" w:color="000000" w:sz="6" w:space="0"/>
            </w:tcBorders>
            <w:shd w:val="clear" w:color="auto" w:fill="D9D9D9"/>
            <w:vAlign w:val="top"/>
          </w:tcPr>
          <w:p>
            <w:pPr>
              <w:pStyle w:val="8"/>
              <w:spacing w:before="34" w:line="198" w:lineRule="auto"/>
            </w:pPr>
            <w:r>
              <w:rPr>
                <w:spacing w:val="3"/>
              </w:rPr>
              <w:t>（八）国务院证券监督管理机构认定的对证券交易价格有显著</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22" w:type="dxa"/>
            <w:gridSpan w:val="3"/>
            <w:tcBorders>
              <w:left w:val="single" w:color="000000" w:sz="6" w:space="0"/>
              <w:bottom w:val="single" w:color="000000" w:sz="6" w:space="0"/>
            </w:tcBorders>
            <w:shd w:val="clear" w:color="auto" w:fill="D9D9D9"/>
            <w:vAlign w:val="top"/>
          </w:tcPr>
          <w:p>
            <w:pPr>
              <w:pStyle w:val="8"/>
              <w:spacing w:before="39" w:line="199" w:lineRule="auto"/>
              <w:ind w:left="23"/>
            </w:pPr>
            <w:r>
              <w:rPr>
                <w:spacing w:val="-6"/>
              </w:rPr>
              <w:t>影响的其他重要信息。</w:t>
            </w:r>
          </w:p>
        </w:tc>
        <w:tc>
          <w:tcPr>
            <w:tcW w:w="4673" w:type="dxa"/>
            <w:gridSpan w:val="4"/>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7095" w:type="dxa"/>
            <w:gridSpan w:val="7"/>
            <w:tcBorders>
              <w:top w:val="single" w:color="000000" w:sz="6" w:space="0"/>
              <w:left w:val="single" w:color="000000" w:sz="6" w:space="0"/>
              <w:bottom w:val="single" w:color="000000" w:sz="6" w:space="0"/>
              <w:right w:val="single" w:color="000000" w:sz="6" w:space="0"/>
            </w:tcBorders>
            <w:vAlign w:val="top"/>
          </w:tcPr>
          <w:p>
            <w:pPr>
              <w:pStyle w:val="8"/>
              <w:spacing w:before="48" w:line="232" w:lineRule="auto"/>
              <w:ind w:left="30" w:firstLine="482"/>
              <w:jc w:val="both"/>
            </w:pPr>
            <w:r>
              <w:rPr>
                <w:rFonts w:ascii="黑体" w:hAnsi="黑体" w:eastAsia="黑体" w:cs="黑体"/>
                <w:spacing w:val="3"/>
              </w:rPr>
              <w:t xml:space="preserve">第七十六条  </w:t>
            </w:r>
            <w:r>
              <w:rPr>
                <w:spacing w:val="3"/>
              </w:rPr>
              <w:t>证券交易内幕信息的知情人和非法获取内幕信息</w:t>
            </w:r>
            <w:r>
              <w:t xml:space="preserve"> </w:t>
            </w:r>
            <w:r>
              <w:rPr>
                <w:spacing w:val="3"/>
              </w:rPr>
              <w:t>的人，在内幕信息公开前，不得买卖该公司的证券，或者泄露该信</w:t>
            </w:r>
            <w:r>
              <w:rPr>
                <w:spacing w:val="1"/>
              </w:rPr>
              <w:t xml:space="preserve"> </w:t>
            </w:r>
            <w:r>
              <w:rPr>
                <w:spacing w:val="-6"/>
              </w:rPr>
              <w:t>息，或者建议他人买卖该证券。</w:t>
            </w:r>
          </w:p>
          <w:p>
            <w:pPr>
              <w:pStyle w:val="8"/>
              <w:spacing w:before="31" w:line="232" w:lineRule="auto"/>
              <w:ind w:left="19" w:firstLine="496"/>
              <w:jc w:val="both"/>
            </w:pPr>
            <w:r>
              <w:rPr>
                <w:spacing w:val="-2"/>
              </w:rPr>
              <w:t>持有或者通过协议、</w:t>
            </w:r>
            <w:r>
              <w:rPr>
                <w:spacing w:val="-22"/>
              </w:rPr>
              <w:t xml:space="preserve"> </w:t>
            </w:r>
            <w:r>
              <w:rPr>
                <w:position w:val="-7"/>
              </w:rPr>
              <w:drawing>
                <wp:inline distT="0" distB="0" distL="0" distR="0">
                  <wp:extent cx="1270" cy="1270"/>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95"/>
                          <a:stretch>
                            <a:fillRect/>
                          </a:stretch>
                        </pic:blipFill>
                        <pic:spPr>
                          <a:xfrm>
                            <a:off x="0" y="0"/>
                            <a:ext cx="1522" cy="1523"/>
                          </a:xfrm>
                          <a:prstGeom prst="rect">
                            <a:avLst/>
                          </a:prstGeom>
                        </pic:spPr>
                      </pic:pic>
                    </a:graphicData>
                  </a:graphic>
                </wp:inline>
              </w:drawing>
            </w:r>
            <w:r>
              <w:rPr>
                <w:spacing w:val="-106"/>
                <w:u w:val="single" w:color="auto"/>
              </w:rPr>
              <w:t xml:space="preserve"> </w:t>
            </w:r>
            <w:r>
              <w:rPr>
                <w:spacing w:val="-2"/>
                <w:u w:val="single" w:color="auto"/>
              </w:rPr>
              <w:t>其他</w:t>
            </w:r>
            <w:r>
              <w:rPr>
                <w:spacing w:val="-115"/>
                <w:u w:val="single" w:color="auto"/>
              </w:rPr>
              <w:t xml:space="preserve"> </w:t>
            </w:r>
            <w:r>
              <w:rPr>
                <w:position w:val="-7"/>
              </w:rPr>
              <w:drawing>
                <wp:inline distT="0" distB="0" distL="0" distR="0">
                  <wp:extent cx="1270" cy="1270"/>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95"/>
                          <a:stretch>
                            <a:fillRect/>
                          </a:stretch>
                        </pic:blipFill>
                        <pic:spPr>
                          <a:xfrm>
                            <a:off x="0" y="0"/>
                            <a:ext cx="1522" cy="1523"/>
                          </a:xfrm>
                          <a:prstGeom prst="rect">
                            <a:avLst/>
                          </a:prstGeom>
                        </pic:spPr>
                      </pic:pic>
                    </a:graphicData>
                  </a:graphic>
                </wp:inline>
              </w:drawing>
            </w:r>
            <w:r>
              <w:rPr>
                <w:spacing w:val="-105"/>
              </w:rPr>
              <w:t xml:space="preserve"> </w:t>
            </w:r>
            <w:r>
              <w:rPr>
                <w:spacing w:val="-2"/>
              </w:rPr>
              <w:t>安排与他人共同持有公司百分之五以</w:t>
            </w:r>
            <w:r>
              <w:t xml:space="preserve"> 上股份的自然人、法人、</w:t>
            </w:r>
            <w:r>
              <w:rPr>
                <w:spacing w:val="-28"/>
              </w:rPr>
              <w:t xml:space="preserve"> </w:t>
            </w:r>
            <w:r>
              <w:rPr>
                <w:position w:val="-7"/>
              </w:rPr>
              <w:drawing>
                <wp:inline distT="0" distB="0" distL="0" distR="0">
                  <wp:extent cx="2540" cy="19494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84"/>
                          <a:stretch>
                            <a:fillRect/>
                          </a:stretch>
                        </pic:blipFill>
                        <pic:spPr>
                          <a:xfrm>
                            <a:off x="0" y="0"/>
                            <a:ext cx="3122" cy="195326"/>
                          </a:xfrm>
                          <a:prstGeom prst="rect">
                            <a:avLst/>
                          </a:prstGeom>
                        </pic:spPr>
                      </pic:pic>
                    </a:graphicData>
                  </a:graphic>
                </wp:inline>
              </w:drawing>
            </w:r>
            <w:r>
              <w:rPr>
                <w:u w:val="single" w:color="auto"/>
                <w:shd w:val="clear" w:fill="D9D9D9"/>
              </w:rPr>
              <w:t>其他</w:t>
            </w:r>
            <w:r>
              <w:rPr>
                <w:position w:val="-7"/>
              </w:rPr>
              <w:drawing>
                <wp:inline distT="0" distB="0" distL="0" distR="0">
                  <wp:extent cx="2540" cy="194945"/>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84"/>
                          <a:stretch>
                            <a:fillRect/>
                          </a:stretch>
                        </pic:blipFill>
                        <pic:spPr>
                          <a:xfrm>
                            <a:off x="0" y="0"/>
                            <a:ext cx="3122" cy="195326"/>
                          </a:xfrm>
                          <a:prstGeom prst="rect">
                            <a:avLst/>
                          </a:prstGeom>
                        </pic:spPr>
                      </pic:pic>
                    </a:graphicData>
                  </a:graphic>
                </wp:inline>
              </w:drawing>
            </w:r>
            <w:r>
              <w:t>组织收购上市公司的股份，本</w:t>
            </w:r>
            <w:r>
              <w:rPr>
                <w:spacing w:val="-1"/>
              </w:rPr>
              <w:t>法另有</w:t>
            </w:r>
            <w:r>
              <w:t xml:space="preserve"> </w:t>
            </w:r>
            <w:r>
              <w:rPr>
                <w:spacing w:val="-6"/>
              </w:rPr>
              <w:t>规定的，适用其规定。</w:t>
            </w:r>
          </w:p>
          <w:p>
            <w:pPr>
              <w:pStyle w:val="8"/>
              <w:spacing w:before="27" w:line="219" w:lineRule="auto"/>
              <w:ind w:left="20" w:firstLine="525"/>
              <w:jc w:val="both"/>
            </w:pPr>
            <w:r>
              <w:rPr>
                <w:spacing w:val="-3"/>
              </w:rPr>
              <w:t>内幕交易行为给投资者造成损失的， 行为人应当依法承担赔偿</w:t>
            </w:r>
            <w:r>
              <w:rPr>
                <w:spacing w:val="16"/>
              </w:rPr>
              <w:t xml:space="preserve"> </w:t>
            </w:r>
            <w:r>
              <w:rPr>
                <w:spacing w:val="-15"/>
              </w:rPr>
              <w:t>责任。</w:t>
            </w:r>
          </w:p>
        </w:tc>
        <w:tc>
          <w:tcPr>
            <w:tcW w:w="6812" w:type="dxa"/>
            <w:tcBorders>
              <w:top w:val="single" w:color="000000" w:sz="6" w:space="0"/>
              <w:left w:val="single" w:color="000000" w:sz="6" w:space="0"/>
              <w:bottom w:val="single" w:color="000000" w:sz="6" w:space="0"/>
              <w:right w:val="single" w:color="000000" w:sz="6" w:space="0"/>
            </w:tcBorders>
            <w:vAlign w:val="top"/>
          </w:tcPr>
          <w:p>
            <w:pPr>
              <w:pStyle w:val="8"/>
              <w:spacing w:before="48" w:line="232" w:lineRule="auto"/>
              <w:ind w:left="14" w:right="5" w:firstLine="501"/>
              <w:jc w:val="both"/>
            </w:pPr>
            <w:r>
              <w:rPr>
                <w:rFonts w:ascii="黑体" w:hAnsi="黑体" w:eastAsia="黑体" w:cs="黑体"/>
                <w:spacing w:val="1"/>
              </w:rPr>
              <w:t xml:space="preserve">第五十三条  </w:t>
            </w:r>
            <w:r>
              <w:rPr>
                <w:spacing w:val="1"/>
              </w:rPr>
              <w:t>证券交易内幕信息的知情人和非法获取内幕信</w:t>
            </w:r>
            <w:r>
              <w:rPr>
                <w:spacing w:val="8"/>
              </w:rPr>
              <w:t xml:space="preserve"> </w:t>
            </w:r>
            <w:r>
              <w:rPr>
                <w:spacing w:val="-6"/>
              </w:rPr>
              <w:t>息的人， 在内幕信息公开前，不得买卖该公司的证</w:t>
            </w:r>
            <w:r>
              <w:rPr>
                <w:spacing w:val="-7"/>
              </w:rPr>
              <w:t>券， 或者泄露</w:t>
            </w:r>
            <w:r>
              <w:t xml:space="preserve"> </w:t>
            </w:r>
            <w:r>
              <w:rPr>
                <w:spacing w:val="-3"/>
              </w:rPr>
              <w:t>该信息，或者建议他人买卖该证券。</w:t>
            </w:r>
          </w:p>
          <w:p>
            <w:pPr>
              <w:pStyle w:val="8"/>
              <w:spacing w:before="30" w:line="232" w:lineRule="auto"/>
              <w:ind w:left="25" w:right="4" w:firstLine="493"/>
              <w:jc w:val="both"/>
            </w:pPr>
            <w:r>
              <w:rPr>
                <w:spacing w:val="1"/>
              </w:rPr>
              <w:t>持有或者通过协议、其他安排与他人共同持有公司百分之五</w:t>
            </w:r>
            <w:r>
              <w:rPr>
                <w:spacing w:val="3"/>
              </w:rPr>
              <w:t xml:space="preserve"> </w:t>
            </w:r>
            <w:r>
              <w:rPr>
                <w:spacing w:val="-7"/>
              </w:rPr>
              <w:t xml:space="preserve">以上股份的自然人、法人、 </w:t>
            </w:r>
            <w:r>
              <w:rPr>
                <w:rFonts w:ascii="黑体" w:hAnsi="黑体" w:eastAsia="黑体" w:cs="黑体"/>
                <w:spacing w:val="-7"/>
              </w:rPr>
              <w:t>非法人</w:t>
            </w:r>
            <w:r>
              <w:rPr>
                <w:spacing w:val="-7"/>
              </w:rPr>
              <w:t>组织收购上市公司的股份， 本</w:t>
            </w:r>
            <w:r>
              <w:rPr>
                <w:spacing w:val="16"/>
              </w:rPr>
              <w:t xml:space="preserve"> </w:t>
            </w:r>
            <w:r>
              <w:rPr>
                <w:spacing w:val="-5"/>
              </w:rPr>
              <w:t>法另有规定的，适用其规定。</w:t>
            </w:r>
          </w:p>
          <w:p>
            <w:pPr>
              <w:pStyle w:val="8"/>
              <w:spacing w:before="29" w:line="219" w:lineRule="auto"/>
              <w:ind w:left="20" w:right="7" w:firstLine="529"/>
              <w:jc w:val="both"/>
            </w:pPr>
            <w:r>
              <w:rPr>
                <w:spacing w:val="9"/>
              </w:rPr>
              <w:t>内幕交易行为给投资者造成损失的，应当依法承担赔偿责</w:t>
            </w:r>
            <w:r>
              <w:rPr>
                <w:spacing w:val="13"/>
              </w:rPr>
              <w:t xml:space="preserve"> </w:t>
            </w:r>
            <w:r>
              <w:rPr>
                <w:spacing w:val="-16"/>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095" w:type="dxa"/>
            <w:gridSpan w:val="7"/>
            <w:tcBorders>
              <w:top w:val="single" w:color="000000" w:sz="6" w:space="0"/>
              <w:left w:val="single" w:color="000000" w:sz="6" w:space="0"/>
              <w:bottom w:val="single" w:color="000000" w:sz="6" w:space="0"/>
              <w:right w:val="single" w:color="000000" w:sz="6" w:space="0"/>
            </w:tcBorders>
            <w:vAlign w:val="top"/>
          </w:tcPr>
          <w:p>
            <w:pPr>
              <w:rPr>
                <w:rFonts w:ascii="Arial"/>
                <w:sz w:val="21"/>
              </w:rPr>
            </w:pPr>
          </w:p>
        </w:tc>
        <w:tc>
          <w:tcPr>
            <w:tcW w:w="6812" w:type="dxa"/>
            <w:tcBorders>
              <w:top w:val="single" w:color="000000" w:sz="6" w:space="0"/>
              <w:left w:val="single" w:color="000000" w:sz="6" w:space="0"/>
              <w:bottom w:val="single" w:color="000000" w:sz="6" w:space="0"/>
              <w:right w:val="single" w:color="000000" w:sz="6" w:space="0"/>
            </w:tcBorders>
            <w:vAlign w:val="top"/>
          </w:tcPr>
          <w:p>
            <w:pPr>
              <w:spacing w:before="47" w:line="234" w:lineRule="auto"/>
              <w:ind w:left="14" w:right="5" w:firstLine="501"/>
              <w:jc w:val="both"/>
              <w:rPr>
                <w:rFonts w:ascii="黑体" w:hAnsi="黑体" w:eastAsia="黑体" w:cs="黑体"/>
                <w:sz w:val="24"/>
                <w:szCs w:val="24"/>
              </w:rPr>
            </w:pPr>
            <w:r>
              <w:rPr>
                <w:rFonts w:ascii="黑体" w:hAnsi="黑体" w:eastAsia="黑体" w:cs="黑体"/>
                <w:spacing w:val="-3"/>
                <w:sz w:val="24"/>
                <w:szCs w:val="24"/>
              </w:rPr>
              <w:t>第五十四条  禁止证券交易场所、证券公司、 证券登</w:t>
            </w:r>
            <w:r>
              <w:rPr>
                <w:rFonts w:ascii="黑体" w:hAnsi="黑体" w:eastAsia="黑体" w:cs="黑体"/>
                <w:spacing w:val="-4"/>
                <w:sz w:val="24"/>
                <w:szCs w:val="24"/>
              </w:rPr>
              <w:t>记结算</w:t>
            </w:r>
            <w:r>
              <w:rPr>
                <w:rFonts w:ascii="黑体" w:hAnsi="黑体" w:eastAsia="黑体" w:cs="黑体"/>
                <w:sz w:val="24"/>
                <w:szCs w:val="24"/>
              </w:rPr>
              <w:t xml:space="preserve"> </w:t>
            </w:r>
            <w:r>
              <w:rPr>
                <w:rFonts w:ascii="黑体" w:hAnsi="黑体" w:eastAsia="黑体" w:cs="黑体"/>
                <w:spacing w:val="2"/>
                <w:sz w:val="24"/>
                <w:szCs w:val="24"/>
              </w:rPr>
              <w:t>机构、证券服务机构和其他金融机构的从业人员、有关监</w:t>
            </w:r>
            <w:r>
              <w:rPr>
                <w:rFonts w:ascii="黑体" w:hAnsi="黑体" w:eastAsia="黑体" w:cs="黑体"/>
                <w:spacing w:val="1"/>
                <w:sz w:val="24"/>
                <w:szCs w:val="24"/>
              </w:rPr>
              <w:t>管部门</w:t>
            </w:r>
            <w:r>
              <w:rPr>
                <w:rFonts w:ascii="黑体" w:hAnsi="黑体" w:eastAsia="黑体" w:cs="黑体"/>
                <w:sz w:val="24"/>
                <w:szCs w:val="24"/>
              </w:rPr>
              <w:t xml:space="preserve"> </w:t>
            </w:r>
            <w:r>
              <w:rPr>
                <w:rFonts w:ascii="黑体" w:hAnsi="黑体" w:eastAsia="黑体" w:cs="黑体"/>
                <w:spacing w:val="-2"/>
                <w:sz w:val="24"/>
                <w:szCs w:val="24"/>
              </w:rPr>
              <w:t>或者行业协会的工作人员， 利用因职务便利获</w:t>
            </w:r>
            <w:r>
              <w:rPr>
                <w:rFonts w:ascii="黑体" w:hAnsi="黑体" w:eastAsia="黑体" w:cs="黑体"/>
                <w:spacing w:val="-3"/>
                <w:sz w:val="24"/>
                <w:szCs w:val="24"/>
              </w:rPr>
              <w:t>取的内幕信息以外</w:t>
            </w:r>
            <w:r>
              <w:rPr>
                <w:rFonts w:ascii="黑体" w:hAnsi="黑体" w:eastAsia="黑体" w:cs="黑体"/>
                <w:sz w:val="24"/>
                <w:szCs w:val="24"/>
              </w:rPr>
              <w:t xml:space="preserve"> </w:t>
            </w:r>
            <w:r>
              <w:rPr>
                <w:rFonts w:ascii="黑体" w:hAnsi="黑体" w:eastAsia="黑体" w:cs="黑体"/>
                <w:spacing w:val="-2"/>
                <w:sz w:val="24"/>
                <w:szCs w:val="24"/>
              </w:rPr>
              <w:t>的其他未公开的信息，违反规定， 从事与该信息相</w:t>
            </w:r>
            <w:r>
              <w:rPr>
                <w:rFonts w:ascii="黑体" w:hAnsi="黑体" w:eastAsia="黑体" w:cs="黑体"/>
                <w:spacing w:val="-3"/>
                <w:sz w:val="24"/>
                <w:szCs w:val="24"/>
              </w:rPr>
              <w:t>关的证券交易</w:t>
            </w:r>
            <w:r>
              <w:rPr>
                <w:rFonts w:ascii="黑体" w:hAnsi="黑体" w:eastAsia="黑体" w:cs="黑体"/>
                <w:sz w:val="24"/>
                <w:szCs w:val="24"/>
              </w:rPr>
              <w:t xml:space="preserve"> </w:t>
            </w:r>
            <w:r>
              <w:rPr>
                <w:rFonts w:ascii="黑体" w:hAnsi="黑体" w:eastAsia="黑体" w:cs="黑体"/>
                <w:spacing w:val="-2"/>
                <w:sz w:val="24"/>
                <w:szCs w:val="24"/>
              </w:rPr>
              <w:t>活动，或者明示、暗示他人从事相关交易活动。</w:t>
            </w:r>
          </w:p>
          <w:p>
            <w:pPr>
              <w:spacing w:before="34" w:line="220" w:lineRule="auto"/>
              <w:ind w:left="15" w:right="4" w:firstLine="502"/>
              <w:jc w:val="both"/>
              <w:rPr>
                <w:rFonts w:ascii="黑体" w:hAnsi="黑体" w:eastAsia="黑体" w:cs="黑体"/>
                <w:sz w:val="24"/>
                <w:szCs w:val="24"/>
              </w:rPr>
            </w:pPr>
            <w:r>
              <w:rPr>
                <w:rFonts w:ascii="黑体" w:hAnsi="黑体" w:eastAsia="黑体" w:cs="黑体"/>
                <w:spacing w:val="-3"/>
                <w:sz w:val="24"/>
                <w:szCs w:val="24"/>
              </w:rPr>
              <w:t>利用未公开信息进行交易给投资者造成损失的，</w:t>
            </w:r>
            <w:r>
              <w:rPr>
                <w:rFonts w:ascii="黑体" w:hAnsi="黑体" w:eastAsia="黑体" w:cs="黑体"/>
                <w:spacing w:val="-4"/>
                <w:sz w:val="24"/>
                <w:szCs w:val="24"/>
              </w:rPr>
              <w:t xml:space="preserve"> 应当依法承</w:t>
            </w:r>
            <w:r>
              <w:rPr>
                <w:rFonts w:ascii="黑体" w:hAnsi="黑体" w:eastAsia="黑体" w:cs="黑体"/>
                <w:sz w:val="24"/>
                <w:szCs w:val="24"/>
              </w:rPr>
              <w:t xml:space="preserve"> </w:t>
            </w:r>
            <w:r>
              <w:rPr>
                <w:rFonts w:ascii="黑体" w:hAnsi="黑体" w:eastAsia="黑体" w:cs="黑体"/>
                <w:spacing w:val="-6"/>
                <w:sz w:val="24"/>
                <w:szCs w:val="24"/>
              </w:rPr>
              <w:t>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095" w:type="dxa"/>
            <w:gridSpan w:val="7"/>
            <w:tcBorders>
              <w:top w:val="single" w:color="000000" w:sz="6" w:space="0"/>
              <w:left w:val="single" w:color="000000" w:sz="6" w:space="0"/>
              <w:bottom w:val="single" w:color="000000" w:sz="6" w:space="0"/>
              <w:right w:val="single" w:color="000000" w:sz="6" w:space="0"/>
            </w:tcBorders>
            <w:vAlign w:val="top"/>
          </w:tcPr>
          <w:p>
            <w:pPr>
              <w:pStyle w:val="8"/>
              <w:spacing w:before="47" w:line="220" w:lineRule="auto"/>
              <w:ind w:left="513"/>
            </w:pPr>
            <w:r>
              <w:rPr>
                <w:rFonts w:ascii="黑体" w:hAnsi="黑体" w:eastAsia="黑体" w:cs="黑体"/>
                <w:spacing w:val="-3"/>
              </w:rPr>
              <w:t xml:space="preserve">第七十七条  </w:t>
            </w:r>
            <w:r>
              <w:rPr>
                <w:spacing w:val="-3"/>
              </w:rPr>
              <w:t>禁止任何人以下列手段操纵证券市场：</w:t>
            </w:r>
          </w:p>
          <w:p>
            <w:pPr>
              <w:pStyle w:val="8"/>
              <w:spacing w:before="23" w:line="226" w:lineRule="auto"/>
              <w:ind w:left="6" w:right="38" w:firstLine="497"/>
            </w:pPr>
            <w:r>
              <w:pict>
                <v:shape id="_x0000_s1048" o:spid="_x0000_s1048" style="position:absolute;left:0pt;margin-left:144.35pt;margin-top:15pt;height:0.15pt;width:192.05pt;z-index:251683840;mso-width-relative:page;mso-height-relative:page;" fillcolor="#000000" filled="t" stroked="f" coordsize="3841,3" path="m0,0l3840,0,3840,2,0,2,0,0xe">
                  <v:path/>
                  <v:fill on="t" focussize="0,0"/>
                  <v:stroke on="f"/>
                  <v:imagedata o:title=""/>
                  <o:lock v:ext="edit"/>
                </v:shape>
              </w:pict>
            </w:r>
            <w:r>
              <w:rPr>
                <w:spacing w:val="2"/>
              </w:rPr>
              <w:t xml:space="preserve">（一）单独或者通过合谋，集中资金优势、持股优势或者利用 </w:t>
            </w:r>
            <w:r>
              <w:t>信息优势联合或者连续买卖</w:t>
            </w:r>
            <w:r>
              <w:rPr>
                <w:position w:val="23"/>
              </w:rPr>
              <w:drawing>
                <wp:inline distT="0" distB="0" distL="0" distR="0">
                  <wp:extent cx="635" cy="127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74"/>
                          <a:stretch>
                            <a:fillRect/>
                          </a:stretch>
                        </pic:blipFill>
                        <pic:spPr>
                          <a:xfrm>
                            <a:off x="0" y="0"/>
                            <a:ext cx="888" cy="1524"/>
                          </a:xfrm>
                          <a:prstGeom prst="rect">
                            <a:avLst/>
                          </a:prstGeom>
                        </pic:spPr>
                      </pic:pic>
                    </a:graphicData>
                  </a:graphic>
                </wp:inline>
              </w:drawing>
            </w:r>
            <w:r>
              <w:rPr>
                <w:position w:val="-7"/>
              </w:rPr>
              <w:drawing>
                <wp:inline distT="0" distB="0" distL="0" distR="0">
                  <wp:extent cx="635" cy="194945"/>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84"/>
                          <a:stretch>
                            <a:fillRect/>
                          </a:stretch>
                        </pic:blipFill>
                        <pic:spPr>
                          <a:xfrm>
                            <a:off x="0" y="0"/>
                            <a:ext cx="888" cy="195072"/>
                          </a:xfrm>
                          <a:prstGeom prst="rect">
                            <a:avLst/>
                          </a:prstGeom>
                        </pic:spPr>
                      </pic:pic>
                    </a:graphicData>
                  </a:graphic>
                </wp:inline>
              </w:drawing>
            </w:r>
            <w:r>
              <w:rPr>
                <w:u w:val="single" w:color="auto"/>
                <w:shd w:val="clear" w:fill="D9D9D9"/>
              </w:rPr>
              <w:t>，操纵证券交易价格或者证券交</w:t>
            </w:r>
            <w:r>
              <w:rPr>
                <w:spacing w:val="-1"/>
                <w:u w:val="single" w:color="auto"/>
                <w:shd w:val="clear" w:fill="D9D9D9"/>
              </w:rPr>
              <w:t>易量</w:t>
            </w:r>
            <w:r>
              <w:rPr>
                <w:spacing w:val="-1"/>
              </w:rPr>
              <w:t>；</w:t>
            </w:r>
          </w:p>
          <w:p>
            <w:pPr>
              <w:pStyle w:val="8"/>
              <w:spacing w:before="36" w:line="209" w:lineRule="auto"/>
              <w:ind w:right="2"/>
              <w:jc w:val="right"/>
            </w:pPr>
            <w:r>
              <w:rPr>
                <w:spacing w:val="-1"/>
              </w:rPr>
              <w:t>（二）与他人串通， 以事先约定的时间、价格和方式相互进行</w:t>
            </w:r>
          </w:p>
        </w:tc>
        <w:tc>
          <w:tcPr>
            <w:tcW w:w="6812" w:type="dxa"/>
            <w:tcBorders>
              <w:top w:val="single" w:color="000000" w:sz="6" w:space="0"/>
              <w:left w:val="single" w:color="000000" w:sz="6" w:space="0"/>
              <w:bottom w:val="single" w:color="000000" w:sz="6" w:space="0"/>
              <w:right w:val="single" w:color="000000" w:sz="6" w:space="0"/>
            </w:tcBorders>
            <w:vAlign w:val="top"/>
          </w:tcPr>
          <w:p>
            <w:pPr>
              <w:pStyle w:val="8"/>
              <w:spacing w:before="46" w:line="230" w:lineRule="auto"/>
              <w:ind w:left="18" w:right="3" w:firstLine="497"/>
            </w:pPr>
            <w:r>
              <w:rPr>
                <w:rFonts w:ascii="黑体" w:hAnsi="黑体" w:eastAsia="黑体" w:cs="黑体"/>
                <w:spacing w:val="1"/>
              </w:rPr>
              <w:t xml:space="preserve">第五十五条  </w:t>
            </w:r>
            <w:r>
              <w:rPr>
                <w:spacing w:val="1"/>
              </w:rPr>
              <w:t>禁止任何人以下列手段操纵证券市场</w:t>
            </w:r>
            <w:r>
              <w:rPr>
                <w:rFonts w:ascii="黑体" w:hAnsi="黑体" w:eastAsia="黑体" w:cs="黑体"/>
                <w:spacing w:val="1"/>
              </w:rPr>
              <w:t>，影响或</w:t>
            </w:r>
            <w:r>
              <w:rPr>
                <w:rFonts w:ascii="黑体" w:hAnsi="黑体" w:eastAsia="黑体" w:cs="黑体"/>
                <w:spacing w:val="9"/>
              </w:rPr>
              <w:t xml:space="preserve"> </w:t>
            </w:r>
            <w:r>
              <w:rPr>
                <w:rFonts w:ascii="黑体" w:hAnsi="黑体" w:eastAsia="黑体" w:cs="黑体"/>
                <w:spacing w:val="-1"/>
              </w:rPr>
              <w:t>者意图影响证券交易价格或者证券交易量</w:t>
            </w:r>
            <w:r>
              <w:rPr>
                <w:spacing w:val="-1"/>
              </w:rPr>
              <w:t>：</w:t>
            </w:r>
          </w:p>
          <w:p>
            <w:pPr>
              <w:pStyle w:val="8"/>
              <w:spacing w:before="25" w:line="224" w:lineRule="auto"/>
              <w:ind w:left="16" w:right="44" w:firstLine="489"/>
            </w:pPr>
            <w:r>
              <w:t>（一）单独或者通过合谋，集中资金优势、持股优势或者利</w:t>
            </w:r>
            <w:r>
              <w:rPr>
                <w:spacing w:val="4"/>
              </w:rPr>
              <w:t xml:space="preserve"> </w:t>
            </w:r>
            <w:r>
              <w:rPr>
                <w:spacing w:val="-5"/>
              </w:rPr>
              <w:t>用信息优势联合或者连续买卖；</w:t>
            </w:r>
          </w:p>
        </w:tc>
      </w:tr>
    </w:tbl>
    <w:p>
      <w:pPr>
        <w:spacing w:line="168" w:lineRule="exact"/>
        <w:rPr>
          <w:rFonts w:ascii="Arial"/>
          <w:sz w:val="14"/>
        </w:rPr>
      </w:pPr>
    </w:p>
    <w:p>
      <w:pPr>
        <w:spacing w:line="168" w:lineRule="exact"/>
        <w:rPr>
          <w:rFonts w:ascii="Arial" w:hAnsi="Arial" w:eastAsia="Arial" w:cs="Arial"/>
          <w:sz w:val="14"/>
          <w:szCs w:val="14"/>
        </w:rPr>
        <w:sectPr>
          <w:footerReference r:id="rId21"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3"/>
        <w:gridCol w:w="717"/>
        <w:gridCol w:w="259"/>
        <w:gridCol w:w="242"/>
        <w:gridCol w:w="940"/>
        <w:gridCol w:w="1472"/>
        <w:gridCol w:w="928"/>
        <w:gridCol w:w="818"/>
        <w:gridCol w:w="1457"/>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80" w:type="dxa"/>
            <w:gridSpan w:val="2"/>
            <w:tcBorders>
              <w:bottom w:val="nil"/>
              <w:right w:val="single" w:color="000000" w:sz="2" w:space="0"/>
            </w:tcBorders>
            <w:vAlign w:val="top"/>
          </w:tcPr>
          <w:p>
            <w:pPr>
              <w:pStyle w:val="8"/>
              <w:spacing w:before="39" w:line="204" w:lineRule="auto"/>
              <w:ind w:right="1"/>
              <w:jc w:val="right"/>
            </w:pPr>
            <w:r>
              <w:rPr>
                <w:spacing w:val="-4"/>
              </w:rPr>
              <w:t>证券交易</w:t>
            </w:r>
          </w:p>
        </w:tc>
        <w:tc>
          <w:tcPr>
            <w:tcW w:w="3841" w:type="dxa"/>
            <w:gridSpan w:val="5"/>
            <w:tcBorders>
              <w:left w:val="single" w:color="000000" w:sz="2" w:space="0"/>
              <w:bottom w:val="single" w:color="000000" w:sz="2" w:space="0"/>
              <w:right w:val="single" w:color="000000" w:sz="2" w:space="0"/>
            </w:tcBorders>
            <w:shd w:val="clear" w:color="auto" w:fill="D9D9D9"/>
            <w:vAlign w:val="top"/>
          </w:tcPr>
          <w:p>
            <w:pPr>
              <w:pStyle w:val="8"/>
              <w:spacing w:before="39" w:line="204" w:lineRule="auto"/>
              <w:ind w:left="24"/>
            </w:pPr>
            <w:r>
              <w:rPr>
                <w:spacing w:val="4"/>
              </w:rPr>
              <w:t>,影响证券交易价格或者证券交易量</w:t>
            </w:r>
          </w:p>
        </w:tc>
        <w:tc>
          <w:tcPr>
            <w:tcW w:w="2275" w:type="dxa"/>
            <w:gridSpan w:val="2"/>
            <w:tcBorders>
              <w:left w:val="single" w:color="000000" w:sz="2" w:space="0"/>
              <w:bottom w:val="single" w:color="000000" w:sz="2" w:space="0"/>
            </w:tcBorders>
            <w:vAlign w:val="top"/>
          </w:tcPr>
          <w:p>
            <w:pPr>
              <w:pStyle w:val="8"/>
              <w:spacing w:before="123" w:line="182" w:lineRule="exact"/>
              <w:ind w:left="16"/>
            </w:pPr>
            <w:r>
              <w:rPr>
                <w:position w:val="2"/>
              </w:rPr>
              <w:t>;</w:t>
            </w:r>
          </w:p>
        </w:tc>
        <w:tc>
          <w:tcPr>
            <w:tcW w:w="6811" w:type="dxa"/>
            <w:vMerge w:val="restart"/>
            <w:tcBorders>
              <w:bottom w:val="nil"/>
            </w:tcBorders>
            <w:vAlign w:val="top"/>
          </w:tcPr>
          <w:p>
            <w:pPr>
              <w:pStyle w:val="8"/>
              <w:spacing w:before="41" w:line="228" w:lineRule="auto"/>
              <w:ind w:left="15" w:right="20" w:firstLine="489"/>
            </w:pPr>
            <w:r>
              <w:rPr>
                <w:spacing w:val="1"/>
              </w:rPr>
              <w:t>（二）与他人串通，以事先约定的时间、价格和方式相互进</w:t>
            </w:r>
            <w:r>
              <w:rPr>
                <w:spacing w:val="3"/>
              </w:rPr>
              <w:t xml:space="preserve"> </w:t>
            </w:r>
            <w:r>
              <w:rPr>
                <w:spacing w:val="-11"/>
              </w:rPr>
              <w:t>行证券交易；</w:t>
            </w:r>
          </w:p>
          <w:p>
            <w:pPr>
              <w:pStyle w:val="8"/>
              <w:spacing w:before="29" w:line="214" w:lineRule="auto"/>
              <w:ind w:left="505"/>
            </w:pPr>
            <w:r>
              <w:rPr>
                <w:spacing w:val="-3"/>
              </w:rPr>
              <w:t>（三）在自己实际控制的账户之间进行证券交易；</w:t>
            </w:r>
          </w:p>
          <w:p>
            <w:pPr>
              <w:spacing w:before="32" w:line="213" w:lineRule="auto"/>
              <w:ind w:left="530"/>
              <w:rPr>
                <w:rFonts w:ascii="黑体" w:hAnsi="黑体" w:eastAsia="黑体" w:cs="黑体"/>
                <w:sz w:val="24"/>
                <w:szCs w:val="24"/>
              </w:rPr>
            </w:pPr>
            <w:r>
              <w:rPr>
                <w:rFonts w:ascii="黑体" w:hAnsi="黑体" w:eastAsia="黑体" w:cs="黑体"/>
                <w:spacing w:val="-3"/>
                <w:sz w:val="24"/>
                <w:szCs w:val="24"/>
              </w:rPr>
              <w:t>（四）不以成交为目的，频繁或者大量申报并撤销申报；</w:t>
            </w:r>
          </w:p>
          <w:p>
            <w:pPr>
              <w:spacing w:before="33" w:line="226" w:lineRule="auto"/>
              <w:ind w:left="20" w:right="15" w:firstLine="510"/>
              <w:rPr>
                <w:rFonts w:ascii="黑体" w:hAnsi="黑体" w:eastAsia="黑体" w:cs="黑体"/>
                <w:sz w:val="24"/>
                <w:szCs w:val="24"/>
              </w:rPr>
            </w:pPr>
            <w:r>
              <w:rPr>
                <w:rFonts w:ascii="黑体" w:hAnsi="黑体" w:eastAsia="黑体" w:cs="黑体"/>
                <w:spacing w:val="-4"/>
                <w:sz w:val="24"/>
                <w:szCs w:val="24"/>
              </w:rPr>
              <w:t>（五）利用虚假或者不确定的重大信息， 诱导投资</w:t>
            </w:r>
            <w:r>
              <w:rPr>
                <w:rFonts w:ascii="黑体" w:hAnsi="黑体" w:eastAsia="黑体" w:cs="黑体"/>
                <w:spacing w:val="-5"/>
                <w:sz w:val="24"/>
                <w:szCs w:val="24"/>
              </w:rPr>
              <w:t>者进行证</w:t>
            </w:r>
            <w:r>
              <w:rPr>
                <w:rFonts w:ascii="黑体" w:hAnsi="黑体" w:eastAsia="黑体" w:cs="黑体"/>
                <w:sz w:val="24"/>
                <w:szCs w:val="24"/>
              </w:rPr>
              <w:t xml:space="preserve"> </w:t>
            </w:r>
            <w:r>
              <w:rPr>
                <w:rFonts w:ascii="黑体" w:hAnsi="黑体" w:eastAsia="黑体" w:cs="黑体"/>
                <w:spacing w:val="-11"/>
                <w:sz w:val="24"/>
                <w:szCs w:val="24"/>
              </w:rPr>
              <w:t>券交易；</w:t>
            </w:r>
          </w:p>
          <w:p>
            <w:pPr>
              <w:spacing w:before="36" w:line="226" w:lineRule="auto"/>
              <w:ind w:left="18" w:right="60" w:firstLine="512"/>
              <w:rPr>
                <w:rFonts w:ascii="黑体" w:hAnsi="黑体" w:eastAsia="黑体" w:cs="黑体"/>
                <w:sz w:val="24"/>
                <w:szCs w:val="24"/>
              </w:rPr>
            </w:pPr>
            <w:r>
              <w:rPr>
                <w:rFonts w:ascii="黑体" w:hAnsi="黑体" w:eastAsia="黑体" w:cs="黑体"/>
                <w:spacing w:val="-2"/>
                <w:sz w:val="24"/>
                <w:szCs w:val="24"/>
              </w:rPr>
              <w:t>（六）对证券、发行人公开作出评价、预测或者投资建议，</w:t>
            </w:r>
            <w:r>
              <w:rPr>
                <w:rFonts w:ascii="黑体" w:hAnsi="黑体" w:eastAsia="黑体" w:cs="黑体"/>
                <w:spacing w:val="15"/>
                <w:sz w:val="24"/>
                <w:szCs w:val="24"/>
              </w:rPr>
              <w:t xml:space="preserve"> </w:t>
            </w:r>
            <w:r>
              <w:rPr>
                <w:rFonts w:ascii="黑体" w:hAnsi="黑体" w:eastAsia="黑体" w:cs="黑体"/>
                <w:spacing w:val="-6"/>
                <w:sz w:val="24"/>
                <w:szCs w:val="24"/>
              </w:rPr>
              <w:t>并进行反向证券交易；</w:t>
            </w:r>
          </w:p>
          <w:p>
            <w:pPr>
              <w:spacing w:before="34" w:line="213" w:lineRule="auto"/>
              <w:ind w:left="530"/>
              <w:rPr>
                <w:rFonts w:ascii="黑体" w:hAnsi="黑体" w:eastAsia="黑体" w:cs="黑体"/>
                <w:sz w:val="24"/>
                <w:szCs w:val="24"/>
              </w:rPr>
            </w:pPr>
            <w:r>
              <w:rPr>
                <w:rFonts w:ascii="黑体" w:hAnsi="黑体" w:eastAsia="黑体" w:cs="黑体"/>
                <w:spacing w:val="-3"/>
                <w:sz w:val="24"/>
                <w:szCs w:val="24"/>
              </w:rPr>
              <w:t>（七）利用在其他相关市场的活动操纵证券市</w:t>
            </w:r>
            <w:r>
              <w:rPr>
                <w:rFonts w:ascii="黑体" w:hAnsi="黑体" w:eastAsia="黑体" w:cs="黑体"/>
                <w:spacing w:val="-4"/>
                <w:sz w:val="24"/>
                <w:szCs w:val="24"/>
              </w:rPr>
              <w:t>场；</w:t>
            </w:r>
          </w:p>
          <w:p>
            <w:pPr>
              <w:pStyle w:val="8"/>
              <w:spacing w:before="35" w:line="217" w:lineRule="auto"/>
              <w:ind w:left="505"/>
            </w:pPr>
            <w:r>
              <w:rPr>
                <w:spacing w:val="-4"/>
              </w:rPr>
              <w:t>（八）操纵证券市场的其他手段。</w:t>
            </w:r>
          </w:p>
          <w:p>
            <w:pPr>
              <w:pStyle w:val="8"/>
              <w:spacing w:before="30" w:line="223" w:lineRule="auto"/>
              <w:ind w:left="23" w:right="7" w:firstLine="475"/>
            </w:pPr>
            <w:r>
              <w:rPr>
                <w:spacing w:val="-3"/>
              </w:rPr>
              <w:t>操纵证券市场行为给投资者造成损失的， 应当依法承担赔偿</w:t>
            </w:r>
            <w:r>
              <w:rPr>
                <w:spacing w:val="10"/>
              </w:rPr>
              <w:t xml:space="preserve"> </w:t>
            </w:r>
            <w:r>
              <w:rPr>
                <w:spacing w:val="-15"/>
              </w:rPr>
              <w:t>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639" w:type="dxa"/>
            <w:gridSpan w:val="8"/>
            <w:tcBorders>
              <w:top w:val="single" w:color="000000" w:sz="2" w:space="0"/>
              <w:bottom w:val="nil"/>
              <w:right w:val="single" w:color="000000" w:sz="2" w:space="0"/>
            </w:tcBorders>
            <w:vAlign w:val="top"/>
          </w:tcPr>
          <w:p>
            <w:pPr>
              <w:pStyle w:val="8"/>
              <w:spacing w:before="32" w:line="200" w:lineRule="auto"/>
              <w:ind w:right="33"/>
              <w:jc w:val="right"/>
            </w:pPr>
            <w:r>
              <w:rPr>
                <w:spacing w:val="2"/>
              </w:rPr>
              <w:t>（三）在自己实际控制的账户之间进行证券交易</w:t>
            </w:r>
          </w:p>
        </w:tc>
        <w:tc>
          <w:tcPr>
            <w:tcW w:w="1457" w:type="dxa"/>
            <w:tcBorders>
              <w:top w:val="single" w:color="000000" w:sz="2" w:space="0"/>
              <w:left w:val="single" w:color="000000" w:sz="2" w:space="0"/>
              <w:bottom w:val="single" w:color="000000" w:sz="2" w:space="0"/>
            </w:tcBorders>
            <w:shd w:val="clear" w:color="auto" w:fill="D9D9D9"/>
            <w:vAlign w:val="top"/>
          </w:tcPr>
          <w:p>
            <w:pPr>
              <w:pStyle w:val="8"/>
              <w:spacing w:before="32" w:line="200" w:lineRule="auto"/>
              <w:jc w:val="right"/>
            </w:pPr>
            <w:r>
              <w:rPr>
                <w:spacing w:val="-17"/>
              </w:rPr>
              <w:t>,</w:t>
            </w:r>
            <w:r>
              <w:rPr>
                <w:spacing w:val="79"/>
              </w:rPr>
              <w:t xml:space="preserve"> </w:t>
            </w:r>
            <w:r>
              <w:rPr>
                <w:spacing w:val="-17"/>
              </w:rPr>
              <w:t>影响证券交</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2421" w:type="dxa"/>
            <w:gridSpan w:val="5"/>
            <w:tcBorders>
              <w:top w:val="single" w:color="000000" w:sz="2" w:space="0"/>
              <w:bottom w:val="single" w:color="000000" w:sz="2" w:space="0"/>
              <w:right w:val="single" w:color="000000" w:sz="2" w:space="0"/>
            </w:tcBorders>
            <w:shd w:val="clear" w:color="auto" w:fill="D9D9D9"/>
            <w:vAlign w:val="top"/>
          </w:tcPr>
          <w:p>
            <w:pPr>
              <w:pStyle w:val="8"/>
              <w:spacing w:before="34" w:line="198" w:lineRule="auto"/>
              <w:ind w:right="2"/>
              <w:jc w:val="right"/>
            </w:pPr>
            <w:r>
              <w:rPr>
                <w:spacing w:val="-3"/>
              </w:rPr>
              <w:t>易价格或者证券交易量</w:t>
            </w:r>
          </w:p>
        </w:tc>
        <w:tc>
          <w:tcPr>
            <w:tcW w:w="1472" w:type="dxa"/>
            <w:tcBorders>
              <w:top w:val="nil"/>
              <w:left w:val="single" w:color="000000" w:sz="2" w:space="0"/>
              <w:bottom w:val="single" w:color="000000" w:sz="2" w:space="0"/>
              <w:right w:val="nil"/>
            </w:tcBorders>
            <w:vAlign w:val="top"/>
          </w:tcPr>
          <w:p>
            <w:pPr>
              <w:pStyle w:val="8"/>
              <w:spacing w:before="117" w:line="175" w:lineRule="exact"/>
              <w:ind w:left="15"/>
            </w:pPr>
            <w:r>
              <w:rPr>
                <w:position w:val="2"/>
              </w:rPr>
              <w:t>;</w:t>
            </w:r>
          </w:p>
        </w:tc>
        <w:tc>
          <w:tcPr>
            <w:tcW w:w="3203" w:type="dxa"/>
            <w:gridSpan w:val="3"/>
            <w:vMerge w:val="restart"/>
            <w:tcBorders>
              <w:top w:val="nil"/>
              <w:left w:val="single" w:color="000000" w:sz="2" w:space="0"/>
              <w:bottom w:val="nil"/>
            </w:tcBorders>
            <w:vAlign w:val="top"/>
          </w:tcPr>
          <w:p>
            <w:pPr>
              <w:spacing w:line="449" w:lineRule="auto"/>
              <w:rPr>
                <w:rFonts w:ascii="Arial"/>
                <w:sz w:val="21"/>
              </w:rPr>
            </w:pPr>
          </w:p>
          <w:p>
            <w:pPr>
              <w:pStyle w:val="8"/>
              <w:spacing w:before="78" w:line="88" w:lineRule="exact"/>
              <w:ind w:left="26"/>
            </w:pPr>
            <w:r>
              <w:rPr>
                <w:position w:val="1"/>
              </w:rPr>
              <w:t>。</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239" w:type="dxa"/>
            <w:gridSpan w:val="3"/>
            <w:tcBorders>
              <w:top w:val="single" w:color="000000" w:sz="2" w:space="0"/>
              <w:bottom w:val="nil"/>
              <w:right w:val="single" w:color="000000" w:sz="2" w:space="0"/>
            </w:tcBorders>
            <w:vAlign w:val="top"/>
          </w:tcPr>
          <w:p>
            <w:pPr>
              <w:pStyle w:val="8"/>
              <w:spacing w:before="53" w:line="198" w:lineRule="auto"/>
              <w:ind w:right="5"/>
              <w:jc w:val="right"/>
            </w:pPr>
            <w:r>
              <w:t>（四）</w:t>
            </w:r>
          </w:p>
        </w:tc>
        <w:tc>
          <w:tcPr>
            <w:tcW w:w="242"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3" w:line="198" w:lineRule="auto"/>
              <w:jc w:val="right"/>
            </w:pPr>
            <w:r>
              <w:rPr>
                <w:spacing w:val="-43"/>
              </w:rPr>
              <w:t>以</w:t>
            </w:r>
          </w:p>
        </w:tc>
        <w:tc>
          <w:tcPr>
            <w:tcW w:w="2412" w:type="dxa"/>
            <w:gridSpan w:val="2"/>
            <w:tcBorders>
              <w:top w:val="single" w:color="000000" w:sz="2" w:space="0"/>
              <w:left w:val="single" w:color="000000" w:sz="2" w:space="0"/>
              <w:bottom w:val="single" w:color="000000" w:sz="2" w:space="0"/>
              <w:right w:val="single" w:color="000000" w:sz="2" w:space="0"/>
            </w:tcBorders>
            <w:vAlign w:val="top"/>
          </w:tcPr>
          <w:p>
            <w:pPr>
              <w:pStyle w:val="8"/>
              <w:spacing w:before="53" w:line="198" w:lineRule="auto"/>
              <w:ind w:left="11"/>
            </w:pPr>
            <w:r>
              <w:rPr>
                <w:spacing w:val="-1"/>
              </w:rPr>
              <w:t>其他手段操纵证券市场</w:t>
            </w:r>
          </w:p>
        </w:tc>
        <w:tc>
          <w:tcPr>
            <w:tcW w:w="3203" w:type="dxa"/>
            <w:gridSpan w:val="3"/>
            <w:vMerge w:val="continue"/>
            <w:tcBorders>
              <w:top w:val="nil"/>
              <w:left w:val="single" w:color="000000" w:sz="2" w:space="0"/>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7096" w:type="dxa"/>
            <w:gridSpan w:val="9"/>
            <w:tcBorders>
              <w:top w:val="nil"/>
            </w:tcBorders>
            <w:vAlign w:val="top"/>
          </w:tcPr>
          <w:p>
            <w:pPr>
              <w:pStyle w:val="8"/>
              <w:spacing w:before="45" w:line="229" w:lineRule="auto"/>
              <w:ind w:left="12" w:firstLine="503"/>
            </w:pPr>
            <w:r>
              <w:rPr>
                <w:spacing w:val="3"/>
              </w:rPr>
              <w:t xml:space="preserve">操纵证券市场行为给投资者造成损失的，行为人应当依法承担 </w:t>
            </w:r>
            <w:r>
              <w:rPr>
                <w:spacing w:val="-10"/>
              </w:rPr>
              <w:t>赔偿责任。</w:t>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63" w:type="dxa"/>
            <w:tcBorders>
              <w:bottom w:val="single" w:color="000000" w:sz="2" w:space="0"/>
              <w:right w:val="nil"/>
            </w:tcBorders>
            <w:vAlign w:val="top"/>
          </w:tcPr>
          <w:p>
            <w:pPr>
              <w:rPr>
                <w:rFonts w:ascii="Arial"/>
                <w:sz w:val="21"/>
              </w:rPr>
            </w:pPr>
          </w:p>
        </w:tc>
        <w:tc>
          <w:tcPr>
            <w:tcW w:w="6833" w:type="dxa"/>
            <w:gridSpan w:val="8"/>
            <w:vMerge w:val="restart"/>
            <w:tcBorders>
              <w:left w:val="nil"/>
              <w:bottom w:val="nil"/>
            </w:tcBorders>
            <w:vAlign w:val="top"/>
          </w:tcPr>
          <w:p>
            <w:pPr>
              <w:pStyle w:val="8"/>
              <w:spacing w:before="5" w:line="227" w:lineRule="auto"/>
              <w:ind w:left="3" w:firstLine="254"/>
            </w:pPr>
            <w:r>
              <w:rPr>
                <w:rFonts w:ascii="黑体" w:hAnsi="黑体" w:eastAsia="黑体" w:cs="黑体"/>
                <w:spacing w:val="3"/>
              </w:rPr>
              <w:t xml:space="preserve">第七十八条  </w:t>
            </w:r>
            <w:r>
              <w:rPr>
                <w:spacing w:val="3"/>
              </w:rPr>
              <w:t>禁止</w:t>
            </w:r>
            <w:r>
              <w:rPr>
                <w:position w:val="-7"/>
              </w:rPr>
              <w:drawing>
                <wp:inline distT="0" distB="0" distL="0" distR="0">
                  <wp:extent cx="3175" cy="194945"/>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76"/>
                          <a:stretch>
                            <a:fillRect/>
                          </a:stretch>
                        </pic:blipFill>
                        <pic:spPr>
                          <a:xfrm>
                            <a:off x="0" y="0"/>
                            <a:ext cx="3198" cy="195071"/>
                          </a:xfrm>
                          <a:prstGeom prst="rect">
                            <a:avLst/>
                          </a:prstGeom>
                        </pic:spPr>
                      </pic:pic>
                    </a:graphicData>
                  </a:graphic>
                </wp:inline>
              </w:drawing>
            </w:r>
            <w:r>
              <w:rPr>
                <w:spacing w:val="3"/>
                <w:u w:val="single" w:color="auto"/>
                <w:shd w:val="clear" w:fill="D9D9D9"/>
              </w:rPr>
              <w:t>国家工作人员、传播媒介从业人员和</w:t>
            </w:r>
            <w:r>
              <w:rPr>
                <w:spacing w:val="2"/>
                <w:u w:val="single" w:color="auto"/>
                <w:shd w:val="clear" w:fill="D9D9D9"/>
              </w:rPr>
              <w:t>有关人</w:t>
            </w:r>
            <w:r>
              <w:t xml:space="preserve"> </w:t>
            </w:r>
            <w:r>
              <w:rPr>
                <w:spacing w:val="-4"/>
              </w:rPr>
              <w:t>编造、传播虚假信息，扰乱证券市场。</w:t>
            </w:r>
          </w:p>
        </w:tc>
        <w:tc>
          <w:tcPr>
            <w:tcW w:w="6811" w:type="dxa"/>
            <w:vMerge w:val="restart"/>
            <w:tcBorders>
              <w:bottom w:val="nil"/>
            </w:tcBorders>
            <w:vAlign w:val="top"/>
          </w:tcPr>
          <w:p>
            <w:pPr>
              <w:pStyle w:val="8"/>
              <w:spacing w:before="35" w:line="228" w:lineRule="auto"/>
              <w:ind w:left="15" w:right="4" w:firstLine="499"/>
            </w:pPr>
            <w:r>
              <w:rPr>
                <w:rFonts w:ascii="黑体" w:hAnsi="黑体" w:eastAsia="黑体" w:cs="黑体"/>
                <w:spacing w:val="1"/>
              </w:rPr>
              <w:t xml:space="preserve">第五十六条  </w:t>
            </w:r>
            <w:r>
              <w:rPr>
                <w:spacing w:val="1"/>
              </w:rPr>
              <w:t>禁止</w:t>
            </w:r>
            <w:r>
              <w:rPr>
                <w:rFonts w:ascii="黑体" w:hAnsi="黑体" w:eastAsia="黑体" w:cs="黑体"/>
                <w:spacing w:val="1"/>
              </w:rPr>
              <w:t>任何单位和个人</w:t>
            </w:r>
            <w:r>
              <w:rPr>
                <w:spacing w:val="1"/>
              </w:rPr>
              <w:t>编造、传播虚假信息或者</w:t>
            </w:r>
            <w:r>
              <w:rPr>
                <w:spacing w:val="8"/>
              </w:rPr>
              <w:t xml:space="preserve"> </w:t>
            </w:r>
            <w:r>
              <w:rPr>
                <w:spacing w:val="-5"/>
              </w:rPr>
              <w:t>误导性信息，扰乱证券市场。</w:t>
            </w:r>
          </w:p>
          <w:p>
            <w:pPr>
              <w:pStyle w:val="8"/>
              <w:spacing w:before="32" w:line="231" w:lineRule="auto"/>
              <w:ind w:left="17" w:right="5" w:firstLine="504"/>
            </w:pPr>
            <w:r>
              <w:rPr>
                <w:spacing w:val="1"/>
              </w:rPr>
              <w:t>禁止证券交易场所、证券公司、证券登记结算机构、证券服</w:t>
            </w:r>
            <w:r>
              <w:t xml:space="preserve"> </w:t>
            </w:r>
            <w:r>
              <w:rPr>
                <w:spacing w:val="-2"/>
              </w:rPr>
              <w:t>务机构及其从业人员， 证券业协会、证券</w:t>
            </w:r>
            <w:r>
              <w:rPr>
                <w:spacing w:val="-3"/>
              </w:rPr>
              <w:t>监督管理机构及其工作</w:t>
            </w:r>
            <w:r>
              <w:t xml:space="preserve"> </w:t>
            </w:r>
            <w:r>
              <w:rPr>
                <w:spacing w:val="-3"/>
              </w:rPr>
              <w:t>人员，在证券交易活动中作出虚假陈述或者信息误导。</w:t>
            </w:r>
          </w:p>
          <w:p>
            <w:pPr>
              <w:pStyle w:val="8"/>
              <w:spacing w:before="32" w:line="233" w:lineRule="auto"/>
              <w:ind w:left="18" w:right="7" w:firstLine="495"/>
              <w:rPr>
                <w:rFonts w:ascii="黑体" w:hAnsi="黑体" w:eastAsia="黑体" w:cs="黑体"/>
              </w:rPr>
            </w:pPr>
            <w:r>
              <w:rPr>
                <w:spacing w:val="11"/>
              </w:rPr>
              <w:t>各种传播媒介传播证券市场信息必须真实、客观</w:t>
            </w:r>
            <w:r>
              <w:rPr>
                <w:rFonts w:ascii="黑体" w:hAnsi="黑体" w:eastAsia="黑体" w:cs="黑体"/>
                <w:spacing w:val="11"/>
              </w:rPr>
              <w:t>，禁</w:t>
            </w:r>
            <w:r>
              <w:rPr>
                <w:rFonts w:ascii="黑体" w:hAnsi="黑体" w:eastAsia="黑体" w:cs="黑体"/>
                <w:spacing w:val="10"/>
              </w:rPr>
              <w:t>止误</w:t>
            </w:r>
            <w:r>
              <w:rPr>
                <w:rFonts w:ascii="黑体" w:hAnsi="黑体" w:eastAsia="黑体" w:cs="黑体"/>
              </w:rPr>
              <w:t xml:space="preserve"> </w:t>
            </w:r>
            <w:r>
              <w:rPr>
                <w:rFonts w:ascii="黑体" w:hAnsi="黑体" w:eastAsia="黑体" w:cs="黑体"/>
                <w:spacing w:val="2"/>
              </w:rPr>
              <w:t>导。传播媒介及其从事证券市场信息报道的工</w:t>
            </w:r>
            <w:r>
              <w:rPr>
                <w:rFonts w:ascii="黑体" w:hAnsi="黑体" w:eastAsia="黑体" w:cs="黑体"/>
                <w:spacing w:val="1"/>
              </w:rPr>
              <w:t>作人员不得从事与</w:t>
            </w:r>
            <w:r>
              <w:rPr>
                <w:rFonts w:ascii="黑体" w:hAnsi="黑体" w:eastAsia="黑体" w:cs="黑体"/>
              </w:rPr>
              <w:t xml:space="preserve"> </w:t>
            </w:r>
            <w:r>
              <w:rPr>
                <w:rFonts w:ascii="黑体" w:hAnsi="黑体" w:eastAsia="黑体" w:cs="黑体"/>
                <w:spacing w:val="-3"/>
              </w:rPr>
              <w:t>其工作职责发生利益冲突的证券买卖。</w:t>
            </w:r>
          </w:p>
          <w:p>
            <w:pPr>
              <w:spacing w:before="24" w:line="220" w:lineRule="auto"/>
              <w:ind w:left="24" w:right="7" w:firstLine="488"/>
              <w:rPr>
                <w:rFonts w:ascii="黑体" w:hAnsi="黑体" w:eastAsia="黑体" w:cs="黑体"/>
                <w:sz w:val="24"/>
                <w:szCs w:val="24"/>
              </w:rPr>
            </w:pPr>
            <w:r>
              <w:rPr>
                <w:rFonts w:ascii="黑体" w:hAnsi="黑体" w:eastAsia="黑体" w:cs="黑体"/>
                <w:spacing w:val="-3"/>
                <w:sz w:val="24"/>
                <w:szCs w:val="24"/>
              </w:rPr>
              <w:t>编造、传播虚假信息或者误导性信息，扰乱证券市</w:t>
            </w:r>
            <w:r>
              <w:rPr>
                <w:rFonts w:ascii="黑体" w:hAnsi="黑体" w:eastAsia="黑体" w:cs="黑体"/>
                <w:spacing w:val="-4"/>
                <w:sz w:val="24"/>
                <w:szCs w:val="24"/>
              </w:rPr>
              <w:t>场， 给投</w:t>
            </w:r>
            <w:r>
              <w:rPr>
                <w:rFonts w:ascii="黑体" w:hAnsi="黑体" w:eastAsia="黑体" w:cs="黑体"/>
                <w:sz w:val="24"/>
                <w:szCs w:val="24"/>
              </w:rPr>
              <w:t xml:space="preserve"> </w:t>
            </w:r>
            <w:r>
              <w:rPr>
                <w:rFonts w:ascii="黑体" w:hAnsi="黑体" w:eastAsia="黑体" w:cs="黑体"/>
                <w:spacing w:val="-3"/>
                <w:sz w:val="24"/>
                <w:szCs w:val="24"/>
              </w:rPr>
              <w:t>资者造成损失的，应当依法承担赔偿责任。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263" w:type="dxa"/>
            <w:tcBorders>
              <w:top w:val="single" w:color="000000" w:sz="2" w:space="0"/>
              <w:bottom w:val="single" w:color="000000" w:sz="2" w:space="0"/>
              <w:right w:val="single" w:color="000000" w:sz="2" w:space="0"/>
            </w:tcBorders>
            <w:shd w:val="clear" w:color="auto" w:fill="D9D9D9"/>
            <w:vAlign w:val="top"/>
          </w:tcPr>
          <w:p>
            <w:pPr>
              <w:pStyle w:val="8"/>
              <w:spacing w:before="33" w:line="192" w:lineRule="auto"/>
              <w:jc w:val="right"/>
            </w:pPr>
            <w:r>
              <w:rPr>
                <w:spacing w:val="-28"/>
              </w:rPr>
              <w:t>员</w:t>
            </w:r>
          </w:p>
        </w:tc>
        <w:tc>
          <w:tcPr>
            <w:tcW w:w="6833" w:type="dxa"/>
            <w:gridSpan w:val="8"/>
            <w:vMerge w:val="continue"/>
            <w:tcBorders>
              <w:top w:val="nil"/>
              <w:left w:val="nil"/>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8" w:hRule="atLeast"/>
        </w:trPr>
        <w:tc>
          <w:tcPr>
            <w:tcW w:w="7096" w:type="dxa"/>
            <w:gridSpan w:val="9"/>
            <w:tcBorders>
              <w:top w:val="nil"/>
            </w:tcBorders>
            <w:vAlign w:val="top"/>
          </w:tcPr>
          <w:p>
            <w:pPr>
              <w:pStyle w:val="8"/>
              <w:spacing w:before="49" w:line="231" w:lineRule="auto"/>
              <w:ind w:left="13" w:firstLine="506"/>
            </w:pPr>
            <w:r>
              <w:rPr>
                <w:spacing w:val="3"/>
              </w:rPr>
              <w:t>禁止证券交易所、证券公司、证券登记结算机构、证券服</w:t>
            </w:r>
            <w:r>
              <w:rPr>
                <w:spacing w:val="2"/>
              </w:rPr>
              <w:t>务机</w:t>
            </w:r>
            <w:r>
              <w:t xml:space="preserve"> </w:t>
            </w:r>
            <w:r>
              <w:rPr>
                <w:spacing w:val="3"/>
              </w:rPr>
              <w:t>构及其从业人员，证券业协会、证券监督管理机构及其工作人员，</w:t>
            </w:r>
            <w:r>
              <w:rPr>
                <w:spacing w:val="16"/>
              </w:rPr>
              <w:t xml:space="preserve"> </w:t>
            </w:r>
            <w:r>
              <w:rPr>
                <w:spacing w:val="-3"/>
              </w:rPr>
              <w:t>在证券交易活动中作出虚假陈述或者信息误导。</w:t>
            </w:r>
          </w:p>
          <w:p>
            <w:pPr>
              <w:pStyle w:val="8"/>
              <w:spacing w:before="30" w:line="218" w:lineRule="auto"/>
              <w:ind w:left="512"/>
            </w:pPr>
            <w:r>
              <w:rPr>
                <w:spacing w:val="-3"/>
              </w:rPr>
              <w:t>各种传播媒介传播证券</w:t>
            </w:r>
            <w:r>
              <w:rPr>
                <w:spacing w:val="-34"/>
              </w:rPr>
              <w:t xml:space="preserve"> </w:t>
            </w:r>
            <w:r>
              <w:rPr>
                <w:spacing w:val="-3"/>
              </w:rPr>
              <w:t>市场信息必须真实、客观，禁止误导。</w:t>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6" w:hRule="atLeast"/>
        </w:trPr>
        <w:tc>
          <w:tcPr>
            <w:tcW w:w="7096" w:type="dxa"/>
            <w:gridSpan w:val="9"/>
            <w:vAlign w:val="top"/>
          </w:tcPr>
          <w:p>
            <w:pPr>
              <w:pStyle w:val="8"/>
              <w:spacing w:before="45" w:line="213" w:lineRule="auto"/>
              <w:jc w:val="right"/>
            </w:pPr>
            <w:r>
              <w:pict>
                <v:shape id="_x0000_s1049" o:spid="_x0000_s1049" style="position:absolute;left:0pt;margin-left:241.75pt;margin-top:48.1pt;height:0.15pt;width:24pt;mso-position-horizontal-relative:page;mso-position-vertical-relative:page;z-index:251684864;mso-width-relative:page;mso-height-relative:page;" fillcolor="#000000" filled="t" stroked="f" coordsize="480,3" path="m0,0l480,0,480,2,0,2,0,0xe">
                  <v:path/>
                  <v:fill on="t" focussize="0,0"/>
                  <v:stroke on="f"/>
                  <v:imagedata o:title=""/>
                  <o:lock v:ext="edit"/>
                </v:shape>
              </w:pict>
            </w:r>
            <w:r>
              <w:pict>
                <v:shape id="_x0000_s1050" o:spid="_x0000_s1050" o:spt="202" type="#_x0000_t202" style="position:absolute;left:0pt;margin-left:0.75pt;margin-top:17.5pt;height:16.05pt;width:81.95pt;mso-position-horizontal-relative:page;mso-position-vertical-relative:page;z-index:251686912;mso-width-relative:page;mso-height-relative:page;" filled="f" stroked="f" coordsize="21600,21600">
                  <v:path/>
                  <v:fill on="f" focussize="0,0"/>
                  <v:stroke on="f"/>
                  <v:imagedata o:title=""/>
                  <o:lock v:ext="edit" aspectratio="f"/>
                  <v:textbox inset="0mm,0mm,0mm,0mm">
                    <w:txbxContent>
                      <w:p>
                        <w:pPr>
                          <w:pStyle w:val="8"/>
                          <w:spacing w:before="19" w:line="216" w:lineRule="auto"/>
                          <w:jc w:val="right"/>
                        </w:pPr>
                        <w:r>
                          <w:rPr>
                            <w:spacing w:val="-20"/>
                          </w:rPr>
                          <w:t>益的</w:t>
                        </w:r>
                        <w:r>
                          <w:rPr>
                            <w:spacing w:val="4"/>
                          </w:rPr>
                          <w:t xml:space="preserve">    </w:t>
                        </w:r>
                        <w:r>
                          <w:rPr>
                            <w:spacing w:val="-20"/>
                          </w:rPr>
                          <w:t>行为：</w:t>
                        </w:r>
                      </w:p>
                    </w:txbxContent>
                  </v:textbox>
                </v:shape>
              </w:pict>
            </w:r>
            <w:r>
              <w:rPr>
                <w:rFonts w:ascii="黑体" w:hAnsi="黑体" w:eastAsia="黑体" w:cs="黑体"/>
                <w:spacing w:val="3"/>
              </w:rPr>
              <w:t xml:space="preserve">第七十九条  </w:t>
            </w:r>
            <w:r>
              <w:rPr>
                <w:spacing w:val="3"/>
              </w:rPr>
              <w:t>禁止证券公司及其从业人员从事下列损害客户利</w:t>
            </w:r>
          </w:p>
          <w:tbl>
            <w:tblPr>
              <w:tblStyle w:val="7"/>
              <w:tblW w:w="479" w:type="dxa"/>
              <w:tblInd w:w="4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7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0" w:hRule="atLeast"/>
              </w:trPr>
              <w:tc>
                <w:tcPr>
                  <w:tcW w:w="479" w:type="dxa"/>
                  <w:vAlign w:val="top"/>
                </w:tcPr>
                <w:p>
                  <w:pPr>
                    <w:pStyle w:val="8"/>
                    <w:spacing w:before="27" w:line="202" w:lineRule="auto"/>
                    <w:jc w:val="right"/>
                  </w:pPr>
                  <w:r>
                    <w:rPr>
                      <w:spacing w:val="-8"/>
                      <w:shd w:val="clear" w:fill="D9D9D9"/>
                    </w:rPr>
                    <w:t>欺诈</w:t>
                  </w:r>
                </w:p>
              </w:tc>
            </w:tr>
          </w:tbl>
          <w:p>
            <w:pPr>
              <w:pStyle w:val="8"/>
              <w:spacing w:before="37" w:line="217" w:lineRule="auto"/>
              <w:ind w:left="503"/>
            </w:pPr>
            <w:r>
              <w:rPr>
                <w:spacing w:val="-4"/>
              </w:rPr>
              <w:t>（一）违背客户的委托为其买卖证券；</w:t>
            </w:r>
          </w:p>
          <w:p>
            <w:pPr>
              <w:pStyle w:val="8"/>
              <w:spacing w:before="26" w:line="210" w:lineRule="auto"/>
              <w:ind w:left="503"/>
            </w:pPr>
            <w:r>
              <w:pict>
                <v:shape id="_x0000_s1051" o:spid="_x0000_s1051" o:spt="202" type="#_x0000_t202" style="position:absolute;left:0pt;margin-left:240.2pt;margin-top:-1.25pt;height:17.85pt;width:26.25pt;z-index:251687936;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6"/>
                            <w:shd w:val="clear" w:fill="D9D9D9"/>
                          </w:rPr>
                          <w:drawing>
                            <wp:inline distT="0" distB="0" distL="0" distR="0">
                              <wp:extent cx="1270" cy="194945"/>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76"/>
                                      <a:stretch>
                                        <a:fillRect/>
                                      </a:stretch>
                                    </pic:blipFill>
                                    <pic:spPr>
                                      <a:xfrm>
                                        <a:off x="0" y="0"/>
                                        <a:ext cx="1523" cy="195072"/>
                                      </a:xfrm>
                                      <a:prstGeom prst="rect">
                                        <a:avLst/>
                                      </a:prstGeom>
                                    </pic:spPr>
                                  </pic:pic>
                                </a:graphicData>
                              </a:graphic>
                            </wp:inline>
                          </w:drawing>
                        </w:r>
                        <w:r>
                          <w:rPr>
                            <w:shd w:val="clear" w:fill="D9D9D9"/>
                          </w:rPr>
                          <w:t>书面</w:t>
                        </w:r>
                        <w:r>
                          <w:rPr>
                            <w:position w:val="-6"/>
                            <w:shd w:val="clear" w:fill="D9D9D9"/>
                          </w:rPr>
                          <w:drawing>
                            <wp:inline distT="0" distB="0" distL="0" distR="0">
                              <wp:extent cx="1270" cy="194945"/>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76"/>
                                      <a:stretch>
                                        <a:fillRect/>
                                      </a:stretch>
                                    </pic:blipFill>
                                    <pic:spPr>
                                      <a:xfrm>
                                        <a:off x="0" y="0"/>
                                        <a:ext cx="1523" cy="195072"/>
                                      </a:xfrm>
                                      <a:prstGeom prst="rect">
                                        <a:avLst/>
                                      </a:prstGeom>
                                    </pic:spPr>
                                  </pic:pic>
                                </a:graphicData>
                              </a:graphic>
                            </wp:inline>
                          </w:drawing>
                        </w:r>
                      </w:p>
                    </w:txbxContent>
                  </v:textbox>
                </v:shape>
              </w:pict>
            </w:r>
            <w:r>
              <w:pict>
                <v:shape id="_x0000_s1052" o:spid="_x0000_s1052" o:spt="202" type="#_x0000_t202" style="position:absolute;left:0pt;margin-left:264.95pt;margin-top:0.3pt;height:16.15pt;width:58.35pt;z-index:251685888;mso-width-relative:page;mso-height-relative:page;" filled="f" stroked="f" coordsize="21600,21600">
                  <v:path/>
                  <v:fill on="f" focussize="0,0"/>
                  <v:stroke on="f"/>
                  <v:imagedata o:title=""/>
                  <o:lock v:ext="edit" aspectratio="f"/>
                  <v:textbox inset="0mm,0mm,0mm,0mm">
                    <w:txbxContent>
                      <w:p>
                        <w:pPr>
                          <w:pStyle w:val="8"/>
                          <w:spacing w:before="20" w:line="217" w:lineRule="auto"/>
                          <w:ind w:left="20"/>
                        </w:pPr>
                        <w:r>
                          <w:rPr>
                            <w:spacing w:val="-12"/>
                          </w:rPr>
                          <w:t>确认文件；</w:t>
                        </w:r>
                      </w:p>
                    </w:txbxContent>
                  </v:textbox>
                </v:shape>
              </w:pict>
            </w:r>
            <w:r>
              <w:rPr>
                <w:spacing w:val="-2"/>
              </w:rPr>
              <w:t>（二）不在规定时间内向客户提供交易的</w:t>
            </w:r>
          </w:p>
          <w:p>
            <w:pPr>
              <w:pStyle w:val="8"/>
              <w:spacing w:line="314" w:lineRule="exact"/>
              <w:ind w:firstLine="503"/>
            </w:pPr>
            <w:r>
              <w:rPr>
                <w:position w:val="-6"/>
              </w:rPr>
              <w:pict>
                <v:group id="_x0000_s1053" o:spid="_x0000_s1053" o:spt="203" style="height:15.75pt;width:303.15pt;" coordsize="6062,315">
                  <o:lock v:ext="edit"/>
                  <v:rect id="_x0000_s1054" o:spid="_x0000_s1054" o:spt="1" style="position:absolute;left:722;top:0;height:312;width:5280;" fillcolor="#D9D9D9" filled="t" stroked="f" coordsize="21600,21600">
                    <v:path/>
                    <v:fill on="t" focussize="0,0"/>
                    <v:stroke on="f"/>
                    <v:imagedata o:title=""/>
                    <o:lock v:ext="edit"/>
                  </v:rect>
                  <v:shape id="_x0000_s1055" o:spid="_x0000_s1055" o:spt="202" type="#_x0000_t202" style="position:absolute;left:699;top:-15;height:350;width:5325;" filled="f" stroked="f" coordsize="21600,21600">
                    <v:path/>
                    <v:fill on="f" focussize="0,0"/>
                    <v:stroke on="f"/>
                    <v:imagedata o:title=""/>
                    <o:lock v:ext="edit" aspectratio="f"/>
                    <v:textbox inset="0mm,0mm,0mm,0mm">
                      <w:txbxContent>
                        <w:p>
                          <w:pPr>
                            <w:spacing w:line="20" w:lineRule="exact"/>
                          </w:pPr>
                        </w:p>
                        <w:tbl>
                          <w:tblPr>
                            <w:tblStyle w:val="7"/>
                            <w:tblW w:w="528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 w:hRule="atLeast"/>
                            </w:trPr>
                            <w:tc>
                              <w:tcPr>
                                <w:tcW w:w="5280" w:type="dxa"/>
                                <w:vAlign w:val="top"/>
                              </w:tcPr>
                              <w:p>
                                <w:pPr>
                                  <w:spacing w:before="27" w:line="201" w:lineRule="auto"/>
                                  <w:jc w:val="right"/>
                                  <w:rPr>
                                    <w:rFonts w:ascii="仿宋" w:hAnsi="仿宋" w:eastAsia="仿宋" w:cs="仿宋"/>
                                    <w:sz w:val="24"/>
                                    <w:szCs w:val="24"/>
                                  </w:rPr>
                                </w:pPr>
                                <w:r>
                                  <w:rPr>
                                    <w:rFonts w:ascii="仿宋" w:hAnsi="仿宋" w:eastAsia="仿宋" w:cs="仿宋"/>
                                    <w:spacing w:val="-1"/>
                                    <w:sz w:val="24"/>
                                    <w:szCs w:val="24"/>
                                  </w:rPr>
                                  <w:t>挪用客户所委托买卖的证券或者客户账户上的资金</w:t>
                                </w:r>
                              </w:p>
                            </w:tc>
                          </w:tr>
                        </w:tbl>
                        <w:p>
                          <w:pPr>
                            <w:rPr>
                              <w:rFonts w:ascii="Arial"/>
                              <w:sz w:val="21"/>
                            </w:rPr>
                          </w:pPr>
                        </w:p>
                      </w:txbxContent>
                    </v:textbox>
                  </v:shape>
                  <v:shape id="_x0000_s1056" o:spid="_x0000_s1056" o:spt="202" type="#_x0000_t202" style="position:absolute;left:-20;top:17;height:280;width:760;" filled="f" stroked="f" coordsize="21600,21600">
                    <v:path/>
                    <v:fill on="f" focussize="0,0"/>
                    <v:stroke on="f"/>
                    <v:imagedata o:title=""/>
                    <o:lock v:ext="edit" aspectratio="f"/>
                    <v:textbox inset="0mm,0mm,0mm,0mm">
                      <w:txbxContent>
                        <w:p>
                          <w:pPr>
                            <w:spacing w:before="20" w:line="231" w:lineRule="auto"/>
                            <w:ind w:left="20"/>
                            <w:rPr>
                              <w:rFonts w:ascii="仿宋" w:hAnsi="仿宋" w:eastAsia="仿宋" w:cs="仿宋"/>
                              <w:sz w:val="24"/>
                              <w:szCs w:val="24"/>
                            </w:rPr>
                          </w:pPr>
                          <w:r>
                            <w:rPr>
                              <w:rFonts w:ascii="仿宋" w:hAnsi="仿宋" w:eastAsia="仿宋" w:cs="仿宋"/>
                              <w:sz w:val="24"/>
                              <w:szCs w:val="24"/>
                            </w:rPr>
                            <w:t>（三）</w:t>
                          </w:r>
                        </w:p>
                      </w:txbxContent>
                    </v:textbox>
                  </v:shape>
                  <v:shape id="_x0000_s1057" o:spid="_x0000_s1057" o:spt="202" type="#_x0000_t202" style="position:absolute;left:6007;top:100;height:192;width:75;" filled="f" stroked="f" coordsize="21600,21600">
                    <v:path/>
                    <v:fill on="f" focussize="0,0"/>
                    <v:stroke on="f"/>
                    <v:imagedata o:title=""/>
                    <o:lock v:ext="edit" aspectratio="f"/>
                    <v:textbox inset="0mm,0mm,0mm,0mm">
                      <w:txbxContent>
                        <w:p>
                          <w:pPr>
                            <w:spacing w:before="20" w:line="201" w:lineRule="exact"/>
                            <w:jc w:val="right"/>
                            <w:rPr>
                              <w:rFonts w:ascii="仿宋" w:hAnsi="仿宋" w:eastAsia="仿宋" w:cs="仿宋"/>
                              <w:sz w:val="24"/>
                              <w:szCs w:val="24"/>
                            </w:rPr>
                          </w:pPr>
                          <w:r>
                            <w:rPr>
                              <w:rFonts w:ascii="仿宋" w:hAnsi="仿宋" w:eastAsia="仿宋" w:cs="仿宋"/>
                              <w:spacing w:val="-40"/>
                              <w:w w:val="62"/>
                              <w:position w:val="3"/>
                              <w:sz w:val="24"/>
                              <w:szCs w:val="24"/>
                            </w:rPr>
                            <w:t>;</w:t>
                          </w:r>
                        </w:p>
                      </w:txbxContent>
                    </v:textbox>
                  </v:shape>
                  <w10:wrap type="none"/>
                  <w10:anchorlock/>
                </v:group>
              </w:pict>
            </w:r>
          </w:p>
          <w:p>
            <w:pPr>
              <w:pStyle w:val="8"/>
              <w:spacing w:before="36" w:line="229" w:lineRule="auto"/>
              <w:ind w:left="34" w:right="47" w:firstLine="469"/>
            </w:pPr>
            <w:r>
              <w:rPr>
                <w:spacing w:val="-7"/>
              </w:rPr>
              <w:t>（四）未经客户的委托， 擅自为客户买卖证券， 或者假借客户</w:t>
            </w:r>
            <w:r>
              <w:rPr>
                <w:spacing w:val="11"/>
              </w:rPr>
              <w:t xml:space="preserve"> </w:t>
            </w:r>
            <w:r>
              <w:rPr>
                <w:spacing w:val="-11"/>
              </w:rPr>
              <w:t>的名义买卖证券；</w:t>
            </w:r>
          </w:p>
          <w:p>
            <w:pPr>
              <w:pStyle w:val="8"/>
              <w:spacing w:before="27" w:line="208" w:lineRule="auto"/>
              <w:ind w:left="503"/>
            </w:pPr>
            <w:r>
              <w:rPr>
                <w:spacing w:val="-3"/>
              </w:rPr>
              <w:t>（五）为牟取佣金收入，诱使客户进行不必要的证券买卖；</w:t>
            </w:r>
          </w:p>
        </w:tc>
        <w:tc>
          <w:tcPr>
            <w:tcW w:w="6811" w:type="dxa"/>
            <w:vAlign w:val="top"/>
          </w:tcPr>
          <w:p>
            <w:pPr>
              <w:pStyle w:val="8"/>
              <w:spacing w:before="45" w:line="228" w:lineRule="auto"/>
              <w:ind w:left="12" w:right="5" w:firstLine="502"/>
            </w:pPr>
            <w:r>
              <w:rPr>
                <w:rFonts w:ascii="黑体" w:hAnsi="黑体" w:eastAsia="黑体" w:cs="黑体"/>
                <w:spacing w:val="1"/>
              </w:rPr>
              <w:t xml:space="preserve">第五十七条  </w:t>
            </w:r>
            <w:r>
              <w:rPr>
                <w:spacing w:val="1"/>
              </w:rPr>
              <w:t>禁止证券公司及其从业人员从事下列损害客户</w:t>
            </w:r>
            <w:r>
              <w:rPr>
                <w:spacing w:val="8"/>
              </w:rPr>
              <w:t xml:space="preserve"> </w:t>
            </w:r>
            <w:r>
              <w:rPr>
                <w:spacing w:val="-10"/>
              </w:rPr>
              <w:t>利益的行为：</w:t>
            </w:r>
          </w:p>
          <w:p>
            <w:pPr>
              <w:pStyle w:val="8"/>
              <w:spacing w:before="31" w:line="217" w:lineRule="auto"/>
              <w:ind w:left="505"/>
            </w:pPr>
            <w:r>
              <w:rPr>
                <w:spacing w:val="-4"/>
              </w:rPr>
              <w:t>（一）违背客户的委托为其买卖证券；</w:t>
            </w:r>
          </w:p>
          <w:p>
            <w:pPr>
              <w:pStyle w:val="8"/>
              <w:spacing w:before="30" w:line="214" w:lineRule="auto"/>
              <w:ind w:left="505"/>
            </w:pPr>
            <w:r>
              <w:rPr>
                <w:spacing w:val="-3"/>
              </w:rPr>
              <w:t>（二）不在规定时间内向客户提供交易的确认文件；</w:t>
            </w:r>
          </w:p>
          <w:p>
            <w:pPr>
              <w:pStyle w:val="8"/>
              <w:spacing w:before="29" w:line="229" w:lineRule="auto"/>
              <w:ind w:left="27" w:right="4" w:firstLine="478"/>
            </w:pPr>
            <w:r>
              <w:rPr>
                <w:spacing w:val="-10"/>
              </w:rPr>
              <w:t>（三）未经客户的委托，</w:t>
            </w:r>
            <w:r>
              <w:rPr>
                <w:spacing w:val="38"/>
              </w:rPr>
              <w:t xml:space="preserve"> </w:t>
            </w:r>
            <w:r>
              <w:rPr>
                <w:spacing w:val="-10"/>
              </w:rPr>
              <w:t>擅自为客户买卖证券，</w:t>
            </w:r>
            <w:r>
              <w:rPr>
                <w:spacing w:val="26"/>
              </w:rPr>
              <w:t xml:space="preserve"> </w:t>
            </w:r>
            <w:r>
              <w:rPr>
                <w:spacing w:val="-10"/>
              </w:rPr>
              <w:t>或者假借客</w:t>
            </w:r>
            <w:r>
              <w:t xml:space="preserve"> </w:t>
            </w:r>
            <w:r>
              <w:rPr>
                <w:spacing w:val="-9"/>
              </w:rPr>
              <w:t>户的名义买卖证券；</w:t>
            </w:r>
          </w:p>
          <w:p>
            <w:pPr>
              <w:pStyle w:val="8"/>
              <w:spacing w:before="29" w:line="216" w:lineRule="auto"/>
              <w:ind w:left="505"/>
            </w:pPr>
            <w:r>
              <w:rPr>
                <w:spacing w:val="-3"/>
              </w:rPr>
              <w:t>（四）为牟取佣金收入，诱使客户进行不必要的证券买卖；</w:t>
            </w:r>
          </w:p>
          <w:p>
            <w:pPr>
              <w:pStyle w:val="8"/>
              <w:spacing w:before="27" w:line="210" w:lineRule="auto"/>
              <w:ind w:left="505"/>
            </w:pPr>
            <w:r>
              <w:rPr>
                <w:spacing w:val="-2"/>
              </w:rPr>
              <w:t>（五）其他违背客户真实意思表示，损害客户利益的行为。</w:t>
            </w:r>
          </w:p>
        </w:tc>
      </w:tr>
    </w:tbl>
    <w:p>
      <w:pPr>
        <w:spacing w:line="190" w:lineRule="exact"/>
        <w:rPr>
          <w:rFonts w:ascii="Arial"/>
          <w:sz w:val="16"/>
        </w:rPr>
      </w:pPr>
    </w:p>
    <w:p>
      <w:pPr>
        <w:spacing w:line="190" w:lineRule="exact"/>
        <w:rPr>
          <w:rFonts w:ascii="Arial" w:hAnsi="Arial" w:eastAsia="Arial" w:cs="Arial"/>
          <w:sz w:val="16"/>
          <w:szCs w:val="16"/>
        </w:rPr>
        <w:sectPr>
          <w:footerReference r:id="rId22"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3"/>
        <w:gridCol w:w="257"/>
        <w:gridCol w:w="1435"/>
        <w:gridCol w:w="3359"/>
        <w:gridCol w:w="1775"/>
        <w:gridCol w:w="6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520" w:type="dxa"/>
            <w:gridSpan w:val="2"/>
            <w:tcBorders>
              <w:bottom w:val="single" w:color="000000" w:sz="2" w:space="0"/>
              <w:right w:val="single" w:color="000000" w:sz="2" w:space="0"/>
            </w:tcBorders>
            <w:vAlign w:val="top"/>
          </w:tcPr>
          <w:p>
            <w:pPr>
              <w:rPr>
                <w:rFonts w:ascii="Arial"/>
                <w:sz w:val="21"/>
              </w:rPr>
            </w:pPr>
          </w:p>
        </w:tc>
        <w:tc>
          <w:tcPr>
            <w:tcW w:w="6569" w:type="dxa"/>
            <w:gridSpan w:val="3"/>
            <w:tcBorders>
              <w:left w:val="single" w:color="000000" w:sz="2" w:space="0"/>
              <w:bottom w:val="single" w:color="000000" w:sz="2" w:space="0"/>
            </w:tcBorders>
            <w:shd w:val="clear" w:color="auto" w:fill="D9D9D9"/>
            <w:vAlign w:val="top"/>
          </w:tcPr>
          <w:p>
            <w:pPr>
              <w:pStyle w:val="8"/>
              <w:spacing w:before="39" w:line="205" w:lineRule="auto"/>
              <w:jc w:val="right"/>
            </w:pPr>
            <w:r>
              <w:rPr>
                <w:spacing w:val="3"/>
              </w:rPr>
              <w:t>（六）利用传播媒介或者通过其他方式提供、</w:t>
            </w:r>
            <w:r>
              <w:rPr>
                <w:spacing w:val="2"/>
              </w:rPr>
              <w:t>传播虚假或者误</w:t>
            </w:r>
          </w:p>
        </w:tc>
        <w:tc>
          <w:tcPr>
            <w:tcW w:w="6818" w:type="dxa"/>
            <w:vMerge w:val="restart"/>
            <w:tcBorders>
              <w:bottom w:val="nil"/>
            </w:tcBorders>
            <w:vAlign w:val="top"/>
          </w:tcPr>
          <w:p>
            <w:pPr>
              <w:pStyle w:val="8"/>
              <w:spacing w:before="41" w:line="217" w:lineRule="auto"/>
              <w:ind w:left="524"/>
            </w:pPr>
            <w:r>
              <w:rPr>
                <w:spacing w:val="-3"/>
              </w:rPr>
              <w:t>违反前款规定给客户造成损失的，应当依法承担赔偿责任。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955" w:type="dxa"/>
            <w:gridSpan w:val="3"/>
            <w:tcBorders>
              <w:top w:val="single" w:color="000000" w:sz="2" w:space="0"/>
              <w:bottom w:val="single" w:color="000000" w:sz="2" w:space="0"/>
              <w:right w:val="single" w:color="000000" w:sz="2" w:space="0"/>
            </w:tcBorders>
            <w:shd w:val="clear" w:color="auto" w:fill="D9D9D9"/>
            <w:vAlign w:val="top"/>
          </w:tcPr>
          <w:p>
            <w:pPr>
              <w:pStyle w:val="8"/>
              <w:spacing w:before="31" w:line="203" w:lineRule="auto"/>
              <w:ind w:left="27"/>
            </w:pPr>
            <w:r>
              <w:rPr>
                <w:spacing w:val="-10"/>
              </w:rPr>
              <w:t>导投资者的信息；</w:t>
            </w:r>
          </w:p>
        </w:tc>
        <w:tc>
          <w:tcPr>
            <w:tcW w:w="5134" w:type="dxa"/>
            <w:gridSpan w:val="2"/>
            <w:tcBorders>
              <w:top w:val="single" w:color="000000" w:sz="2" w:space="0"/>
              <w:left w:val="single" w:color="000000" w:sz="2" w:space="0"/>
              <w:bottom w:val="nil"/>
            </w:tcBorders>
            <w:vAlign w:val="top"/>
          </w:tcPr>
          <w:p>
            <w:pPr>
              <w:rPr>
                <w:rFonts w:ascii="Arial"/>
                <w:sz w:val="21"/>
              </w:rPr>
            </w:pPr>
          </w:p>
        </w:tc>
        <w:tc>
          <w:tcPr>
            <w:tcW w:w="681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089" w:type="dxa"/>
            <w:gridSpan w:val="5"/>
            <w:tcBorders>
              <w:top w:val="nil"/>
            </w:tcBorders>
            <w:vAlign w:val="top"/>
          </w:tcPr>
          <w:p>
            <w:pPr>
              <w:pStyle w:val="8"/>
              <w:spacing w:before="32" w:line="215" w:lineRule="auto"/>
              <w:ind w:left="503"/>
            </w:pPr>
            <w:r>
              <w:rPr>
                <w:position w:val="-7"/>
              </w:rPr>
              <w:drawing>
                <wp:inline distT="0" distB="0" distL="0" distR="0">
                  <wp:extent cx="1270" cy="1270"/>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74"/>
                          <a:stretch>
                            <a:fillRect/>
                          </a:stretch>
                        </pic:blipFill>
                        <pic:spPr>
                          <a:xfrm>
                            <a:off x="0" y="0"/>
                            <a:ext cx="1524" cy="1523"/>
                          </a:xfrm>
                          <a:prstGeom prst="rect">
                            <a:avLst/>
                          </a:prstGeom>
                        </pic:spPr>
                      </pic:pic>
                    </a:graphicData>
                  </a:graphic>
                </wp:inline>
              </w:drawing>
            </w:r>
            <w:r>
              <w:rPr>
                <w:spacing w:val="12"/>
                <w:u w:val="single" w:color="auto"/>
              </w:rPr>
              <w:t xml:space="preserve"> </w:t>
            </w:r>
            <w:r>
              <w:rPr>
                <w:spacing w:val="-7"/>
                <w:u w:val="single" w:color="auto"/>
              </w:rPr>
              <w:t>（七）其他违</w:t>
            </w:r>
            <w:r>
              <w:rPr>
                <w:spacing w:val="-7"/>
              </w:rPr>
              <w:t>背客户真实意思表示，损害客户利益的行为。</w:t>
            </w:r>
          </w:p>
          <w:p>
            <w:pPr>
              <w:pStyle w:val="8"/>
              <w:spacing w:line="238" w:lineRule="auto"/>
              <w:ind w:left="17" w:firstLine="485"/>
            </w:pPr>
            <w:r>
              <w:rPr>
                <w:position w:val="-7"/>
              </w:rPr>
              <w:drawing>
                <wp:inline distT="0" distB="0" distL="0" distR="0">
                  <wp:extent cx="3175" cy="194945"/>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76"/>
                          <a:stretch>
                            <a:fillRect/>
                          </a:stretch>
                        </pic:blipFill>
                        <pic:spPr>
                          <a:xfrm>
                            <a:off x="0" y="0"/>
                            <a:ext cx="3777" cy="195071"/>
                          </a:xfrm>
                          <a:prstGeom prst="rect">
                            <a:avLst/>
                          </a:prstGeom>
                        </pic:spPr>
                      </pic:pic>
                    </a:graphicData>
                  </a:graphic>
                </wp:inline>
              </w:drawing>
            </w:r>
            <w:r>
              <w:rPr>
                <w:spacing w:val="3"/>
                <w:u w:val="single" w:color="auto"/>
                <w:shd w:val="clear" w:fill="D9D9D9"/>
              </w:rPr>
              <w:t>欺诈客户行为</w:t>
            </w:r>
            <w:r>
              <w:rPr>
                <w:position w:val="-7"/>
              </w:rPr>
              <w:drawing>
                <wp:inline distT="0" distB="0" distL="0" distR="0">
                  <wp:extent cx="3175" cy="194945"/>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76"/>
                          <a:stretch>
                            <a:fillRect/>
                          </a:stretch>
                        </pic:blipFill>
                        <pic:spPr>
                          <a:xfrm>
                            <a:off x="0" y="0"/>
                            <a:ext cx="3777" cy="195071"/>
                          </a:xfrm>
                          <a:prstGeom prst="rect">
                            <a:avLst/>
                          </a:prstGeom>
                        </pic:spPr>
                      </pic:pic>
                    </a:graphicData>
                  </a:graphic>
                </wp:inline>
              </w:drawing>
            </w:r>
            <w:r>
              <w:rPr>
                <w:spacing w:val="3"/>
              </w:rPr>
              <w:t>给客户造成损失的，行为人应当依法承担</w:t>
            </w:r>
            <w:r>
              <w:rPr>
                <w:spacing w:val="2"/>
              </w:rPr>
              <w:t>赔偿责</w:t>
            </w:r>
            <w:r>
              <w:t xml:space="preserve"> </w:t>
            </w:r>
            <w:r>
              <w:rPr>
                <w:spacing w:val="-16"/>
              </w:rPr>
              <w:t>任。</w:t>
            </w:r>
          </w:p>
        </w:tc>
        <w:tc>
          <w:tcPr>
            <w:tcW w:w="681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63" w:type="dxa"/>
            <w:tcBorders>
              <w:bottom w:val="single" w:color="000000" w:sz="2" w:space="0"/>
              <w:right w:val="nil"/>
            </w:tcBorders>
            <w:vAlign w:val="top"/>
          </w:tcPr>
          <w:p>
            <w:pPr>
              <w:rPr>
                <w:rFonts w:ascii="Arial"/>
                <w:sz w:val="21"/>
              </w:rPr>
            </w:pPr>
          </w:p>
        </w:tc>
        <w:tc>
          <w:tcPr>
            <w:tcW w:w="6826" w:type="dxa"/>
            <w:gridSpan w:val="4"/>
            <w:vMerge w:val="restart"/>
            <w:tcBorders>
              <w:left w:val="nil"/>
              <w:bottom w:val="nil"/>
            </w:tcBorders>
            <w:vAlign w:val="top"/>
          </w:tcPr>
          <w:p>
            <w:pPr>
              <w:pStyle w:val="8"/>
              <w:spacing w:line="230" w:lineRule="auto"/>
              <w:ind w:left="34" w:firstLine="223"/>
            </w:pPr>
            <w:r>
              <w:rPr>
                <w:rFonts w:ascii="黑体" w:hAnsi="黑体" w:eastAsia="黑体" w:cs="黑体"/>
                <w:spacing w:val="2"/>
              </w:rPr>
              <w:t xml:space="preserve">第八十条  </w:t>
            </w:r>
            <w:r>
              <w:rPr>
                <w:spacing w:val="2"/>
              </w:rPr>
              <w:t>禁止</w:t>
            </w:r>
            <w:r>
              <w:rPr>
                <w:position w:val="-7"/>
              </w:rPr>
              <w:drawing>
                <wp:inline distT="0" distB="0" distL="0" distR="0">
                  <wp:extent cx="4445" cy="194310"/>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84"/>
                          <a:stretch>
                            <a:fillRect/>
                          </a:stretch>
                        </pic:blipFill>
                        <pic:spPr>
                          <a:xfrm>
                            <a:off x="0" y="0"/>
                            <a:ext cx="4792" cy="194464"/>
                          </a:xfrm>
                          <a:prstGeom prst="rect">
                            <a:avLst/>
                          </a:prstGeom>
                        </pic:spPr>
                      </pic:pic>
                    </a:graphicData>
                  </a:graphic>
                </wp:inline>
              </w:drawing>
            </w:r>
            <w:r>
              <w:rPr>
                <w:spacing w:val="2"/>
                <w:u w:val="single" w:color="auto"/>
                <w:shd w:val="clear" w:fill="D9D9D9"/>
              </w:rPr>
              <w:t>法人非法</w:t>
            </w:r>
            <w:r>
              <w:rPr>
                <w:position w:val="-7"/>
              </w:rPr>
              <w:drawing>
                <wp:inline distT="0" distB="0" distL="0" distR="0">
                  <wp:extent cx="4445" cy="194310"/>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84"/>
                          <a:stretch>
                            <a:fillRect/>
                          </a:stretch>
                        </pic:blipFill>
                        <pic:spPr>
                          <a:xfrm>
                            <a:off x="0" y="0"/>
                            <a:ext cx="4792" cy="194464"/>
                          </a:xfrm>
                          <a:prstGeom prst="rect">
                            <a:avLst/>
                          </a:prstGeom>
                        </pic:spPr>
                      </pic:pic>
                    </a:graphicData>
                  </a:graphic>
                </wp:inline>
              </w:drawing>
            </w:r>
            <w:r>
              <w:rPr>
                <w:spacing w:val="2"/>
              </w:rPr>
              <w:t>利用他人账户从事证券交易；禁止</w:t>
            </w:r>
            <w:r>
              <w:rPr>
                <w:position w:val="-7"/>
              </w:rPr>
              <w:drawing>
                <wp:inline distT="0" distB="0" distL="0" distR="0">
                  <wp:extent cx="4445" cy="194310"/>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84"/>
                          <a:stretch>
                            <a:fillRect/>
                          </a:stretch>
                        </pic:blipFill>
                        <pic:spPr>
                          <a:xfrm>
                            <a:off x="0" y="0"/>
                            <a:ext cx="4793" cy="194464"/>
                          </a:xfrm>
                          <a:prstGeom prst="rect">
                            <a:avLst/>
                          </a:prstGeom>
                        </pic:spPr>
                      </pic:pic>
                    </a:graphicData>
                  </a:graphic>
                </wp:inline>
              </w:drawing>
            </w:r>
            <w:r>
              <w:rPr>
                <w:spacing w:val="2"/>
                <w:u w:val="single" w:color="auto"/>
                <w:shd w:val="clear" w:fill="D9D9D9"/>
              </w:rPr>
              <w:t>法</w:t>
            </w:r>
            <w:r>
              <w:rPr>
                <w:spacing w:val="1"/>
              </w:rPr>
              <w:t xml:space="preserve"> </w:t>
            </w:r>
            <w:r>
              <w:rPr>
                <w:spacing w:val="-7"/>
              </w:rPr>
              <w:t>出借自己或者他人的证券账户。</w:t>
            </w:r>
          </w:p>
        </w:tc>
        <w:tc>
          <w:tcPr>
            <w:tcW w:w="6818" w:type="dxa"/>
            <w:vMerge w:val="restart"/>
            <w:tcBorders>
              <w:bottom w:val="nil"/>
            </w:tcBorders>
            <w:vAlign w:val="top"/>
          </w:tcPr>
          <w:p>
            <w:pPr>
              <w:pStyle w:val="8"/>
              <w:spacing w:before="29" w:line="219" w:lineRule="auto"/>
              <w:ind w:left="25" w:right="6" w:firstLine="496"/>
            </w:pPr>
            <w:r>
              <w:rPr>
                <w:rFonts w:ascii="黑体" w:hAnsi="黑体" w:eastAsia="黑体" w:cs="黑体"/>
                <w:spacing w:val="-3"/>
              </w:rPr>
              <w:t xml:space="preserve">第五十八条  任何单位和个人不得违反规定， </w:t>
            </w:r>
            <w:r>
              <w:rPr>
                <w:spacing w:val="-3"/>
              </w:rPr>
              <w:t>出借自</w:t>
            </w:r>
            <w:r>
              <w:rPr>
                <w:spacing w:val="-4"/>
              </w:rPr>
              <w:t>己的证</w:t>
            </w:r>
            <w:r>
              <w:t xml:space="preserve"> </w:t>
            </w:r>
            <w:r>
              <w:rPr>
                <w:spacing w:val="-1"/>
              </w:rPr>
              <w:t>券账户或者</w:t>
            </w:r>
            <w:r>
              <w:rPr>
                <w:rFonts w:ascii="黑体" w:hAnsi="黑体" w:eastAsia="黑体" w:cs="黑体"/>
                <w:spacing w:val="-1"/>
              </w:rPr>
              <w:t>借用</w:t>
            </w:r>
            <w:r>
              <w:rPr>
                <w:spacing w:val="-1"/>
              </w:rPr>
              <w:t>他人的证券账户</w:t>
            </w:r>
            <w:r>
              <w:rPr>
                <w:rFonts w:ascii="黑体" w:hAnsi="黑体" w:eastAsia="黑体" w:cs="黑体"/>
                <w:spacing w:val="-1"/>
              </w:rPr>
              <w:t>从事证券交易</w:t>
            </w:r>
            <w:r>
              <w:rPr>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63" w:type="dxa"/>
            <w:tcBorders>
              <w:top w:val="single" w:color="000000" w:sz="2" w:space="0"/>
              <w:right w:val="single" w:color="000000" w:sz="2" w:space="0"/>
            </w:tcBorders>
            <w:shd w:val="clear" w:color="auto" w:fill="D9D9D9"/>
            <w:vAlign w:val="top"/>
          </w:tcPr>
          <w:p>
            <w:pPr>
              <w:pStyle w:val="8"/>
              <w:spacing w:before="24" w:line="201" w:lineRule="auto"/>
              <w:jc w:val="right"/>
            </w:pPr>
            <w:r>
              <w:rPr>
                <w:spacing w:val="-12"/>
              </w:rPr>
              <w:t>人</w:t>
            </w:r>
          </w:p>
        </w:tc>
        <w:tc>
          <w:tcPr>
            <w:tcW w:w="6826" w:type="dxa"/>
            <w:gridSpan w:val="4"/>
            <w:vMerge w:val="continue"/>
            <w:tcBorders>
              <w:top w:val="nil"/>
              <w:left w:val="nil"/>
            </w:tcBorders>
            <w:vAlign w:val="top"/>
          </w:tcPr>
          <w:p>
            <w:pPr>
              <w:rPr>
                <w:rFonts w:ascii="Arial"/>
                <w:sz w:val="21"/>
              </w:rPr>
            </w:pPr>
          </w:p>
        </w:tc>
        <w:tc>
          <w:tcPr>
            <w:tcW w:w="681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089" w:type="dxa"/>
            <w:gridSpan w:val="5"/>
            <w:vAlign w:val="top"/>
          </w:tcPr>
          <w:p>
            <w:pPr>
              <w:pStyle w:val="8"/>
              <w:spacing w:before="46" w:line="221" w:lineRule="auto"/>
              <w:jc w:val="right"/>
            </w:pPr>
            <w:r>
              <w:rPr>
                <w:rFonts w:ascii="黑体" w:hAnsi="黑体" w:eastAsia="黑体" w:cs="黑体"/>
                <w:spacing w:val="12"/>
              </w:rPr>
              <w:t xml:space="preserve">第八十一条  </w:t>
            </w:r>
            <w:r>
              <w:rPr>
                <w:spacing w:val="12"/>
              </w:rPr>
              <w:t>依法拓宽资金入市渠道，禁止资金</w:t>
            </w:r>
            <w:r>
              <w:rPr>
                <w:spacing w:val="11"/>
              </w:rPr>
              <w:t>违规流入股</w:t>
            </w:r>
          </w:p>
          <w:p>
            <w:pPr>
              <w:pStyle w:val="8"/>
              <w:spacing w:before="26" w:line="217" w:lineRule="auto"/>
              <w:ind w:left="23"/>
            </w:pPr>
            <w:r>
              <w:rPr>
                <w:spacing w:val="-18"/>
              </w:rPr>
              <w:t>市。</w:t>
            </w:r>
          </w:p>
        </w:tc>
        <w:tc>
          <w:tcPr>
            <w:tcW w:w="6818" w:type="dxa"/>
            <w:vAlign w:val="top"/>
          </w:tcPr>
          <w:p>
            <w:pPr>
              <w:pStyle w:val="8"/>
              <w:spacing w:before="47" w:line="229" w:lineRule="auto"/>
              <w:ind w:left="33" w:right="5" w:firstLine="488"/>
            </w:pPr>
            <w:r>
              <w:rPr>
                <w:rFonts w:ascii="黑体" w:hAnsi="黑体" w:eastAsia="黑体" w:cs="黑体"/>
                <w:spacing w:val="-3"/>
              </w:rPr>
              <w:t xml:space="preserve">第五十九条  </w:t>
            </w:r>
            <w:r>
              <w:rPr>
                <w:spacing w:val="-3"/>
              </w:rPr>
              <w:t>依法拓宽资金入市渠道， 禁止资金违规流入股</w:t>
            </w:r>
            <w:r>
              <w:t xml:space="preserve"> </w:t>
            </w:r>
            <w:r>
              <w:rPr>
                <w:spacing w:val="-18"/>
              </w:rPr>
              <w:t>市。</w:t>
            </w:r>
          </w:p>
          <w:p>
            <w:pPr>
              <w:spacing w:before="28" w:line="200" w:lineRule="auto"/>
              <w:ind w:left="524"/>
              <w:rPr>
                <w:rFonts w:ascii="黑体" w:hAnsi="黑体" w:eastAsia="黑体" w:cs="黑体"/>
                <w:sz w:val="24"/>
                <w:szCs w:val="24"/>
              </w:rPr>
            </w:pPr>
            <w:r>
              <w:rPr>
                <w:rFonts w:ascii="黑体" w:hAnsi="黑体" w:eastAsia="黑体" w:cs="黑体"/>
                <w:spacing w:val="-2"/>
                <w:sz w:val="24"/>
                <w:szCs w:val="24"/>
              </w:rPr>
              <w:t>禁止投资者违规利用财政资金、银行信贷资金买卖证券。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1955" w:type="dxa"/>
            <w:gridSpan w:val="3"/>
            <w:vMerge w:val="restart"/>
            <w:tcBorders>
              <w:bottom w:val="nil"/>
              <w:right w:val="single" w:color="000000" w:sz="2" w:space="0"/>
            </w:tcBorders>
            <w:vAlign w:val="top"/>
          </w:tcPr>
          <w:p>
            <w:pPr>
              <w:spacing w:before="43" w:line="222" w:lineRule="auto"/>
              <w:ind w:left="513"/>
              <w:rPr>
                <w:rFonts w:ascii="黑体" w:hAnsi="黑体" w:eastAsia="黑体" w:cs="黑体"/>
                <w:sz w:val="24"/>
                <w:szCs w:val="24"/>
              </w:rPr>
            </w:pPr>
            <w:r>
              <w:rPr>
                <w:rFonts w:ascii="黑体" w:hAnsi="黑体" w:eastAsia="黑体" w:cs="黑体"/>
                <w:spacing w:val="-2"/>
                <w:sz w:val="24"/>
                <w:szCs w:val="24"/>
              </w:rPr>
              <w:t>第八十二条</w:t>
            </w:r>
          </w:p>
        </w:tc>
        <w:tc>
          <w:tcPr>
            <w:tcW w:w="3359" w:type="dxa"/>
            <w:tcBorders>
              <w:left w:val="single" w:color="000000" w:sz="2" w:space="0"/>
              <w:bottom w:val="single" w:color="000000" w:sz="2" w:space="0"/>
              <w:right w:val="single" w:color="000000" w:sz="2" w:space="0"/>
            </w:tcBorders>
            <w:shd w:val="clear" w:color="auto" w:fill="D9D9D9"/>
            <w:vAlign w:val="top"/>
          </w:tcPr>
          <w:p>
            <w:pPr>
              <w:pStyle w:val="8"/>
              <w:spacing w:before="42" w:line="185" w:lineRule="auto"/>
              <w:ind w:left="12"/>
            </w:pPr>
            <w:r>
              <w:rPr>
                <w:spacing w:val="-5"/>
              </w:rPr>
              <w:t>禁止任何人挪用公款买卖证券。</w:t>
            </w:r>
          </w:p>
        </w:tc>
        <w:tc>
          <w:tcPr>
            <w:tcW w:w="1775" w:type="dxa"/>
            <w:vMerge w:val="restart"/>
            <w:tcBorders>
              <w:left w:val="single" w:color="000000" w:sz="2" w:space="0"/>
              <w:bottom w:val="nil"/>
            </w:tcBorders>
            <w:vAlign w:val="top"/>
          </w:tcPr>
          <w:p>
            <w:pPr>
              <w:rPr>
                <w:rFonts w:ascii="Arial"/>
                <w:sz w:val="21"/>
              </w:rPr>
            </w:pPr>
          </w:p>
        </w:tc>
        <w:tc>
          <w:tcPr>
            <w:tcW w:w="6818"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955" w:type="dxa"/>
            <w:gridSpan w:val="3"/>
            <w:vMerge w:val="continue"/>
            <w:tcBorders>
              <w:top w:val="nil"/>
              <w:right w:val="single" w:color="000000" w:sz="2" w:space="0"/>
            </w:tcBorders>
            <w:vAlign w:val="top"/>
          </w:tcPr>
          <w:p>
            <w:pPr>
              <w:rPr>
                <w:rFonts w:ascii="Arial"/>
                <w:sz w:val="21"/>
              </w:rPr>
            </w:pPr>
          </w:p>
        </w:tc>
        <w:tc>
          <w:tcPr>
            <w:tcW w:w="3359" w:type="dxa"/>
            <w:tcBorders>
              <w:top w:val="single" w:color="000000" w:sz="2" w:space="0"/>
              <w:left w:val="nil"/>
              <w:right w:val="nil"/>
            </w:tcBorders>
            <w:vAlign w:val="top"/>
          </w:tcPr>
          <w:p>
            <w:pPr>
              <w:spacing w:line="234" w:lineRule="exact"/>
              <w:rPr>
                <w:rFonts w:ascii="Arial"/>
                <w:sz w:val="20"/>
              </w:rPr>
            </w:pPr>
          </w:p>
        </w:tc>
        <w:tc>
          <w:tcPr>
            <w:tcW w:w="1775" w:type="dxa"/>
            <w:vMerge w:val="continue"/>
            <w:tcBorders>
              <w:top w:val="nil"/>
              <w:left w:val="single" w:color="000000" w:sz="2" w:space="0"/>
            </w:tcBorders>
            <w:vAlign w:val="top"/>
          </w:tcPr>
          <w:p>
            <w:pPr>
              <w:rPr>
                <w:rFonts w:ascii="Arial"/>
                <w:sz w:val="21"/>
              </w:rPr>
            </w:pPr>
          </w:p>
        </w:tc>
        <w:tc>
          <w:tcPr>
            <w:tcW w:w="681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5314" w:type="dxa"/>
            <w:gridSpan w:val="4"/>
            <w:tcBorders>
              <w:right w:val="nil"/>
            </w:tcBorders>
            <w:vAlign w:val="top"/>
          </w:tcPr>
          <w:p>
            <w:pPr>
              <w:pStyle w:val="8"/>
              <w:spacing w:before="48" w:line="216" w:lineRule="auto"/>
              <w:ind w:left="14" w:firstLine="491"/>
            </w:pPr>
            <w:r>
              <w:rPr>
                <w:rFonts w:ascii="黑体" w:hAnsi="黑体" w:eastAsia="黑体" w:cs="黑体"/>
                <w:spacing w:val="-2"/>
              </w:rPr>
              <w:t xml:space="preserve">第八十三条  </w:t>
            </w:r>
            <w:r>
              <w:rPr>
                <w:position w:val="-7"/>
              </w:rPr>
              <w:drawing>
                <wp:inline distT="0" distB="0" distL="0" distR="0">
                  <wp:extent cx="1270" cy="1270"/>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74"/>
                          <a:stretch>
                            <a:fillRect/>
                          </a:stretch>
                        </pic:blipFill>
                        <pic:spPr>
                          <a:xfrm>
                            <a:off x="0" y="0"/>
                            <a:ext cx="1502" cy="1523"/>
                          </a:xfrm>
                          <a:prstGeom prst="rect">
                            <a:avLst/>
                          </a:prstGeom>
                        </pic:spPr>
                      </pic:pic>
                    </a:graphicData>
                  </a:graphic>
                </wp:inline>
              </w:drawing>
            </w:r>
            <w:r>
              <w:rPr>
                <w:spacing w:val="-82"/>
                <w:u w:val="single" w:color="auto"/>
                <w:shd w:val="clear" w:fill="D9D9D9"/>
              </w:rPr>
              <w:t xml:space="preserve"> </w:t>
            </w:r>
            <w:r>
              <w:rPr>
                <w:spacing w:val="-2"/>
                <w:u w:val="single" w:color="auto"/>
                <w:shd w:val="clear" w:fill="D9D9D9"/>
              </w:rPr>
              <w:t>国有企业和国有资产控股的企业</w:t>
            </w:r>
            <w:r>
              <w:t xml:space="preserve"> </w:t>
            </w:r>
            <w:r>
              <w:rPr>
                <w:spacing w:val="-7"/>
              </w:rPr>
              <w:t>股票，必须遵守国家有关规定。</w:t>
            </w:r>
          </w:p>
        </w:tc>
        <w:tc>
          <w:tcPr>
            <w:tcW w:w="1775" w:type="dxa"/>
            <w:tcBorders>
              <w:left w:val="nil"/>
            </w:tcBorders>
            <w:vAlign w:val="top"/>
          </w:tcPr>
          <w:p>
            <w:pPr>
              <w:pStyle w:val="8"/>
              <w:spacing w:before="49" w:line="217" w:lineRule="auto"/>
              <w:jc w:val="right"/>
            </w:pPr>
            <w:r>
              <w:rPr>
                <w:spacing w:val="-3"/>
              </w:rPr>
              <w:t>买卖上市交易的</w:t>
            </w:r>
          </w:p>
        </w:tc>
        <w:tc>
          <w:tcPr>
            <w:tcW w:w="6818" w:type="dxa"/>
            <w:vAlign w:val="top"/>
          </w:tcPr>
          <w:p>
            <w:pPr>
              <w:pStyle w:val="8"/>
              <w:spacing w:before="51" w:line="215" w:lineRule="auto"/>
              <w:ind w:left="29" w:right="7" w:firstLine="492"/>
            </w:pPr>
            <w:r>
              <w:rPr>
                <w:rFonts w:ascii="黑体" w:hAnsi="黑体" w:eastAsia="黑体" w:cs="黑体"/>
                <w:spacing w:val="1"/>
              </w:rPr>
              <w:t>第六十条  国有独资企业、国有独资公司、国有资本控股公</w:t>
            </w:r>
            <w:r>
              <w:rPr>
                <w:rFonts w:ascii="黑体" w:hAnsi="黑体" w:eastAsia="黑体" w:cs="黑体"/>
                <w:spacing w:val="5"/>
              </w:rPr>
              <w:t xml:space="preserve"> </w:t>
            </w:r>
            <w:r>
              <w:rPr>
                <w:rFonts w:ascii="黑体" w:hAnsi="黑体" w:eastAsia="黑体" w:cs="黑体"/>
                <w:spacing w:val="-3"/>
              </w:rPr>
              <w:t>司</w:t>
            </w:r>
            <w:r>
              <w:rPr>
                <w:spacing w:val="-3"/>
              </w:rPr>
              <w:t>买卖上市交易的股票，必须遵守国家有关规定。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7089" w:type="dxa"/>
            <w:gridSpan w:val="5"/>
            <w:vAlign w:val="top"/>
          </w:tcPr>
          <w:p>
            <w:pPr>
              <w:pStyle w:val="8"/>
              <w:spacing w:before="59" w:line="224" w:lineRule="auto"/>
              <w:ind w:left="16" w:firstLine="495"/>
              <w:jc w:val="both"/>
            </w:pPr>
            <w:r>
              <w:rPr>
                <w:rFonts w:ascii="黑体" w:hAnsi="黑体" w:eastAsia="黑体" w:cs="黑体"/>
                <w:spacing w:val="3"/>
              </w:rPr>
              <w:t xml:space="preserve">第八十四条  </w:t>
            </w:r>
            <w:r>
              <w:rPr>
                <w:spacing w:val="3"/>
              </w:rPr>
              <w:t>证券交易所、证券公司、证券登记</w:t>
            </w:r>
            <w:r>
              <w:rPr>
                <w:spacing w:val="2"/>
              </w:rPr>
              <w:t>结算机构、证</w:t>
            </w:r>
            <w:r>
              <w:t xml:space="preserve"> </w:t>
            </w:r>
            <w:r>
              <w:rPr>
                <w:spacing w:val="3"/>
              </w:rPr>
              <w:t>券服务机构及其从业人员对证券交易中发现的禁止的交易行为，应</w:t>
            </w:r>
            <w:r>
              <w:rPr>
                <w:spacing w:val="9"/>
              </w:rPr>
              <w:t xml:space="preserve"> </w:t>
            </w:r>
            <w:r>
              <w:rPr>
                <w:spacing w:val="-5"/>
              </w:rPr>
              <w:t>当及时向证券监督管理机构报告。</w:t>
            </w:r>
          </w:p>
        </w:tc>
        <w:tc>
          <w:tcPr>
            <w:tcW w:w="6818" w:type="dxa"/>
            <w:vAlign w:val="top"/>
          </w:tcPr>
          <w:p>
            <w:pPr>
              <w:pStyle w:val="8"/>
              <w:spacing w:before="59" w:line="224" w:lineRule="auto"/>
              <w:ind w:left="22" w:right="6" w:firstLine="499"/>
              <w:jc w:val="both"/>
            </w:pPr>
            <w:r>
              <w:rPr>
                <w:rFonts w:ascii="黑体" w:hAnsi="黑体" w:eastAsia="黑体" w:cs="黑体"/>
                <w:spacing w:val="10"/>
              </w:rPr>
              <w:t xml:space="preserve">第六十一条  </w:t>
            </w:r>
            <w:r>
              <w:rPr>
                <w:spacing w:val="10"/>
              </w:rPr>
              <w:t>证券交易</w:t>
            </w:r>
            <w:r>
              <w:rPr>
                <w:rFonts w:ascii="黑体" w:hAnsi="黑体" w:eastAsia="黑体" w:cs="黑体"/>
                <w:spacing w:val="10"/>
              </w:rPr>
              <w:t>场</w:t>
            </w:r>
            <w:r>
              <w:rPr>
                <w:spacing w:val="10"/>
              </w:rPr>
              <w:t>所、证券公司、证券登记结算机</w:t>
            </w:r>
            <w:r>
              <w:rPr>
                <w:spacing w:val="13"/>
              </w:rPr>
              <w:t xml:space="preserve"> </w:t>
            </w:r>
            <w:r>
              <w:rPr>
                <w:spacing w:val="2"/>
              </w:rPr>
              <w:t>构、证券服务机构及其从业人员对证券交易中发现的禁</w:t>
            </w:r>
            <w:r>
              <w:rPr>
                <w:spacing w:val="1"/>
              </w:rPr>
              <w:t>止的交易</w:t>
            </w:r>
            <w:r>
              <w:t xml:space="preserve"> </w:t>
            </w:r>
            <w:r>
              <w:rPr>
                <w:spacing w:val="-3"/>
              </w:rPr>
              <w:t>行为，应当及时向证券监督管理机构报告。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7089" w:type="dxa"/>
            <w:gridSpan w:val="5"/>
            <w:vAlign w:val="top"/>
          </w:tcPr>
          <w:p>
            <w:pPr>
              <w:spacing w:before="53" w:line="222" w:lineRule="auto"/>
              <w:ind w:left="2231"/>
              <w:rPr>
                <w:rFonts w:ascii="黑体" w:hAnsi="黑体" w:eastAsia="黑体" w:cs="黑体"/>
                <w:sz w:val="24"/>
                <w:szCs w:val="24"/>
              </w:rPr>
            </w:pPr>
            <w:r>
              <w:rPr>
                <w:rFonts w:ascii="黑体" w:hAnsi="黑体" w:eastAsia="黑体" w:cs="黑体"/>
                <w:spacing w:val="-1"/>
                <w:sz w:val="24"/>
                <w:szCs w:val="24"/>
              </w:rPr>
              <w:t>第四章  上市公司的收购</w:t>
            </w:r>
          </w:p>
        </w:tc>
        <w:tc>
          <w:tcPr>
            <w:tcW w:w="6818" w:type="dxa"/>
            <w:vAlign w:val="top"/>
          </w:tcPr>
          <w:p>
            <w:pPr>
              <w:spacing w:before="53" w:line="222" w:lineRule="auto"/>
              <w:ind w:left="2093"/>
              <w:rPr>
                <w:rFonts w:ascii="黑体" w:hAnsi="黑体" w:eastAsia="黑体" w:cs="黑体"/>
                <w:sz w:val="24"/>
                <w:szCs w:val="24"/>
              </w:rPr>
            </w:pPr>
            <w:r>
              <w:rPr>
                <w:rFonts w:ascii="黑体" w:hAnsi="黑体" w:eastAsia="黑体" w:cs="黑体"/>
                <w:spacing w:val="-1"/>
                <w:sz w:val="24"/>
                <w:szCs w:val="24"/>
              </w:rPr>
              <w:t>第四章  上市公司的收购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089" w:type="dxa"/>
            <w:gridSpan w:val="5"/>
            <w:vAlign w:val="top"/>
          </w:tcPr>
          <w:p>
            <w:pPr>
              <w:pStyle w:val="8"/>
              <w:spacing w:before="53" w:line="218" w:lineRule="auto"/>
              <w:ind w:left="17" w:firstLine="495"/>
            </w:pPr>
            <w:r>
              <w:rPr>
                <w:rFonts w:ascii="黑体" w:hAnsi="黑体" w:eastAsia="黑体" w:cs="黑体"/>
                <w:spacing w:val="3"/>
              </w:rPr>
              <w:t xml:space="preserve">第八十五条  </w:t>
            </w:r>
            <w:r>
              <w:rPr>
                <w:spacing w:val="3"/>
              </w:rPr>
              <w:t>投资者可以采取要约收购、协议收购及</w:t>
            </w:r>
            <w:r>
              <w:rPr>
                <w:spacing w:val="2"/>
              </w:rPr>
              <w:t>其他合法</w:t>
            </w:r>
            <w:r>
              <w:t xml:space="preserve"> </w:t>
            </w:r>
            <w:r>
              <w:rPr>
                <w:spacing w:val="-7"/>
              </w:rPr>
              <w:t>方式收购上市公司。</w:t>
            </w:r>
          </w:p>
        </w:tc>
        <w:tc>
          <w:tcPr>
            <w:tcW w:w="6818" w:type="dxa"/>
            <w:vAlign w:val="top"/>
          </w:tcPr>
          <w:p>
            <w:pPr>
              <w:pStyle w:val="8"/>
              <w:spacing w:before="53" w:line="218" w:lineRule="auto"/>
              <w:ind w:left="31" w:right="5" w:firstLine="490"/>
            </w:pPr>
            <w:r>
              <w:rPr>
                <w:rFonts w:ascii="黑体" w:hAnsi="黑体" w:eastAsia="黑体" w:cs="黑体"/>
                <w:spacing w:val="1"/>
              </w:rPr>
              <w:t xml:space="preserve">第六十二条  </w:t>
            </w:r>
            <w:r>
              <w:rPr>
                <w:spacing w:val="1"/>
              </w:rPr>
              <w:t>投资者可以采取要约收购、协议收购及其他合</w:t>
            </w:r>
            <w:r>
              <w:rPr>
                <w:spacing w:val="8"/>
              </w:rPr>
              <w:t xml:space="preserve"> </w:t>
            </w:r>
            <w:r>
              <w:rPr>
                <w:spacing w:val="-6"/>
              </w:rPr>
              <w:t>法方式收购上市公司。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3" w:hRule="atLeast"/>
        </w:trPr>
        <w:tc>
          <w:tcPr>
            <w:tcW w:w="7089" w:type="dxa"/>
            <w:gridSpan w:val="5"/>
            <w:vAlign w:val="top"/>
          </w:tcPr>
          <w:p>
            <w:pPr>
              <w:pStyle w:val="8"/>
              <w:spacing w:before="53" w:line="234" w:lineRule="auto"/>
              <w:ind w:left="14" w:firstLine="497"/>
              <w:jc w:val="both"/>
            </w:pPr>
            <w:r>
              <w:rPr>
                <w:rFonts w:ascii="黑体" w:hAnsi="黑体" w:eastAsia="黑体" w:cs="黑体"/>
                <w:spacing w:val="-2"/>
              </w:rPr>
              <w:t xml:space="preserve">第八十六条  </w:t>
            </w:r>
            <w:r>
              <w:rPr>
                <w:spacing w:val="-2"/>
              </w:rPr>
              <w:t>通过证券交易所的证券交易， 投资者持有或者通</w:t>
            </w:r>
            <w:r>
              <w:rPr>
                <w:spacing w:val="16"/>
              </w:rPr>
              <w:t xml:space="preserve"> </w:t>
            </w:r>
            <w:r>
              <w:rPr>
                <w:spacing w:val="3"/>
              </w:rPr>
              <w:t>过协议、其他安排与他人共同持有一个上市公司已发行的股份达到</w:t>
            </w:r>
            <w:r>
              <w:rPr>
                <w:spacing w:val="11"/>
              </w:rPr>
              <w:t xml:space="preserve"> </w:t>
            </w:r>
            <w:r>
              <w:rPr>
                <w:spacing w:val="-1"/>
              </w:rPr>
              <w:t>百分之五时，应当在该事实发生之日起三日内， 向国务院证券监督</w:t>
            </w:r>
            <w:r>
              <w:rPr>
                <w:spacing w:val="8"/>
              </w:rPr>
              <w:t xml:space="preserve"> </w:t>
            </w:r>
            <w:r>
              <w:rPr>
                <w:spacing w:val="11"/>
              </w:rPr>
              <w:t>管</w:t>
            </w:r>
            <w:r>
              <w:rPr>
                <w:position w:val="-8"/>
              </w:rPr>
              <w:drawing>
                <wp:inline distT="0" distB="0" distL="0" distR="0">
                  <wp:extent cx="1270" cy="127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74"/>
                          <a:stretch>
                            <a:fillRect/>
                          </a:stretch>
                        </pic:blipFill>
                        <pic:spPr>
                          <a:xfrm>
                            <a:off x="0" y="0"/>
                            <a:ext cx="1825" cy="1523"/>
                          </a:xfrm>
                          <a:prstGeom prst="rect">
                            <a:avLst/>
                          </a:prstGeom>
                        </pic:spPr>
                      </pic:pic>
                    </a:graphicData>
                  </a:graphic>
                </wp:inline>
              </w:drawing>
            </w:r>
            <w:r>
              <w:rPr>
                <w:spacing w:val="-95"/>
                <w:u w:val="single" w:color="auto"/>
              </w:rPr>
              <w:t xml:space="preserve"> </w:t>
            </w:r>
            <w:r>
              <w:rPr>
                <w:spacing w:val="11"/>
                <w:u w:val="single" w:color="auto"/>
              </w:rPr>
              <w:t>理</w:t>
            </w:r>
            <w:r>
              <w:rPr>
                <w:spacing w:val="11"/>
              </w:rPr>
              <w:t>机构、证券</w:t>
            </w:r>
            <w:r>
              <w:rPr>
                <w:spacing w:val="11"/>
                <w:u w:val="single" w:color="auto"/>
              </w:rPr>
              <w:t>交易</w:t>
            </w:r>
            <w:r>
              <w:rPr>
                <w:spacing w:val="11"/>
              </w:rPr>
              <w:t>所作出书面报告，通知该上市公司，并予公</w:t>
            </w:r>
            <w:r>
              <w:t xml:space="preserve"> </w:t>
            </w:r>
            <w:r>
              <w:rPr>
                <w:spacing w:val="-4"/>
              </w:rPr>
              <w:t>告</w:t>
            </w:r>
            <w:r>
              <w:rPr>
                <w:position w:val="-7"/>
              </w:rPr>
              <w:drawing>
                <wp:inline distT="0" distB="0" distL="0" distR="0">
                  <wp:extent cx="1270" cy="199390"/>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76"/>
                          <a:stretch>
                            <a:fillRect/>
                          </a:stretch>
                        </pic:blipFill>
                        <pic:spPr>
                          <a:xfrm>
                            <a:off x="0" y="0"/>
                            <a:ext cx="1546" cy="199644"/>
                          </a:xfrm>
                          <a:prstGeom prst="rect">
                            <a:avLst/>
                          </a:prstGeom>
                        </pic:spPr>
                      </pic:pic>
                    </a:graphicData>
                  </a:graphic>
                </wp:inline>
              </w:drawing>
            </w:r>
            <w:r>
              <w:rPr>
                <w:spacing w:val="-4"/>
                <w:u w:val="single" w:color="auto"/>
                <w:shd w:val="clear" w:fill="D9D9D9"/>
              </w:rPr>
              <w:t>；</w:t>
            </w:r>
            <w:r>
              <w:rPr>
                <w:position w:val="-7"/>
              </w:rPr>
              <w:drawing>
                <wp:inline distT="0" distB="0" distL="0" distR="0">
                  <wp:extent cx="1270" cy="199390"/>
                  <wp:effectExtent l="0" t="0" r="0" b="0"/>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96"/>
                          <a:stretch>
                            <a:fillRect/>
                          </a:stretch>
                        </pic:blipFill>
                        <pic:spPr>
                          <a:xfrm>
                            <a:off x="0" y="0"/>
                            <a:ext cx="1546" cy="199644"/>
                          </a:xfrm>
                          <a:prstGeom prst="rect">
                            <a:avLst/>
                          </a:prstGeom>
                        </pic:spPr>
                      </pic:pic>
                    </a:graphicData>
                  </a:graphic>
                </wp:inline>
              </w:drawing>
            </w:r>
            <w:r>
              <w:rPr>
                <w:spacing w:val="-4"/>
              </w:rPr>
              <w:t>在上述期限内</w:t>
            </w:r>
            <w:r>
              <w:rPr>
                <w:position w:val="-6"/>
              </w:rPr>
              <w:drawing>
                <wp:inline distT="0" distB="0" distL="0" distR="0">
                  <wp:extent cx="5715" cy="198120"/>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96"/>
                          <a:stretch>
                            <a:fillRect/>
                          </a:stretch>
                        </pic:blipFill>
                        <pic:spPr>
                          <a:xfrm>
                            <a:off x="0" y="0"/>
                            <a:ext cx="6186" cy="198120"/>
                          </a:xfrm>
                          <a:prstGeom prst="rect">
                            <a:avLst/>
                          </a:prstGeom>
                        </pic:spPr>
                      </pic:pic>
                    </a:graphicData>
                  </a:graphic>
                </wp:inline>
              </w:drawing>
            </w:r>
            <w:r>
              <w:rPr>
                <w:spacing w:val="-87"/>
                <w:u w:val="single" w:color="auto"/>
                <w:shd w:val="clear" w:fill="D9D9D9"/>
              </w:rPr>
              <w:t xml:space="preserve"> </w:t>
            </w:r>
            <w:r>
              <w:rPr>
                <w:spacing w:val="-4"/>
                <w:u w:val="single" w:color="auto"/>
                <w:shd w:val="clear" w:fill="D9D9D9"/>
              </w:rPr>
              <w:t>，</w:t>
            </w:r>
            <w:r>
              <w:rPr>
                <w:position w:val="-7"/>
              </w:rPr>
              <w:drawing>
                <wp:inline distT="0" distB="0" distL="0" distR="0">
                  <wp:extent cx="5715" cy="203835"/>
                  <wp:effectExtent l="0" t="0" r="0" b="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73"/>
                          <a:stretch>
                            <a:fillRect/>
                          </a:stretch>
                        </pic:blipFill>
                        <pic:spPr>
                          <a:xfrm>
                            <a:off x="0" y="0"/>
                            <a:ext cx="6186" cy="204216"/>
                          </a:xfrm>
                          <a:prstGeom prst="rect">
                            <a:avLst/>
                          </a:prstGeom>
                        </pic:spPr>
                      </pic:pic>
                    </a:graphicData>
                  </a:graphic>
                </wp:inline>
              </w:drawing>
            </w:r>
            <w:r>
              <w:rPr>
                <w:spacing w:val="-4"/>
              </w:rPr>
              <w:t>不得再行买卖该上市公司的股</w:t>
            </w:r>
            <w:r>
              <w:rPr>
                <w:spacing w:val="-5"/>
              </w:rPr>
              <w:t>票。</w:t>
            </w:r>
          </w:p>
          <w:p>
            <w:pPr>
              <w:pStyle w:val="8"/>
              <w:spacing w:before="33" w:line="229" w:lineRule="auto"/>
              <w:ind w:left="10" w:firstLine="504"/>
              <w:jc w:val="both"/>
            </w:pPr>
            <w:r>
              <w:pict>
                <v:shape id="_x0000_s1058" o:spid="_x0000_s1058" style="position:absolute;left:0pt;margin-left:232.55pt;margin-top:30.95pt;height:0.15pt;width:12.15pt;z-index:251688960;mso-width-relative:page;mso-height-relative:page;" fillcolor="#000000" filled="t" stroked="f" coordsize="242,3" path="m0,0l242,0,242,2,0,2,0,0xe">
                  <v:path/>
                  <v:fill on="t" focussize="0,0"/>
                  <v:stroke on="f"/>
                  <v:imagedata o:title=""/>
                  <o:lock v:ext="edit"/>
                </v:shape>
              </w:pict>
            </w:r>
            <w:r>
              <w:rPr>
                <w:spacing w:val="3"/>
              </w:rPr>
              <w:t>投资者持有或者通过协议、其他安排与他人共同持</w:t>
            </w:r>
            <w:r>
              <w:rPr>
                <w:spacing w:val="2"/>
              </w:rPr>
              <w:t>有一个上市</w:t>
            </w:r>
            <w:r>
              <w:t xml:space="preserve"> </w:t>
            </w:r>
            <w:r>
              <w:rPr>
                <w:spacing w:val="3"/>
              </w:rPr>
              <w:t>公司已发行的股份达到百分之五后，其所持该上市公司已发行的股</w:t>
            </w:r>
            <w:r>
              <w:rPr>
                <w:spacing w:val="15"/>
              </w:rPr>
              <w:t xml:space="preserve"> </w:t>
            </w:r>
            <w:r>
              <w:rPr>
                <w:spacing w:val="3"/>
              </w:rPr>
              <w:t>份比例每增加或者减少百分之五，应当依照</w:t>
            </w:r>
            <w:r>
              <w:rPr>
                <w:spacing w:val="-114"/>
              </w:rPr>
              <w:t xml:space="preserve"> </w:t>
            </w:r>
            <w:r>
              <w:rPr>
                <w:position w:val="23"/>
              </w:rPr>
              <w:drawing>
                <wp:inline distT="0" distB="0" distL="0" distR="0">
                  <wp:extent cx="635" cy="1270"/>
                  <wp:effectExtent l="0" t="0" r="0" b="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75"/>
                          <a:stretch>
                            <a:fillRect/>
                          </a:stretch>
                        </pic:blipFill>
                        <pic:spPr>
                          <a:xfrm>
                            <a:off x="0" y="0"/>
                            <a:ext cx="760" cy="1524"/>
                          </a:xfrm>
                          <a:prstGeom prst="rect">
                            <a:avLst/>
                          </a:prstGeom>
                        </pic:spPr>
                      </pic:pic>
                    </a:graphicData>
                  </a:graphic>
                </wp:inline>
              </w:drawing>
            </w:r>
            <w:r>
              <w:rPr>
                <w:position w:val="-6"/>
              </w:rPr>
              <w:drawing>
                <wp:inline distT="0" distB="0" distL="0" distR="0">
                  <wp:extent cx="635" cy="193040"/>
                  <wp:effectExtent l="0" t="0" r="0" b="0"/>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97"/>
                          <a:stretch>
                            <a:fillRect/>
                          </a:stretch>
                        </pic:blipFill>
                        <pic:spPr>
                          <a:xfrm>
                            <a:off x="0" y="0"/>
                            <a:ext cx="760" cy="193547"/>
                          </a:xfrm>
                          <a:prstGeom prst="rect">
                            <a:avLst/>
                          </a:prstGeom>
                        </pic:spPr>
                      </pic:pic>
                    </a:graphicData>
                  </a:graphic>
                </wp:inline>
              </w:drawing>
            </w:r>
            <w:r>
              <w:rPr>
                <w:spacing w:val="3"/>
                <w:shd w:val="clear" w:fill="D9D9D9"/>
              </w:rPr>
              <w:t>前</w:t>
            </w:r>
            <w:r>
              <w:rPr>
                <w:spacing w:val="-117"/>
                <w:shd w:val="clear" w:fill="D9D9D9"/>
              </w:rPr>
              <w:t xml:space="preserve"> </w:t>
            </w:r>
            <w:r>
              <w:rPr>
                <w:position w:val="23"/>
              </w:rPr>
              <w:drawing>
                <wp:inline distT="0" distB="0" distL="0" distR="0">
                  <wp:extent cx="635" cy="1270"/>
                  <wp:effectExtent l="0" t="0" r="0" b="0"/>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74"/>
                          <a:stretch>
                            <a:fillRect/>
                          </a:stretch>
                        </pic:blipFill>
                        <pic:spPr>
                          <a:xfrm>
                            <a:off x="0" y="0"/>
                            <a:ext cx="760" cy="1524"/>
                          </a:xfrm>
                          <a:prstGeom prst="rect">
                            <a:avLst/>
                          </a:prstGeom>
                        </pic:spPr>
                      </pic:pic>
                    </a:graphicData>
                  </a:graphic>
                </wp:inline>
              </w:drawing>
            </w:r>
            <w:r>
              <w:rPr>
                <w:position w:val="-6"/>
              </w:rPr>
              <w:drawing>
                <wp:inline distT="0" distB="0" distL="0" distR="0">
                  <wp:extent cx="635" cy="193040"/>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76"/>
                          <a:stretch>
                            <a:fillRect/>
                          </a:stretch>
                        </pic:blipFill>
                        <pic:spPr>
                          <a:xfrm>
                            <a:off x="0" y="0"/>
                            <a:ext cx="760" cy="193547"/>
                          </a:xfrm>
                          <a:prstGeom prst="rect">
                            <a:avLst/>
                          </a:prstGeom>
                        </pic:spPr>
                      </pic:pic>
                    </a:graphicData>
                  </a:graphic>
                </wp:inline>
              </w:drawing>
            </w:r>
            <w:r>
              <w:rPr>
                <w:spacing w:val="3"/>
              </w:rPr>
              <w:t>款规定进行报告和公</w:t>
            </w:r>
          </w:p>
          <w:p>
            <w:pPr>
              <w:spacing w:line="14" w:lineRule="exact"/>
              <w:ind w:left="247"/>
            </w:pPr>
            <w:r>
              <w:drawing>
                <wp:inline distT="0" distB="0" distL="0" distR="0">
                  <wp:extent cx="2955290" cy="8890"/>
                  <wp:effectExtent l="0" t="0" r="0" b="0"/>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98"/>
                          <a:stretch>
                            <a:fillRect/>
                          </a:stretch>
                        </pic:blipFill>
                        <pic:spPr>
                          <a:xfrm>
                            <a:off x="0" y="0"/>
                            <a:ext cx="2955366" cy="9144"/>
                          </a:xfrm>
                          <a:prstGeom prst="rect">
                            <a:avLst/>
                          </a:prstGeom>
                        </pic:spPr>
                      </pic:pic>
                    </a:graphicData>
                  </a:graphic>
                </wp:inline>
              </w:drawing>
            </w:r>
          </w:p>
          <w:p>
            <w:pPr>
              <w:pStyle w:val="8"/>
              <w:spacing w:before="1" w:line="234" w:lineRule="auto"/>
              <w:jc w:val="right"/>
            </w:pPr>
            <w:r>
              <w:rPr>
                <w:spacing w:val="1"/>
              </w:rPr>
              <w:t>告</w:t>
            </w:r>
            <w:r>
              <w:rPr>
                <w:position w:val="-6"/>
              </w:rPr>
              <w:drawing>
                <wp:inline distT="0" distB="0" distL="0" distR="0">
                  <wp:extent cx="1905" cy="197485"/>
                  <wp:effectExtent l="0" t="0" r="0" b="0"/>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76"/>
                          <a:stretch>
                            <a:fillRect/>
                          </a:stretch>
                        </pic:blipFill>
                        <pic:spPr>
                          <a:xfrm>
                            <a:off x="0" y="0"/>
                            <a:ext cx="2059" cy="198119"/>
                          </a:xfrm>
                          <a:prstGeom prst="rect">
                            <a:avLst/>
                          </a:prstGeom>
                        </pic:spPr>
                      </pic:pic>
                    </a:graphicData>
                  </a:graphic>
                </wp:inline>
              </w:drawing>
            </w:r>
            <w:r>
              <w:rPr>
                <w:spacing w:val="-90"/>
                <w:shd w:val="clear" w:fill="D9D9D9"/>
              </w:rPr>
              <w:t xml:space="preserve"> </w:t>
            </w:r>
            <w:r>
              <w:rPr>
                <w:spacing w:val="1"/>
                <w:shd w:val="clear" w:fill="D9D9D9"/>
              </w:rPr>
              <w:t>。</w:t>
            </w:r>
            <w:r>
              <w:rPr>
                <w:position w:val="-6"/>
              </w:rPr>
              <w:drawing>
                <wp:inline distT="0" distB="0" distL="0" distR="0">
                  <wp:extent cx="1905" cy="197485"/>
                  <wp:effectExtent l="0" t="0" r="0" b="0"/>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76"/>
                          <a:stretch>
                            <a:fillRect/>
                          </a:stretch>
                        </pic:blipFill>
                        <pic:spPr>
                          <a:xfrm>
                            <a:off x="0" y="0"/>
                            <a:ext cx="2059" cy="198119"/>
                          </a:xfrm>
                          <a:prstGeom prst="rect">
                            <a:avLst/>
                          </a:prstGeom>
                        </pic:spPr>
                      </pic:pic>
                    </a:graphicData>
                  </a:graphic>
                </wp:inline>
              </w:drawing>
            </w:r>
            <w:r>
              <w:rPr>
                <w:position w:val="-6"/>
              </w:rPr>
              <w:drawing>
                <wp:inline distT="0" distB="0" distL="0" distR="0">
                  <wp:extent cx="7620" cy="197485"/>
                  <wp:effectExtent l="0" t="0" r="0" b="0"/>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88"/>
                          <a:stretch>
                            <a:fillRect/>
                          </a:stretch>
                        </pic:blipFill>
                        <pic:spPr>
                          <a:xfrm>
                            <a:off x="0" y="0"/>
                            <a:ext cx="8239" cy="198119"/>
                          </a:xfrm>
                          <a:prstGeom prst="rect">
                            <a:avLst/>
                          </a:prstGeom>
                        </pic:spPr>
                      </pic:pic>
                    </a:graphicData>
                  </a:graphic>
                </wp:inline>
              </w:drawing>
            </w:r>
            <w:r>
              <w:rPr>
                <w:spacing w:val="1"/>
                <w:shd w:val="clear" w:fill="D9D9D9"/>
              </w:rPr>
              <w:t>在报告期限内和作出报告、公告后二日内</w:t>
            </w:r>
            <w:r>
              <w:rPr>
                <w:position w:val="-6"/>
              </w:rPr>
              <w:drawing>
                <wp:inline distT="0" distB="0" distL="0" distR="0">
                  <wp:extent cx="7620" cy="197485"/>
                  <wp:effectExtent l="0" t="0" r="0" b="0"/>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96"/>
                          <a:stretch>
                            <a:fillRect/>
                          </a:stretch>
                        </pic:blipFill>
                        <pic:spPr>
                          <a:xfrm>
                            <a:off x="0" y="0"/>
                            <a:ext cx="8239" cy="198119"/>
                          </a:xfrm>
                          <a:prstGeom prst="rect">
                            <a:avLst/>
                          </a:prstGeom>
                        </pic:spPr>
                      </pic:pic>
                    </a:graphicData>
                  </a:graphic>
                </wp:inline>
              </w:drawing>
            </w:r>
            <w:r>
              <w:rPr>
                <w:spacing w:val="1"/>
              </w:rPr>
              <w:t>，不得再行买卖该上</w:t>
            </w:r>
          </w:p>
        </w:tc>
        <w:tc>
          <w:tcPr>
            <w:tcW w:w="6818" w:type="dxa"/>
            <w:vAlign w:val="top"/>
          </w:tcPr>
          <w:p>
            <w:pPr>
              <w:pStyle w:val="8"/>
              <w:spacing w:before="50" w:line="235" w:lineRule="auto"/>
              <w:ind w:left="28" w:right="5" w:firstLine="493"/>
              <w:jc w:val="both"/>
            </w:pPr>
            <w:r>
              <w:rPr>
                <w:rFonts w:ascii="黑体" w:hAnsi="黑体" w:eastAsia="黑体" w:cs="黑体"/>
                <w:spacing w:val="1"/>
              </w:rPr>
              <w:t xml:space="preserve">第六十三条  </w:t>
            </w:r>
            <w:r>
              <w:rPr>
                <w:spacing w:val="1"/>
              </w:rPr>
              <w:t>通过证券交易所的证券交易，投资者持有或者</w:t>
            </w:r>
            <w:r>
              <w:rPr>
                <w:spacing w:val="8"/>
              </w:rPr>
              <w:t xml:space="preserve"> </w:t>
            </w:r>
            <w:r>
              <w:rPr>
                <w:spacing w:val="1"/>
              </w:rPr>
              <w:t>通过协议、其他安排与他人共同持有一个上市公司已发行的有表</w:t>
            </w:r>
            <w:r>
              <w:rPr>
                <w:spacing w:val="18"/>
              </w:rPr>
              <w:t xml:space="preserve"> </w:t>
            </w:r>
            <w:r>
              <w:rPr>
                <w:spacing w:val="-4"/>
              </w:rPr>
              <w:t>决权股份达到百分之五时， 应当在该事实发生之日起三日内，向</w:t>
            </w:r>
            <w:r>
              <w:t xml:space="preserve"> </w:t>
            </w:r>
            <w:r>
              <w:rPr>
                <w:spacing w:val="-3"/>
              </w:rPr>
              <w:t>国务院证券监督管理机构、证券交易所作出书面报告， 通知该上</w:t>
            </w:r>
            <w:r>
              <w:rPr>
                <w:spacing w:val="13"/>
              </w:rPr>
              <w:t xml:space="preserve"> </w:t>
            </w:r>
            <w:r>
              <w:rPr>
                <w:spacing w:val="-3"/>
              </w:rPr>
              <w:t>市公司， 并予公告，在上述期限内不得再行买卖该上市公司的股</w:t>
            </w:r>
            <w:r>
              <w:rPr>
                <w:spacing w:val="13"/>
              </w:rPr>
              <w:t xml:space="preserve"> </w:t>
            </w:r>
            <w:r>
              <w:rPr>
                <w:spacing w:val="-1"/>
              </w:rPr>
              <w:t>票</w:t>
            </w:r>
            <w:r>
              <w:rPr>
                <w:rFonts w:ascii="黑体" w:hAnsi="黑体" w:eastAsia="黑体" w:cs="黑体"/>
                <w:spacing w:val="-1"/>
              </w:rPr>
              <w:t>，但国务院证券监督管理机构规定的情形除外</w:t>
            </w:r>
            <w:r>
              <w:rPr>
                <w:spacing w:val="-1"/>
              </w:rPr>
              <w:t>。</w:t>
            </w:r>
          </w:p>
          <w:p>
            <w:pPr>
              <w:pStyle w:val="8"/>
              <w:spacing w:before="36" w:line="231" w:lineRule="auto"/>
              <w:ind w:left="33" w:right="5" w:firstLine="491"/>
              <w:jc w:val="both"/>
            </w:pPr>
            <w:r>
              <w:rPr>
                <w:spacing w:val="1"/>
              </w:rPr>
              <w:t>投资者持有或者通过协议、其他安排与他人共同持有一个上</w:t>
            </w:r>
            <w:r>
              <w:rPr>
                <w:spacing w:val="3"/>
              </w:rPr>
              <w:t xml:space="preserve"> </w:t>
            </w:r>
            <w:r>
              <w:rPr>
                <w:spacing w:val="1"/>
              </w:rPr>
              <w:t>市公司已发行的有表决权股份达到百分之五后，其所持该上市公</w:t>
            </w:r>
            <w:r>
              <w:rPr>
                <w:spacing w:val="13"/>
              </w:rPr>
              <w:t xml:space="preserve"> </w:t>
            </w:r>
            <w:r>
              <w:rPr>
                <w:spacing w:val="-3"/>
              </w:rPr>
              <w:t>司已发行的有表决权股份比例每增加或者减少百分之五， 应当依</w:t>
            </w:r>
          </w:p>
        </w:tc>
      </w:tr>
    </w:tbl>
    <w:p>
      <w:pPr>
        <w:spacing w:line="190" w:lineRule="exact"/>
        <w:rPr>
          <w:rFonts w:ascii="Arial"/>
          <w:sz w:val="16"/>
        </w:rPr>
      </w:pPr>
    </w:p>
    <w:p>
      <w:pPr>
        <w:spacing w:line="190" w:lineRule="exact"/>
        <w:rPr>
          <w:rFonts w:ascii="Arial" w:hAnsi="Arial" w:eastAsia="Arial" w:cs="Arial"/>
          <w:sz w:val="16"/>
          <w:szCs w:val="16"/>
        </w:rPr>
        <w:sectPr>
          <w:footerReference r:id="rId23"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4"/>
        <w:gridCol w:w="339"/>
        <w:gridCol w:w="271"/>
        <w:gridCol w:w="1694"/>
        <w:gridCol w:w="1711"/>
        <w:gridCol w:w="1226"/>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2464" w:type="dxa"/>
            <w:gridSpan w:val="3"/>
            <w:vMerge w:val="restart"/>
            <w:tcBorders>
              <w:bottom w:val="nil"/>
              <w:right w:val="nil"/>
            </w:tcBorders>
            <w:vAlign w:val="top"/>
          </w:tcPr>
          <w:p>
            <w:pPr>
              <w:pStyle w:val="8"/>
              <w:spacing w:before="42" w:line="217" w:lineRule="auto"/>
              <w:ind w:left="23"/>
            </w:pPr>
            <w:r>
              <w:rPr>
                <w:spacing w:val="-9"/>
              </w:rPr>
              <w:t>市公司的股票。</w:t>
            </w:r>
          </w:p>
          <w:p>
            <w:pPr>
              <w:spacing w:before="40" w:line="208" w:lineRule="auto"/>
              <w:ind w:left="513"/>
              <w:rPr>
                <w:rFonts w:ascii="黑体" w:hAnsi="黑体" w:eastAsia="黑体" w:cs="黑体"/>
                <w:sz w:val="24"/>
                <w:szCs w:val="24"/>
              </w:rPr>
            </w:pPr>
            <w:r>
              <w:rPr>
                <w:rFonts w:ascii="黑体" w:hAnsi="黑体" w:eastAsia="黑体" w:cs="黑体"/>
                <w:sz w:val="24"/>
                <w:szCs w:val="24"/>
              </w:rPr>
              <w:t>第二百一十三条</w:t>
            </w:r>
          </w:p>
        </w:tc>
        <w:tc>
          <w:tcPr>
            <w:tcW w:w="4631" w:type="dxa"/>
            <w:gridSpan w:val="3"/>
            <w:tcBorders>
              <w:left w:val="nil"/>
              <w:bottom w:val="single" w:color="000000" w:sz="2" w:space="0"/>
            </w:tcBorders>
            <w:vAlign w:val="top"/>
          </w:tcPr>
          <w:p>
            <w:pPr>
              <w:rPr>
                <w:rFonts w:ascii="Arial"/>
                <w:sz w:val="21"/>
              </w:rPr>
            </w:pPr>
          </w:p>
        </w:tc>
        <w:tc>
          <w:tcPr>
            <w:tcW w:w="6812" w:type="dxa"/>
            <w:vMerge w:val="restart"/>
            <w:tcBorders>
              <w:bottom w:val="nil"/>
            </w:tcBorders>
            <w:vAlign w:val="top"/>
          </w:tcPr>
          <w:p>
            <w:pPr>
              <w:pStyle w:val="8"/>
              <w:spacing w:before="41" w:line="233" w:lineRule="auto"/>
              <w:ind w:left="13" w:right="6" w:firstLine="20"/>
              <w:jc w:val="both"/>
            </w:pPr>
            <w:r>
              <w:rPr>
                <w:spacing w:val="1"/>
              </w:rPr>
              <w:t>照前款规定进行报告和公告</w:t>
            </w:r>
            <w:r>
              <w:rPr>
                <w:rFonts w:ascii="黑体" w:hAnsi="黑体" w:eastAsia="黑体" w:cs="黑体"/>
                <w:spacing w:val="1"/>
              </w:rPr>
              <w:t>，在该事实发生之日起至公告后三日</w:t>
            </w:r>
            <w:r>
              <w:rPr>
                <w:rFonts w:ascii="黑体" w:hAnsi="黑体" w:eastAsia="黑体" w:cs="黑体"/>
                <w:spacing w:val="6"/>
              </w:rPr>
              <w:t xml:space="preserve"> </w:t>
            </w:r>
            <w:r>
              <w:rPr>
                <w:rFonts w:ascii="黑体" w:hAnsi="黑体" w:eastAsia="黑体" w:cs="黑体"/>
                <w:spacing w:val="2"/>
              </w:rPr>
              <w:t>内</w:t>
            </w:r>
            <w:r>
              <w:rPr>
                <w:spacing w:val="2"/>
              </w:rPr>
              <w:t>，不得再行买卖该上市公司的股票</w:t>
            </w:r>
            <w:r>
              <w:rPr>
                <w:rFonts w:ascii="黑体" w:hAnsi="黑体" w:eastAsia="黑体" w:cs="黑体"/>
                <w:spacing w:val="2"/>
              </w:rPr>
              <w:t>，但国务院证券监督管理机</w:t>
            </w:r>
            <w:r>
              <w:rPr>
                <w:rFonts w:ascii="黑体" w:hAnsi="黑体" w:eastAsia="黑体" w:cs="黑体"/>
              </w:rPr>
              <w:t xml:space="preserve"> </w:t>
            </w:r>
            <w:r>
              <w:rPr>
                <w:rFonts w:ascii="黑体" w:hAnsi="黑体" w:eastAsia="黑体" w:cs="黑体"/>
                <w:spacing w:val="-1"/>
              </w:rPr>
              <w:t>构规定的情形除外</w:t>
            </w:r>
            <w:r>
              <w:rPr>
                <w:spacing w:val="-1"/>
              </w:rPr>
              <w:t>。</w:t>
            </w:r>
          </w:p>
          <w:p>
            <w:pPr>
              <w:spacing w:before="22" w:line="233" w:lineRule="auto"/>
              <w:ind w:left="18" w:right="7" w:firstLine="476"/>
              <w:rPr>
                <w:rFonts w:ascii="黑体" w:hAnsi="黑体" w:eastAsia="黑体" w:cs="黑体"/>
                <w:sz w:val="24"/>
                <w:szCs w:val="24"/>
              </w:rPr>
            </w:pPr>
            <w:r>
              <w:rPr>
                <w:rFonts w:ascii="黑体" w:hAnsi="黑体" w:eastAsia="黑体" w:cs="黑体"/>
                <w:spacing w:val="2"/>
                <w:sz w:val="24"/>
                <w:szCs w:val="24"/>
              </w:rPr>
              <w:t>投资者持有或者通过协议、其他安排与他人共同持有一个上</w:t>
            </w:r>
            <w:r>
              <w:rPr>
                <w:rFonts w:ascii="黑体" w:hAnsi="黑体" w:eastAsia="黑体" w:cs="黑体"/>
                <w:spacing w:val="1"/>
                <w:sz w:val="24"/>
                <w:szCs w:val="24"/>
              </w:rPr>
              <w:t xml:space="preserve"> </w:t>
            </w:r>
            <w:r>
              <w:rPr>
                <w:rFonts w:ascii="黑体" w:hAnsi="黑体" w:eastAsia="黑体" w:cs="黑体"/>
                <w:spacing w:val="2"/>
                <w:sz w:val="24"/>
                <w:szCs w:val="24"/>
              </w:rPr>
              <w:t>市公司已发行的有表决权股份达到百分之五后，</w:t>
            </w:r>
            <w:r>
              <w:rPr>
                <w:rFonts w:ascii="黑体" w:hAnsi="黑体" w:eastAsia="黑体" w:cs="黑体"/>
                <w:spacing w:val="1"/>
                <w:sz w:val="24"/>
                <w:szCs w:val="24"/>
              </w:rPr>
              <w:t>其所持该上市公</w:t>
            </w:r>
            <w:r>
              <w:rPr>
                <w:rFonts w:ascii="黑体" w:hAnsi="黑体" w:eastAsia="黑体" w:cs="黑体"/>
                <w:sz w:val="24"/>
                <w:szCs w:val="24"/>
              </w:rPr>
              <w:t xml:space="preserve"> </w:t>
            </w:r>
            <w:r>
              <w:rPr>
                <w:rFonts w:ascii="黑体" w:hAnsi="黑体" w:eastAsia="黑体" w:cs="黑体"/>
                <w:spacing w:val="2"/>
                <w:sz w:val="24"/>
                <w:szCs w:val="24"/>
              </w:rPr>
              <w:t>司已发行的有表决权股份比例每增加或者减少百</w:t>
            </w:r>
            <w:r>
              <w:rPr>
                <w:rFonts w:ascii="黑体" w:hAnsi="黑体" w:eastAsia="黑体" w:cs="黑体"/>
                <w:spacing w:val="1"/>
                <w:sz w:val="24"/>
                <w:szCs w:val="24"/>
              </w:rPr>
              <w:t>分之一，应当在</w:t>
            </w:r>
            <w:r>
              <w:rPr>
                <w:rFonts w:ascii="黑体" w:hAnsi="黑体" w:eastAsia="黑体" w:cs="黑体"/>
                <w:sz w:val="24"/>
                <w:szCs w:val="24"/>
              </w:rPr>
              <w:t xml:space="preserve"> </w:t>
            </w:r>
            <w:r>
              <w:rPr>
                <w:rFonts w:ascii="黑体" w:hAnsi="黑体" w:eastAsia="黑体" w:cs="黑体"/>
                <w:spacing w:val="-2"/>
                <w:sz w:val="24"/>
                <w:szCs w:val="24"/>
              </w:rPr>
              <w:t>该事实发生的次日通知该上市公司，并予公告。</w:t>
            </w:r>
          </w:p>
          <w:p>
            <w:pPr>
              <w:spacing w:before="36" w:line="229" w:lineRule="auto"/>
              <w:ind w:left="14" w:right="7" w:firstLine="481"/>
              <w:rPr>
                <w:rFonts w:ascii="黑体" w:hAnsi="黑体" w:eastAsia="黑体" w:cs="黑体"/>
                <w:sz w:val="24"/>
                <w:szCs w:val="24"/>
              </w:rPr>
            </w:pPr>
            <w:r>
              <w:rPr>
                <w:rFonts w:ascii="黑体" w:hAnsi="黑体" w:eastAsia="黑体" w:cs="黑体"/>
                <w:sz w:val="24"/>
                <w:szCs w:val="24"/>
              </w:rPr>
              <w:t>违反第一款、第二款规定买入上市公司有表决权的股份</w:t>
            </w:r>
            <w:r>
              <w:rPr>
                <w:rFonts w:ascii="黑体" w:hAnsi="黑体" w:eastAsia="黑体" w:cs="黑体"/>
                <w:spacing w:val="-1"/>
                <w:sz w:val="24"/>
                <w:szCs w:val="24"/>
              </w:rPr>
              <w:t>的，</w:t>
            </w:r>
            <w:r>
              <w:rPr>
                <w:rFonts w:ascii="黑体" w:hAnsi="黑体" w:eastAsia="黑体" w:cs="黑体"/>
                <w:sz w:val="24"/>
                <w:szCs w:val="24"/>
              </w:rPr>
              <w:t xml:space="preserve"> </w:t>
            </w:r>
            <w:r>
              <w:rPr>
                <w:rFonts w:ascii="黑体" w:hAnsi="黑体" w:eastAsia="黑体" w:cs="黑体"/>
                <w:spacing w:val="-2"/>
                <w:sz w:val="24"/>
                <w:szCs w:val="24"/>
              </w:rPr>
              <w:t>在买入后的三十六个月内， 对该超过规定比</w:t>
            </w:r>
            <w:r>
              <w:rPr>
                <w:rFonts w:ascii="黑体" w:hAnsi="黑体" w:eastAsia="黑体" w:cs="黑体"/>
                <w:spacing w:val="-3"/>
                <w:sz w:val="24"/>
                <w:szCs w:val="24"/>
              </w:rPr>
              <w:t>例部分的股份不得行</w:t>
            </w:r>
            <w:r>
              <w:rPr>
                <w:rFonts w:ascii="黑体" w:hAnsi="黑体" w:eastAsia="黑体" w:cs="黑体"/>
                <w:sz w:val="24"/>
                <w:szCs w:val="24"/>
              </w:rPr>
              <w:t xml:space="preserve"> </w:t>
            </w:r>
            <w:r>
              <w:rPr>
                <w:rFonts w:ascii="黑体" w:hAnsi="黑体" w:eastAsia="黑体" w:cs="黑体"/>
                <w:spacing w:val="-7"/>
                <w:sz w:val="24"/>
                <w:szCs w:val="24"/>
              </w:rPr>
              <w:t>使表决权。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464" w:type="dxa"/>
            <w:gridSpan w:val="3"/>
            <w:vMerge w:val="continue"/>
            <w:tcBorders>
              <w:top w:val="nil"/>
              <w:bottom w:val="single" w:color="000000" w:sz="2" w:space="0"/>
              <w:right w:val="nil"/>
            </w:tcBorders>
            <w:vAlign w:val="top"/>
          </w:tcPr>
          <w:p>
            <w:pPr>
              <w:rPr>
                <w:rFonts w:ascii="Arial"/>
                <w:sz w:val="21"/>
              </w:rPr>
            </w:pPr>
          </w:p>
        </w:tc>
        <w:tc>
          <w:tcPr>
            <w:tcW w:w="4631" w:type="dxa"/>
            <w:gridSpan w:val="3"/>
            <w:tcBorders>
              <w:top w:val="single" w:color="000000" w:sz="2" w:space="0"/>
              <w:left w:val="single" w:color="000000" w:sz="2" w:space="0"/>
              <w:bottom w:val="single" w:color="000000" w:sz="2" w:space="0"/>
            </w:tcBorders>
            <w:shd w:val="clear" w:color="auto" w:fill="D9D9D9"/>
            <w:vAlign w:val="top"/>
          </w:tcPr>
          <w:p>
            <w:pPr>
              <w:pStyle w:val="8"/>
              <w:spacing w:before="36" w:line="207" w:lineRule="auto"/>
              <w:ind w:left="23"/>
            </w:pPr>
            <w:r>
              <w:rPr>
                <w:spacing w:val="1"/>
              </w:rPr>
              <w:t>收购人未按照本法规定履行上市公司收购的</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6"/>
            <w:tcBorders>
              <w:top w:val="single" w:color="000000" w:sz="2" w:space="0"/>
              <w:bottom w:val="single" w:color="000000" w:sz="2" w:space="0"/>
            </w:tcBorders>
            <w:shd w:val="clear" w:color="auto" w:fill="D9D9D9"/>
            <w:vAlign w:val="top"/>
          </w:tcPr>
          <w:p>
            <w:pPr>
              <w:pStyle w:val="8"/>
              <w:spacing w:before="46" w:line="207" w:lineRule="auto"/>
              <w:ind w:left="22"/>
            </w:pPr>
            <w:r>
              <w:rPr>
                <w:spacing w:val="-1"/>
              </w:rPr>
              <w:t>公告、发出收购要约等义务的，责令改正， 给予警告，并</w:t>
            </w:r>
            <w:r>
              <w:rPr>
                <w:spacing w:val="-2"/>
              </w:rPr>
              <w:t>处以十万</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6"/>
            <w:tcBorders>
              <w:top w:val="single" w:color="000000" w:sz="2" w:space="0"/>
              <w:bottom w:val="single" w:color="000000" w:sz="2" w:space="0"/>
            </w:tcBorders>
            <w:shd w:val="clear" w:color="auto" w:fill="D9D9D9"/>
            <w:vAlign w:val="top"/>
          </w:tcPr>
          <w:p>
            <w:pPr>
              <w:pStyle w:val="8"/>
              <w:spacing w:before="46" w:line="207" w:lineRule="auto"/>
              <w:ind w:left="31"/>
            </w:pPr>
            <w:r>
              <w:rPr>
                <w:spacing w:val="3"/>
              </w:rPr>
              <w:t>元以上三十万元以下的罚款；在改正前，收</w:t>
            </w:r>
            <w:r>
              <w:rPr>
                <w:spacing w:val="2"/>
              </w:rPr>
              <w:t>购人对其收购或者通过</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4158" w:type="dxa"/>
            <w:gridSpan w:val="4"/>
            <w:tcBorders>
              <w:top w:val="single" w:color="000000" w:sz="2" w:space="0"/>
              <w:bottom w:val="single" w:color="000000" w:sz="2" w:space="0"/>
              <w:right w:val="single" w:color="000000" w:sz="2" w:space="0"/>
            </w:tcBorders>
            <w:shd w:val="clear" w:color="auto" w:fill="D9D9D9"/>
            <w:vAlign w:val="top"/>
          </w:tcPr>
          <w:p>
            <w:pPr>
              <w:pStyle w:val="8"/>
              <w:spacing w:before="46" w:line="207" w:lineRule="auto"/>
              <w:ind w:left="26"/>
            </w:pPr>
            <w:r>
              <w:rPr>
                <w:spacing w:val="1"/>
              </w:rPr>
              <w:t>协议、其他安排与他人共同收购的股份</w:t>
            </w:r>
          </w:p>
        </w:tc>
        <w:tc>
          <w:tcPr>
            <w:tcW w:w="1711" w:type="dxa"/>
            <w:tcBorders>
              <w:top w:val="single" w:color="000000" w:sz="2" w:space="0"/>
              <w:left w:val="single" w:color="000000" w:sz="2" w:space="0"/>
              <w:bottom w:val="single" w:color="000000" w:sz="2" w:space="0"/>
              <w:right w:val="single" w:color="000000" w:sz="2" w:space="0"/>
            </w:tcBorders>
            <w:vAlign w:val="top"/>
          </w:tcPr>
          <w:p>
            <w:pPr>
              <w:pStyle w:val="8"/>
              <w:spacing w:before="46" w:line="207" w:lineRule="auto"/>
              <w:ind w:left="11"/>
            </w:pPr>
            <w:r>
              <w:t>不得行使表决权</w:t>
            </w:r>
          </w:p>
        </w:tc>
        <w:tc>
          <w:tcPr>
            <w:tcW w:w="1226" w:type="dxa"/>
            <w:tcBorders>
              <w:top w:val="single" w:color="000000" w:sz="2" w:space="0"/>
              <w:left w:val="single" w:color="000000" w:sz="2" w:space="0"/>
              <w:bottom w:val="single" w:color="000000" w:sz="2" w:space="0"/>
            </w:tcBorders>
            <w:shd w:val="clear" w:color="auto" w:fill="D9D9D9"/>
            <w:vAlign w:val="top"/>
          </w:tcPr>
          <w:p>
            <w:pPr>
              <w:pStyle w:val="8"/>
              <w:spacing w:before="46" w:line="207" w:lineRule="auto"/>
              <w:ind w:left="23"/>
            </w:pPr>
            <w:r>
              <w:rPr>
                <w:spacing w:val="-5"/>
              </w:rPr>
              <w:t>。对直接负</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6"/>
            <w:tcBorders>
              <w:top w:val="single" w:color="000000" w:sz="2" w:space="0"/>
              <w:bottom w:val="single" w:color="000000" w:sz="2" w:space="0"/>
            </w:tcBorders>
            <w:shd w:val="clear" w:color="auto" w:fill="D9D9D9"/>
            <w:vAlign w:val="top"/>
          </w:tcPr>
          <w:p>
            <w:pPr>
              <w:pStyle w:val="8"/>
              <w:spacing w:before="48" w:line="206" w:lineRule="auto"/>
              <w:ind w:left="30"/>
            </w:pPr>
            <w:r>
              <w:rPr>
                <w:spacing w:val="3"/>
              </w:rPr>
              <w:t>责的主管人员和其他直接责任人员给予警告，</w:t>
            </w:r>
            <w:r>
              <w:rPr>
                <w:spacing w:val="2"/>
              </w:rPr>
              <w:t>并处以三万元以上三</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193" w:type="dxa"/>
            <w:gridSpan w:val="2"/>
            <w:tcBorders>
              <w:top w:val="single" w:color="000000" w:sz="2" w:space="0"/>
              <w:bottom w:val="single" w:color="000000" w:sz="2" w:space="0"/>
              <w:right w:val="single" w:color="000000" w:sz="2" w:space="0"/>
            </w:tcBorders>
            <w:shd w:val="clear" w:color="auto" w:fill="D9D9D9"/>
            <w:vAlign w:val="top"/>
          </w:tcPr>
          <w:p>
            <w:pPr>
              <w:pStyle w:val="8"/>
              <w:spacing w:before="47" w:line="199" w:lineRule="auto"/>
              <w:ind w:left="33"/>
            </w:pPr>
            <w:r>
              <w:rPr>
                <w:spacing w:val="-7"/>
              </w:rPr>
              <w:t>十万元以下的罚款。</w:t>
            </w:r>
          </w:p>
        </w:tc>
        <w:tc>
          <w:tcPr>
            <w:tcW w:w="4902" w:type="dxa"/>
            <w:gridSpan w:val="4"/>
            <w:vMerge w:val="restart"/>
            <w:tcBorders>
              <w:top w:val="single" w:color="000000" w:sz="2" w:space="0"/>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2193" w:type="dxa"/>
            <w:gridSpan w:val="2"/>
            <w:tcBorders>
              <w:top w:val="single" w:color="000000" w:sz="2" w:space="0"/>
              <w:right w:val="nil"/>
            </w:tcBorders>
            <w:vAlign w:val="top"/>
          </w:tcPr>
          <w:p>
            <w:pPr>
              <w:rPr>
                <w:rFonts w:ascii="Arial"/>
                <w:sz w:val="21"/>
              </w:rPr>
            </w:pPr>
          </w:p>
        </w:tc>
        <w:tc>
          <w:tcPr>
            <w:tcW w:w="4902" w:type="dxa"/>
            <w:gridSpan w:val="4"/>
            <w:vMerge w:val="continue"/>
            <w:tcBorders>
              <w:top w:val="nil"/>
              <w:left w:val="nil"/>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854" w:type="dxa"/>
            <w:tcBorders>
              <w:bottom w:val="nil"/>
              <w:right w:val="nil"/>
            </w:tcBorders>
            <w:vAlign w:val="top"/>
          </w:tcPr>
          <w:p>
            <w:pPr>
              <w:pStyle w:val="8"/>
              <w:spacing w:before="45" w:line="223" w:lineRule="auto"/>
              <w:ind w:left="23" w:right="133" w:firstLine="489"/>
            </w:pPr>
            <w:r>
              <w:rPr>
                <w:rFonts w:ascii="黑体" w:hAnsi="黑体" w:eastAsia="黑体" w:cs="黑体"/>
                <w:spacing w:val="-1"/>
              </w:rPr>
              <w:t>第八十七条</w:t>
            </w:r>
            <w:r>
              <w:rPr>
                <w:rFonts w:ascii="黑体" w:hAnsi="黑体" w:eastAsia="黑体" w:cs="黑体"/>
                <w:spacing w:val="3"/>
              </w:rPr>
              <w:t xml:space="preserve"> </w:t>
            </w:r>
            <w:r>
              <w:rPr>
                <w:spacing w:val="-14"/>
              </w:rPr>
              <w:t>下列内容：</w:t>
            </w:r>
          </w:p>
        </w:tc>
        <w:tc>
          <w:tcPr>
            <w:tcW w:w="2304" w:type="dxa"/>
            <w:gridSpan w:val="3"/>
            <w:tcBorders>
              <w:left w:val="nil"/>
              <w:bottom w:val="nil"/>
              <w:right w:val="nil"/>
            </w:tcBorders>
            <w:vAlign w:val="top"/>
          </w:tcPr>
          <w:p>
            <w:pPr>
              <w:pStyle w:val="8"/>
              <w:spacing w:before="47" w:line="215" w:lineRule="auto"/>
              <w:ind w:right="6"/>
              <w:jc w:val="right"/>
            </w:pPr>
            <w:r>
              <w:rPr>
                <w:spacing w:val="2"/>
              </w:rPr>
              <w:t>依照前条规定所作的</w:t>
            </w:r>
          </w:p>
        </w:tc>
        <w:tc>
          <w:tcPr>
            <w:tcW w:w="2937" w:type="dxa"/>
            <w:gridSpan w:val="2"/>
            <w:tcBorders>
              <w:left w:val="nil"/>
              <w:bottom w:val="nil"/>
            </w:tcBorders>
            <w:vAlign w:val="top"/>
          </w:tcPr>
          <w:p>
            <w:pPr>
              <w:pStyle w:val="8"/>
              <w:spacing w:before="10"/>
              <w:jc w:val="right"/>
            </w:pPr>
            <w:r>
              <w:rPr>
                <w:position w:val="-7"/>
              </w:rPr>
              <w:drawing>
                <wp:inline distT="0" distB="0" distL="0" distR="0">
                  <wp:extent cx="7620" cy="203835"/>
                  <wp:effectExtent l="0" t="0" r="0" b="0"/>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80"/>
                          <a:stretch>
                            <a:fillRect/>
                          </a:stretch>
                        </pic:blipFill>
                        <pic:spPr>
                          <a:xfrm>
                            <a:off x="0" y="0"/>
                            <a:ext cx="7693" cy="204216"/>
                          </a:xfrm>
                          <a:prstGeom prst="rect">
                            <a:avLst/>
                          </a:prstGeom>
                        </pic:spPr>
                      </pic:pic>
                    </a:graphicData>
                  </a:graphic>
                </wp:inline>
              </w:drawing>
            </w:r>
            <w:r>
              <w:rPr>
                <w:spacing w:val="2"/>
                <w:u w:val="single" w:color="auto"/>
                <w:shd w:val="clear" w:fill="D9D9D9"/>
              </w:rPr>
              <w:t>书面报告和</w:t>
            </w:r>
            <w:r>
              <w:rPr>
                <w:position w:val="-7"/>
              </w:rPr>
              <w:drawing>
                <wp:inline distT="0" distB="0" distL="0" distR="0">
                  <wp:extent cx="7620" cy="203835"/>
                  <wp:effectExtent l="0" t="0" r="0" b="0"/>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80"/>
                          <a:stretch>
                            <a:fillRect/>
                          </a:stretch>
                        </pic:blipFill>
                        <pic:spPr>
                          <a:xfrm>
                            <a:off x="0" y="0"/>
                            <a:ext cx="7693" cy="204216"/>
                          </a:xfrm>
                          <a:prstGeom prst="rect">
                            <a:avLst/>
                          </a:prstGeom>
                        </pic:spPr>
                      </pic:pic>
                    </a:graphicData>
                  </a:graphic>
                </wp:inline>
              </w:drawing>
            </w:r>
            <w:r>
              <w:rPr>
                <w:spacing w:val="2"/>
              </w:rPr>
              <w:t>公告，应当包括</w:t>
            </w:r>
          </w:p>
        </w:tc>
        <w:tc>
          <w:tcPr>
            <w:tcW w:w="6812" w:type="dxa"/>
            <w:vMerge w:val="restart"/>
            <w:tcBorders>
              <w:bottom w:val="nil"/>
            </w:tcBorders>
            <w:vAlign w:val="top"/>
          </w:tcPr>
          <w:p>
            <w:pPr>
              <w:pStyle w:val="8"/>
              <w:spacing w:before="33" w:line="230" w:lineRule="auto"/>
              <w:ind w:left="20" w:right="7" w:firstLine="495"/>
            </w:pPr>
            <w:r>
              <w:rPr>
                <w:rFonts w:ascii="黑体" w:hAnsi="黑体" w:eastAsia="黑体" w:cs="黑体"/>
                <w:spacing w:val="10"/>
              </w:rPr>
              <w:t xml:space="preserve">第六十四条  </w:t>
            </w:r>
            <w:r>
              <w:rPr>
                <w:spacing w:val="10"/>
              </w:rPr>
              <w:t>依照前条规定所作的公告，应当包括下列内</w:t>
            </w:r>
            <w:r>
              <w:rPr>
                <w:spacing w:val="12"/>
              </w:rPr>
              <w:t xml:space="preserve"> </w:t>
            </w:r>
            <w:r>
              <w:rPr>
                <w:spacing w:val="-20"/>
              </w:rPr>
              <w:t>容：</w:t>
            </w:r>
          </w:p>
          <w:p>
            <w:pPr>
              <w:pStyle w:val="8"/>
              <w:spacing w:before="25" w:line="216" w:lineRule="auto"/>
              <w:ind w:left="506"/>
            </w:pPr>
            <w:r>
              <w:rPr>
                <w:spacing w:val="-5"/>
              </w:rPr>
              <w:t>（一）持股人的名称、住所；</w:t>
            </w:r>
          </w:p>
          <w:p>
            <w:pPr>
              <w:pStyle w:val="8"/>
              <w:spacing w:before="31" w:line="216" w:lineRule="auto"/>
              <w:ind w:left="506"/>
            </w:pPr>
            <w:r>
              <w:rPr>
                <w:spacing w:val="-4"/>
              </w:rPr>
              <w:t>（二）持有的股票的名称、数额；</w:t>
            </w:r>
          </w:p>
          <w:p>
            <w:pPr>
              <w:pStyle w:val="8"/>
              <w:spacing w:before="32" w:line="229" w:lineRule="auto"/>
              <w:ind w:left="61" w:right="37" w:firstLine="444"/>
            </w:pPr>
            <w:r>
              <w:t>（三）持股达到法定比例或者持股增减变化达到法定比例的</w:t>
            </w:r>
            <w:r>
              <w:rPr>
                <w:spacing w:val="12"/>
              </w:rPr>
              <w:t xml:space="preserve"> </w:t>
            </w:r>
            <w:r>
              <w:rPr>
                <w:spacing w:val="-5"/>
              </w:rPr>
              <w:t>日期</w:t>
            </w:r>
            <w:r>
              <w:rPr>
                <w:rFonts w:ascii="黑体" w:hAnsi="黑体" w:eastAsia="黑体" w:cs="黑体"/>
                <w:spacing w:val="-5"/>
              </w:rPr>
              <w:t>、增持股份的资金来源</w:t>
            </w:r>
            <w:r>
              <w:rPr>
                <w:spacing w:val="-5"/>
              </w:rPr>
              <w:t>；</w:t>
            </w:r>
          </w:p>
          <w:p>
            <w:pPr>
              <w:spacing w:before="25" w:line="223" w:lineRule="auto"/>
              <w:ind w:left="20" w:right="22" w:firstLine="511"/>
              <w:rPr>
                <w:rFonts w:ascii="黑体" w:hAnsi="黑体" w:eastAsia="黑体" w:cs="黑体"/>
                <w:sz w:val="24"/>
                <w:szCs w:val="24"/>
              </w:rPr>
            </w:pPr>
            <w:r>
              <w:rPr>
                <w:rFonts w:ascii="黑体" w:hAnsi="黑体" w:eastAsia="黑体" w:cs="黑体"/>
                <w:spacing w:val="9"/>
                <w:sz w:val="24"/>
                <w:szCs w:val="24"/>
              </w:rPr>
              <w:t>（四）在上市公司中拥有有表决权的股份变动的时间及方</w:t>
            </w:r>
            <w:r>
              <w:rPr>
                <w:rFonts w:ascii="黑体" w:hAnsi="黑体" w:eastAsia="黑体" w:cs="黑体"/>
                <w:spacing w:val="17"/>
                <w:sz w:val="24"/>
                <w:szCs w:val="24"/>
              </w:rPr>
              <w:t xml:space="preserve"> </w:t>
            </w:r>
            <w:r>
              <w:rPr>
                <w:rFonts w:ascii="黑体" w:hAnsi="黑体" w:eastAsia="黑体" w:cs="黑体"/>
                <w:spacing w:val="-12"/>
                <w:sz w:val="24"/>
                <w:szCs w:val="24"/>
              </w:rPr>
              <w:t>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7095" w:type="dxa"/>
            <w:gridSpan w:val="6"/>
            <w:tcBorders>
              <w:top w:val="nil"/>
            </w:tcBorders>
            <w:vAlign w:val="top"/>
          </w:tcPr>
          <w:p>
            <w:pPr>
              <w:pStyle w:val="8"/>
              <w:spacing w:before="43" w:line="216" w:lineRule="auto"/>
              <w:ind w:left="503"/>
            </w:pPr>
            <w:r>
              <w:rPr>
                <w:spacing w:val="-5"/>
              </w:rPr>
              <w:t>（一）持股人的名称、住所；</w:t>
            </w:r>
          </w:p>
          <w:p>
            <w:pPr>
              <w:pStyle w:val="8"/>
              <w:spacing w:before="28" w:line="216" w:lineRule="auto"/>
              <w:ind w:left="503"/>
            </w:pPr>
            <w:r>
              <w:rPr>
                <w:spacing w:val="-4"/>
              </w:rPr>
              <w:t>（二）持有的股票的名称、数额；</w:t>
            </w:r>
          </w:p>
          <w:p>
            <w:pPr>
              <w:pStyle w:val="8"/>
              <w:spacing w:before="32" w:line="226" w:lineRule="auto"/>
              <w:ind w:left="17" w:right="60" w:firstLine="227"/>
            </w:pPr>
            <w:r>
              <w:rPr>
                <w:position w:val="-8"/>
              </w:rPr>
              <w:drawing>
                <wp:inline distT="0" distB="0" distL="0" distR="0">
                  <wp:extent cx="5715" cy="5715"/>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95"/>
                          <a:stretch>
                            <a:fillRect/>
                          </a:stretch>
                        </pic:blipFill>
                        <pic:spPr>
                          <a:xfrm>
                            <a:off x="0" y="0"/>
                            <a:ext cx="6096" cy="6096"/>
                          </a:xfrm>
                          <a:prstGeom prst="rect">
                            <a:avLst/>
                          </a:prstGeom>
                        </pic:spPr>
                      </pic:pic>
                    </a:graphicData>
                  </a:graphic>
                </wp:inline>
              </w:drawing>
            </w:r>
            <w:r>
              <w:rPr>
                <w:spacing w:val="4"/>
                <w:u w:val="single" w:color="auto"/>
              </w:rPr>
              <w:t xml:space="preserve">  </w:t>
            </w:r>
            <w:r>
              <w:rPr>
                <w:position w:val="-8"/>
              </w:rPr>
              <w:drawing>
                <wp:inline distT="0" distB="0" distL="0" distR="0">
                  <wp:extent cx="5715" cy="5715"/>
                  <wp:effectExtent l="0" t="0" r="0" b="0"/>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99"/>
                          <a:stretch>
                            <a:fillRect/>
                          </a:stretch>
                        </pic:blipFill>
                        <pic:spPr>
                          <a:xfrm>
                            <a:off x="0" y="0"/>
                            <a:ext cx="6096" cy="6096"/>
                          </a:xfrm>
                          <a:prstGeom prst="rect">
                            <a:avLst/>
                          </a:prstGeom>
                        </pic:spPr>
                      </pic:pic>
                    </a:graphicData>
                  </a:graphic>
                </wp:inline>
              </w:drawing>
            </w:r>
            <w:r>
              <w:rPr>
                <w:spacing w:val="1"/>
              </w:rPr>
              <w:t>（三）持股达到法定比例或者持股增减变化达到法定比例的日</w:t>
            </w:r>
            <w:r>
              <w:t xml:space="preserve"> </w:t>
            </w:r>
            <w:r>
              <w:rPr>
                <w:spacing w:val="-20"/>
              </w:rPr>
              <w:t>期</w:t>
            </w:r>
            <w:r>
              <w:rPr>
                <w:position w:val="-7"/>
              </w:rPr>
              <w:drawing>
                <wp:inline distT="0" distB="0" distL="0" distR="0">
                  <wp:extent cx="5715" cy="204470"/>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85"/>
                          <a:stretch>
                            <a:fillRect/>
                          </a:stretch>
                        </pic:blipFill>
                        <pic:spPr>
                          <a:xfrm>
                            <a:off x="0" y="0"/>
                            <a:ext cx="6248" cy="204470"/>
                          </a:xfrm>
                          <a:prstGeom prst="rect">
                            <a:avLst/>
                          </a:prstGeom>
                        </pic:spPr>
                      </pic:pic>
                    </a:graphicData>
                  </a:graphic>
                </wp:inline>
              </w:drawing>
            </w:r>
            <w:r>
              <w:rPr>
                <w:spacing w:val="-94"/>
                <w:u w:val="single" w:color="auto"/>
                <w:shd w:val="clear" w:fill="D9D9D9"/>
              </w:rPr>
              <w:t xml:space="preserve"> </w:t>
            </w:r>
            <w:r>
              <w:rPr>
                <w:spacing w:val="-20"/>
                <w:u w:val="single" w:color="auto"/>
                <w:shd w:val="clear" w:fill="D9D9D9"/>
              </w:rPr>
              <w:t>。</w:t>
            </w:r>
            <w:r>
              <w:rPr>
                <w:position w:val="-7"/>
              </w:rPr>
              <w:drawing>
                <wp:inline distT="0" distB="0" distL="0" distR="0">
                  <wp:extent cx="5715" cy="204470"/>
                  <wp:effectExtent l="0" t="0" r="0" b="0"/>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00"/>
                          <a:stretch>
                            <a:fillRect/>
                          </a:stretch>
                        </pic:blipFill>
                        <pic:spPr>
                          <a:xfrm>
                            <a:off x="0" y="0"/>
                            <a:ext cx="6248" cy="204470"/>
                          </a:xfrm>
                          <a:prstGeom prst="rect">
                            <a:avLst/>
                          </a:prstGeom>
                        </pic:spPr>
                      </pic:pic>
                    </a:graphicData>
                  </a:graphic>
                </wp:inline>
              </w:drawing>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1" w:hRule="atLeast"/>
        </w:trPr>
        <w:tc>
          <w:tcPr>
            <w:tcW w:w="7095" w:type="dxa"/>
            <w:gridSpan w:val="6"/>
            <w:vAlign w:val="top"/>
          </w:tcPr>
          <w:p>
            <w:pPr>
              <w:pStyle w:val="8"/>
              <w:spacing w:before="38" w:line="234" w:lineRule="auto"/>
              <w:ind w:left="13" w:firstLine="499"/>
              <w:jc w:val="both"/>
            </w:pPr>
            <w:r>
              <w:rPr>
                <w:rFonts w:ascii="黑体" w:hAnsi="黑体" w:eastAsia="黑体" w:cs="黑体"/>
                <w:spacing w:val="-1"/>
              </w:rPr>
              <w:t xml:space="preserve">第八十八条  </w:t>
            </w:r>
            <w:r>
              <w:rPr>
                <w:spacing w:val="-1"/>
              </w:rPr>
              <w:t xml:space="preserve">通过证券交易所的证券交易， </w:t>
            </w:r>
            <w:r>
              <w:rPr>
                <w:spacing w:val="-2"/>
              </w:rPr>
              <w:t>投资者持有或者通</w:t>
            </w:r>
            <w:r>
              <w:t xml:space="preserve"> </w:t>
            </w:r>
            <w:r>
              <w:rPr>
                <w:spacing w:val="3"/>
              </w:rPr>
              <w:t>过协议、其他安排与他人共同持有一个上市公司已发行的股份达到</w:t>
            </w:r>
            <w:r>
              <w:rPr>
                <w:spacing w:val="18"/>
              </w:rPr>
              <w:t xml:space="preserve"> </w:t>
            </w:r>
            <w:r>
              <w:rPr>
                <w:spacing w:val="-1"/>
              </w:rPr>
              <w:t>百分之三十时， 继续进行收购的，应当依法向该上市公司所有股东</w:t>
            </w:r>
            <w:r>
              <w:rPr>
                <w:spacing w:val="14"/>
              </w:rPr>
              <w:t xml:space="preserve"> </w:t>
            </w:r>
            <w:r>
              <w:rPr>
                <w:spacing w:val="-3"/>
              </w:rPr>
              <w:t>发出收购上市公司全部或者部分股份的要约。</w:t>
            </w:r>
          </w:p>
          <w:p>
            <w:pPr>
              <w:pStyle w:val="8"/>
              <w:spacing w:before="30" w:line="227" w:lineRule="auto"/>
              <w:ind w:left="13" w:firstLine="516"/>
              <w:jc w:val="both"/>
            </w:pPr>
            <w:r>
              <w:rPr>
                <w:spacing w:val="2"/>
              </w:rPr>
              <w:t>收购上市公司部分股份的收购要约应当约定，被收购公司股东</w:t>
            </w:r>
            <w:r>
              <w:rPr>
                <w:spacing w:val="12"/>
              </w:rPr>
              <w:t xml:space="preserve"> </w:t>
            </w:r>
            <w:r>
              <w:rPr>
                <w:spacing w:val="3"/>
              </w:rPr>
              <w:t>承诺出售的股份数额超过预定收购的股份数额的，收购人按比例进</w:t>
            </w:r>
            <w:r>
              <w:rPr>
                <w:spacing w:val="18"/>
              </w:rPr>
              <w:t xml:space="preserve"> </w:t>
            </w:r>
            <w:r>
              <w:rPr>
                <w:spacing w:val="-12"/>
              </w:rPr>
              <w:t>行收购。</w:t>
            </w:r>
          </w:p>
        </w:tc>
        <w:tc>
          <w:tcPr>
            <w:tcW w:w="6812" w:type="dxa"/>
            <w:vAlign w:val="top"/>
          </w:tcPr>
          <w:p>
            <w:pPr>
              <w:pStyle w:val="8"/>
              <w:spacing w:before="38" w:line="234" w:lineRule="auto"/>
              <w:ind w:left="16" w:right="6" w:firstLine="480"/>
              <w:jc w:val="both"/>
            </w:pPr>
            <w:r>
              <w:rPr>
                <w:rFonts w:ascii="黑体" w:hAnsi="黑体" w:eastAsia="黑体" w:cs="黑体"/>
                <w:spacing w:val="2"/>
              </w:rPr>
              <w:t xml:space="preserve">第六十五条  </w:t>
            </w:r>
            <w:r>
              <w:rPr>
                <w:spacing w:val="2"/>
              </w:rPr>
              <w:t>通过证券交易所的证券交易，投资者持</w:t>
            </w:r>
            <w:r>
              <w:rPr>
                <w:spacing w:val="1"/>
              </w:rPr>
              <w:t>有或者</w:t>
            </w:r>
            <w:r>
              <w:t xml:space="preserve"> </w:t>
            </w:r>
            <w:r>
              <w:rPr>
                <w:spacing w:val="2"/>
              </w:rPr>
              <w:t>通过协议、其他安排与他人共同持有一个上市公司已发</w:t>
            </w:r>
            <w:r>
              <w:rPr>
                <w:spacing w:val="1"/>
              </w:rPr>
              <w:t>行的</w:t>
            </w:r>
            <w:r>
              <w:rPr>
                <w:rFonts w:ascii="黑体" w:hAnsi="黑体" w:eastAsia="黑体" w:cs="黑体"/>
                <w:spacing w:val="1"/>
              </w:rPr>
              <w:t>有表</w:t>
            </w:r>
            <w:r>
              <w:rPr>
                <w:rFonts w:ascii="黑体" w:hAnsi="黑体" w:eastAsia="黑体" w:cs="黑体"/>
              </w:rPr>
              <w:t xml:space="preserve"> </w:t>
            </w:r>
            <w:r>
              <w:rPr>
                <w:rFonts w:ascii="黑体" w:hAnsi="黑体" w:eastAsia="黑体" w:cs="黑体"/>
                <w:spacing w:val="2"/>
              </w:rPr>
              <w:t>决权</w:t>
            </w:r>
            <w:r>
              <w:rPr>
                <w:spacing w:val="2"/>
              </w:rPr>
              <w:t>股份达到百分之三十时，继续进行收购的，应当依</w:t>
            </w:r>
            <w:r>
              <w:rPr>
                <w:spacing w:val="1"/>
              </w:rPr>
              <w:t>法向该上</w:t>
            </w:r>
            <w:r>
              <w:t xml:space="preserve"> </w:t>
            </w:r>
            <w:r>
              <w:rPr>
                <w:spacing w:val="-2"/>
              </w:rPr>
              <w:t>市公司所有股东发出收购上市公司全部或者部分股份的</w:t>
            </w:r>
            <w:r>
              <w:rPr>
                <w:spacing w:val="-3"/>
              </w:rPr>
              <w:t>要约。</w:t>
            </w:r>
          </w:p>
          <w:p>
            <w:pPr>
              <w:pStyle w:val="8"/>
              <w:spacing w:before="30" w:line="227" w:lineRule="auto"/>
              <w:ind w:left="16" w:right="4" w:firstLine="497"/>
              <w:jc w:val="both"/>
            </w:pPr>
            <w:r>
              <w:rPr>
                <w:spacing w:val="-3"/>
              </w:rPr>
              <w:t>收购上市公司部分股份的要约应当约定， 被收购公司股</w:t>
            </w:r>
            <w:r>
              <w:rPr>
                <w:spacing w:val="-4"/>
              </w:rPr>
              <w:t>东承</w:t>
            </w:r>
            <w:r>
              <w:t xml:space="preserve"> </w:t>
            </w:r>
            <w:r>
              <w:rPr>
                <w:spacing w:val="2"/>
              </w:rPr>
              <w:t>诺出售的股份数额超过预定收购的股份数额的，收购</w:t>
            </w:r>
            <w:r>
              <w:rPr>
                <w:spacing w:val="1"/>
              </w:rPr>
              <w:t>人按比例进</w:t>
            </w:r>
            <w:r>
              <w:t xml:space="preserve"> </w:t>
            </w:r>
            <w:r>
              <w:rPr>
                <w:spacing w:val="-11"/>
              </w:rPr>
              <w:t>行收购。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9" w:hRule="atLeast"/>
        </w:trPr>
        <w:tc>
          <w:tcPr>
            <w:tcW w:w="7095" w:type="dxa"/>
            <w:gridSpan w:val="6"/>
            <w:vAlign w:val="top"/>
          </w:tcPr>
          <w:p>
            <w:pPr>
              <w:pStyle w:val="8"/>
              <w:spacing w:before="41" w:line="228" w:lineRule="auto"/>
              <w:ind w:left="23" w:firstLine="489"/>
            </w:pPr>
            <w:r>
              <w:rPr>
                <w:rFonts w:ascii="黑体" w:hAnsi="黑体" w:eastAsia="黑体" w:cs="黑体"/>
                <w:spacing w:val="-1"/>
              </w:rPr>
              <w:t xml:space="preserve">第八十九条  </w:t>
            </w:r>
            <w:r>
              <w:rPr>
                <w:spacing w:val="-1"/>
              </w:rPr>
              <w:t>依照前条规定发出收购要约， 收购人</w:t>
            </w:r>
            <w:r>
              <w:rPr>
                <w:spacing w:val="-2"/>
              </w:rPr>
              <w:t>必须公告上</w:t>
            </w:r>
            <w:r>
              <w:t xml:space="preserve"> </w:t>
            </w:r>
            <w:r>
              <w:rPr>
                <w:spacing w:val="-5"/>
              </w:rPr>
              <w:t>市公司收购报告书，并载明下列事项：</w:t>
            </w:r>
          </w:p>
          <w:p>
            <w:pPr>
              <w:pStyle w:val="8"/>
              <w:spacing w:before="29" w:line="216" w:lineRule="auto"/>
              <w:ind w:left="503"/>
            </w:pPr>
            <w:r>
              <w:rPr>
                <w:spacing w:val="-5"/>
              </w:rPr>
              <w:t>（一）收购人的名称、住所；</w:t>
            </w:r>
          </w:p>
          <w:p>
            <w:pPr>
              <w:pStyle w:val="8"/>
              <w:spacing w:before="31"/>
              <w:ind w:left="503"/>
            </w:pPr>
            <w:r>
              <w:rPr>
                <w:spacing w:val="-5"/>
              </w:rPr>
              <w:t>（二）收购人关于收购的决定；</w:t>
            </w:r>
          </w:p>
          <w:p>
            <w:pPr>
              <w:pStyle w:val="8"/>
              <w:spacing w:line="208" w:lineRule="auto"/>
              <w:ind w:left="503"/>
            </w:pPr>
            <w:r>
              <w:rPr>
                <w:spacing w:val="-5"/>
              </w:rPr>
              <w:t>（三）被收购的上市公司名称；</w:t>
            </w:r>
          </w:p>
        </w:tc>
        <w:tc>
          <w:tcPr>
            <w:tcW w:w="6812" w:type="dxa"/>
            <w:vAlign w:val="top"/>
          </w:tcPr>
          <w:p>
            <w:pPr>
              <w:pStyle w:val="8"/>
              <w:spacing w:before="41" w:line="228" w:lineRule="auto"/>
              <w:ind w:left="22" w:right="6" w:firstLine="493"/>
            </w:pPr>
            <w:r>
              <w:rPr>
                <w:rFonts w:ascii="黑体" w:hAnsi="黑体" w:eastAsia="黑体" w:cs="黑体"/>
                <w:spacing w:val="1"/>
              </w:rPr>
              <w:t xml:space="preserve">第六十六条  </w:t>
            </w:r>
            <w:r>
              <w:rPr>
                <w:spacing w:val="1"/>
              </w:rPr>
              <w:t>依照前条规定发出收购要约，收购人必须公告</w:t>
            </w:r>
            <w:r>
              <w:rPr>
                <w:spacing w:val="6"/>
              </w:rPr>
              <w:t xml:space="preserve"> </w:t>
            </w:r>
            <w:r>
              <w:rPr>
                <w:spacing w:val="-5"/>
              </w:rPr>
              <w:t>上市公司收购报告书，并载明下列事项：</w:t>
            </w:r>
          </w:p>
          <w:p>
            <w:pPr>
              <w:pStyle w:val="8"/>
              <w:spacing w:before="29" w:line="216" w:lineRule="auto"/>
              <w:ind w:left="506"/>
            </w:pPr>
            <w:r>
              <w:rPr>
                <w:spacing w:val="-5"/>
              </w:rPr>
              <w:t>（一）收购人的名称、住所；</w:t>
            </w:r>
          </w:p>
          <w:p>
            <w:pPr>
              <w:pStyle w:val="8"/>
              <w:spacing w:before="31"/>
              <w:ind w:left="506"/>
            </w:pPr>
            <w:r>
              <w:rPr>
                <w:spacing w:val="-5"/>
              </w:rPr>
              <w:t>（二）收购人关于收购的决定；</w:t>
            </w:r>
          </w:p>
          <w:p>
            <w:pPr>
              <w:pStyle w:val="8"/>
              <w:spacing w:line="208" w:lineRule="auto"/>
              <w:ind w:left="506"/>
            </w:pPr>
            <w:r>
              <w:rPr>
                <w:spacing w:val="-5"/>
              </w:rPr>
              <w:t>（三）被收购的上市公司名称；</w:t>
            </w:r>
          </w:p>
        </w:tc>
      </w:tr>
    </w:tbl>
    <w:p>
      <w:pPr>
        <w:spacing w:line="168" w:lineRule="exact"/>
        <w:rPr>
          <w:rFonts w:ascii="Arial"/>
          <w:sz w:val="14"/>
        </w:rPr>
      </w:pPr>
    </w:p>
    <w:p>
      <w:pPr>
        <w:spacing w:line="168" w:lineRule="exact"/>
        <w:rPr>
          <w:rFonts w:ascii="Arial" w:hAnsi="Arial" w:eastAsia="Arial" w:cs="Arial"/>
          <w:sz w:val="14"/>
          <w:szCs w:val="14"/>
        </w:rPr>
        <w:sectPr>
          <w:footerReference r:id="rId2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7100" w:type="dxa"/>
            <w:vAlign w:val="top"/>
          </w:tcPr>
          <w:p>
            <w:pPr>
              <w:pStyle w:val="8"/>
              <w:spacing w:before="42" w:line="217" w:lineRule="auto"/>
              <w:ind w:left="503"/>
            </w:pPr>
            <w:r>
              <w:rPr>
                <w:spacing w:val="-7"/>
              </w:rPr>
              <w:t>（四）收购目的；</w:t>
            </w:r>
          </w:p>
          <w:p>
            <w:pPr>
              <w:pStyle w:val="8"/>
              <w:spacing w:before="29" w:line="216" w:lineRule="auto"/>
              <w:ind w:left="503"/>
            </w:pPr>
            <w:r>
              <w:rPr>
                <w:spacing w:val="-3"/>
              </w:rPr>
              <w:t>（五）收购股份的详细名称和预定收购的股份数额；</w:t>
            </w:r>
          </w:p>
          <w:p>
            <w:pPr>
              <w:pStyle w:val="8"/>
              <w:spacing w:before="29" w:line="217" w:lineRule="auto"/>
              <w:ind w:left="503"/>
            </w:pPr>
            <w:r>
              <w:rPr>
                <w:spacing w:val="-5"/>
              </w:rPr>
              <w:t>（六）收购期限、收购价格；</w:t>
            </w:r>
          </w:p>
          <w:p>
            <w:pPr>
              <w:pStyle w:val="8"/>
              <w:spacing w:before="29" w:line="216" w:lineRule="auto"/>
              <w:ind w:left="503"/>
            </w:pPr>
            <w:r>
              <w:rPr>
                <w:spacing w:val="-4"/>
              </w:rPr>
              <w:t>（七）收购所需资金额及资金保证；</w:t>
            </w:r>
          </w:p>
          <w:p>
            <w:pPr>
              <w:pStyle w:val="8"/>
              <w:spacing w:before="32" w:line="224" w:lineRule="auto"/>
              <w:ind w:left="12" w:right="22" w:firstLine="491"/>
            </w:pPr>
            <w:r>
              <w:rPr>
                <w:spacing w:val="3"/>
              </w:rPr>
              <w:t>（八）公告上市公司收购报告书时持有被收购公司股</w:t>
            </w:r>
            <w:r>
              <w:rPr>
                <w:spacing w:val="2"/>
              </w:rPr>
              <w:t>份数占该</w:t>
            </w:r>
            <w:r>
              <w:t xml:space="preserve"> </w:t>
            </w:r>
            <w:r>
              <w:rPr>
                <w:spacing w:val="-4"/>
              </w:rPr>
              <w:t>公司已发行的股份总数的比例。</w:t>
            </w:r>
          </w:p>
        </w:tc>
        <w:tc>
          <w:tcPr>
            <w:tcW w:w="6807" w:type="dxa"/>
            <w:vAlign w:val="top"/>
          </w:tcPr>
          <w:p>
            <w:pPr>
              <w:pStyle w:val="8"/>
              <w:spacing w:before="42" w:line="217" w:lineRule="auto"/>
              <w:ind w:left="501"/>
            </w:pPr>
            <w:r>
              <w:rPr>
                <w:spacing w:val="-7"/>
              </w:rPr>
              <w:t>（四）收购目的；</w:t>
            </w:r>
          </w:p>
          <w:p>
            <w:pPr>
              <w:pStyle w:val="8"/>
              <w:spacing w:before="29" w:line="216" w:lineRule="auto"/>
              <w:ind w:left="501"/>
            </w:pPr>
            <w:r>
              <w:rPr>
                <w:spacing w:val="-3"/>
              </w:rPr>
              <w:t>（五）收购股份的详细名称和预定收购的股份数额；</w:t>
            </w:r>
          </w:p>
          <w:p>
            <w:pPr>
              <w:pStyle w:val="8"/>
              <w:spacing w:before="29" w:line="217" w:lineRule="auto"/>
              <w:ind w:left="501"/>
            </w:pPr>
            <w:r>
              <w:rPr>
                <w:spacing w:val="-5"/>
              </w:rPr>
              <w:t>（六）收购期限、收购价格；</w:t>
            </w:r>
          </w:p>
          <w:p>
            <w:pPr>
              <w:pStyle w:val="8"/>
              <w:spacing w:before="29" w:line="216" w:lineRule="auto"/>
              <w:ind w:left="501"/>
            </w:pPr>
            <w:r>
              <w:rPr>
                <w:spacing w:val="-4"/>
              </w:rPr>
              <w:t>（七）收购所需资金额及资金保证；</w:t>
            </w:r>
          </w:p>
          <w:p>
            <w:pPr>
              <w:pStyle w:val="8"/>
              <w:spacing w:before="32" w:line="224" w:lineRule="auto"/>
              <w:ind w:left="9" w:right="44" w:firstLine="491"/>
            </w:pPr>
            <w:r>
              <w:t>（八）公告上市公司收购报告书时持有被收购公司股份数占</w:t>
            </w:r>
            <w:r>
              <w:rPr>
                <w:spacing w:val="4"/>
              </w:rPr>
              <w:t xml:space="preserve"> </w:t>
            </w:r>
            <w:r>
              <w:rPr>
                <w:spacing w:val="-4"/>
              </w:rPr>
              <w:t>该公司已发行的股份总数的比例。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100" w:type="dxa"/>
            <w:vAlign w:val="top"/>
          </w:tcPr>
          <w:p>
            <w:pPr>
              <w:pStyle w:val="8"/>
              <w:spacing w:before="30" w:line="219" w:lineRule="auto"/>
              <w:jc w:val="right"/>
            </w:pPr>
            <w:r>
              <w:rPr>
                <w:rFonts w:ascii="黑体" w:hAnsi="黑体" w:eastAsia="黑体" w:cs="黑体"/>
                <w:spacing w:val="-1"/>
              </w:rPr>
              <w:t xml:space="preserve">第九十条  </w:t>
            </w:r>
            <w:r>
              <w:rPr>
                <w:spacing w:val="-1"/>
              </w:rPr>
              <w:t>收购要约约定的收购期限不得少于三十日， 并不得</w:t>
            </w:r>
          </w:p>
          <w:p>
            <w:pPr>
              <w:pStyle w:val="8"/>
              <w:spacing w:before="28" w:line="211" w:lineRule="auto"/>
              <w:ind w:left="8"/>
            </w:pPr>
            <w:r>
              <w:rPr>
                <w:spacing w:val="-8"/>
              </w:rPr>
              <w:t>超过六十日。</w:t>
            </w:r>
          </w:p>
        </w:tc>
        <w:tc>
          <w:tcPr>
            <w:tcW w:w="6807" w:type="dxa"/>
            <w:vAlign w:val="top"/>
          </w:tcPr>
          <w:p>
            <w:pPr>
              <w:pStyle w:val="8"/>
              <w:spacing w:before="30" w:line="226" w:lineRule="auto"/>
              <w:ind w:left="16" w:right="5" w:firstLine="494"/>
            </w:pPr>
            <w:r>
              <w:rPr>
                <w:rFonts w:ascii="黑体" w:hAnsi="黑体" w:eastAsia="黑体" w:cs="黑体"/>
                <w:spacing w:val="-3"/>
              </w:rPr>
              <w:t xml:space="preserve">第六十七条  </w:t>
            </w:r>
            <w:r>
              <w:rPr>
                <w:spacing w:val="-3"/>
              </w:rPr>
              <w:t>收购要约约定的收购期限不得少于三十日， 并</w:t>
            </w:r>
            <w:r>
              <w:t xml:space="preserve"> </w:t>
            </w:r>
            <w:r>
              <w:rPr>
                <w:spacing w:val="-7"/>
              </w:rPr>
              <w:t>不得超过六十日。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0" w:hRule="atLeast"/>
        </w:trPr>
        <w:tc>
          <w:tcPr>
            <w:tcW w:w="7100" w:type="dxa"/>
            <w:vAlign w:val="top"/>
          </w:tcPr>
          <w:p>
            <w:pPr>
              <w:pStyle w:val="8"/>
              <w:spacing w:before="33" w:line="231" w:lineRule="auto"/>
              <w:ind w:left="8" w:firstLine="505"/>
              <w:jc w:val="both"/>
            </w:pPr>
            <w:r>
              <w:pict>
                <v:shape id="_x0000_s1059" o:spid="_x0000_s1059" style="position:absolute;left:0pt;margin-left:232.5pt;margin-top:16.25pt;height:0.5pt;width:24.4pt;mso-position-horizontal-relative:page;mso-position-vertical-relative:page;z-index:-251626496;mso-width-relative:page;mso-height-relative:page;" fillcolor="#000000" filled="t" stroked="f" coordsize="487,10" path="m0,0l487,0,487,9,0,9,0,0xe">
                  <v:path/>
                  <v:fill on="t" focussize="0,0"/>
                  <v:stroke on="f"/>
                  <v:imagedata o:title=""/>
                  <o:lock v:ext="edit"/>
                </v:shape>
              </w:pict>
            </w:r>
            <w:r>
              <w:rPr>
                <w:rFonts w:ascii="黑体" w:hAnsi="黑体" w:eastAsia="黑体" w:cs="黑体"/>
                <w:spacing w:val="3"/>
              </w:rPr>
              <w:t xml:space="preserve">第九十一条  </w:t>
            </w:r>
            <w:r>
              <w:rPr>
                <w:spacing w:val="3"/>
              </w:rPr>
              <w:t>在收购要约确定的承诺期限内，收购人不得撤销</w:t>
            </w:r>
            <w:r>
              <w:rPr>
                <w:spacing w:val="6"/>
              </w:rPr>
              <w:t xml:space="preserve"> </w:t>
            </w:r>
            <w:r>
              <w:t>其收购要约。收购人需要变更收购要约的，</w:t>
            </w:r>
            <w:r>
              <w:rPr>
                <w:spacing w:val="-21"/>
              </w:rPr>
              <w:t xml:space="preserve"> </w:t>
            </w:r>
            <w:r>
              <w:rPr>
                <w:position w:val="-7"/>
              </w:rPr>
              <w:drawing>
                <wp:inline distT="0" distB="0" distL="0" distR="0">
                  <wp:extent cx="4445" cy="210185"/>
                  <wp:effectExtent l="0" t="0" r="0" b="0"/>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01"/>
                          <a:stretch>
                            <a:fillRect/>
                          </a:stretch>
                        </pic:blipFill>
                        <pic:spPr>
                          <a:xfrm>
                            <a:off x="0" y="0"/>
                            <a:ext cx="4622" cy="210311"/>
                          </a:xfrm>
                          <a:prstGeom prst="rect">
                            <a:avLst/>
                          </a:prstGeom>
                        </pic:spPr>
                      </pic:pic>
                    </a:graphicData>
                  </a:graphic>
                </wp:inline>
              </w:drawing>
            </w:r>
            <w:r>
              <w:rPr>
                <w:spacing w:val="-1"/>
                <w:u w:val="single" w:color="auto"/>
                <w:shd w:val="clear" w:fill="D9D9D9"/>
              </w:rPr>
              <w:t>必须</w:t>
            </w:r>
            <w:r>
              <w:rPr>
                <w:position w:val="24"/>
              </w:rPr>
              <w:drawing>
                <wp:inline distT="0" distB="0" distL="0" distR="0">
                  <wp:extent cx="4445" cy="5715"/>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78"/>
                          <a:stretch>
                            <a:fillRect/>
                          </a:stretch>
                        </pic:blipFill>
                        <pic:spPr>
                          <a:xfrm>
                            <a:off x="0" y="0"/>
                            <a:ext cx="4622" cy="6096"/>
                          </a:xfrm>
                          <a:prstGeom prst="rect">
                            <a:avLst/>
                          </a:prstGeom>
                        </pic:spPr>
                      </pic:pic>
                    </a:graphicData>
                  </a:graphic>
                </wp:inline>
              </w:drawing>
            </w:r>
            <w:r>
              <w:rPr>
                <w:position w:val="-7"/>
              </w:rPr>
              <w:drawing>
                <wp:inline distT="0" distB="0" distL="0" distR="0">
                  <wp:extent cx="4445" cy="203835"/>
                  <wp:effectExtent l="0" t="0" r="0" b="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83"/>
                          <a:stretch>
                            <a:fillRect/>
                          </a:stretch>
                        </pic:blipFill>
                        <pic:spPr>
                          <a:xfrm>
                            <a:off x="0" y="0"/>
                            <a:ext cx="4622" cy="204216"/>
                          </a:xfrm>
                          <a:prstGeom prst="rect">
                            <a:avLst/>
                          </a:prstGeom>
                        </pic:spPr>
                      </pic:pic>
                    </a:graphicData>
                  </a:graphic>
                </wp:inline>
              </w:drawing>
            </w:r>
            <w:r>
              <w:rPr>
                <w:spacing w:val="-1"/>
              </w:rPr>
              <w:t>及时公告，载明具</w:t>
            </w:r>
            <w:r>
              <w:t xml:space="preserve"> </w:t>
            </w:r>
            <w:r>
              <w:rPr>
                <w:spacing w:val="-1"/>
              </w:rPr>
              <w:t>体变更事项</w:t>
            </w:r>
            <w:r>
              <w:rPr>
                <w:position w:val="-7"/>
                <w:shd w:val="clear" w:fill="D9D9D9"/>
              </w:rPr>
              <w:drawing>
                <wp:inline distT="0" distB="0" distL="0" distR="0">
                  <wp:extent cx="164465" cy="210185"/>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02"/>
                          <a:stretch>
                            <a:fillRect/>
                          </a:stretch>
                        </pic:blipFill>
                        <pic:spPr>
                          <a:xfrm>
                            <a:off x="0" y="0"/>
                            <a:ext cx="164845" cy="210311"/>
                          </a:xfrm>
                          <a:prstGeom prst="rect">
                            <a:avLst/>
                          </a:prstGeom>
                        </pic:spPr>
                      </pic:pic>
                    </a:graphicData>
                  </a:graphic>
                </wp:inline>
              </w:drawing>
            </w:r>
          </w:p>
        </w:tc>
        <w:tc>
          <w:tcPr>
            <w:tcW w:w="6807" w:type="dxa"/>
            <w:vAlign w:val="top"/>
          </w:tcPr>
          <w:p>
            <w:pPr>
              <w:pStyle w:val="8"/>
              <w:spacing w:before="33" w:line="230" w:lineRule="auto"/>
              <w:ind w:left="7" w:right="5" w:firstLine="503"/>
              <w:rPr>
                <w:rFonts w:ascii="黑体" w:hAnsi="黑体" w:eastAsia="黑体" w:cs="黑体"/>
              </w:rPr>
            </w:pPr>
            <w:r>
              <w:rPr>
                <w:rFonts w:ascii="黑体" w:hAnsi="黑体" w:eastAsia="黑体" w:cs="黑体"/>
                <w:spacing w:val="1"/>
              </w:rPr>
              <w:t xml:space="preserve">第六十八条  </w:t>
            </w:r>
            <w:r>
              <w:rPr>
                <w:spacing w:val="1"/>
              </w:rPr>
              <w:t>在收购要约确定的承诺期限内，收购人不得撤</w:t>
            </w:r>
            <w:r>
              <w:rPr>
                <w:spacing w:val="8"/>
              </w:rPr>
              <w:t xml:space="preserve"> </w:t>
            </w:r>
            <w:r>
              <w:rPr>
                <w:spacing w:val="-4"/>
              </w:rPr>
              <w:t xml:space="preserve">销其收购要约。收购人需要变更收购要约的， </w:t>
            </w:r>
            <w:r>
              <w:rPr>
                <w:rFonts w:ascii="黑体" w:hAnsi="黑体" w:eastAsia="黑体" w:cs="黑体"/>
                <w:spacing w:val="-4"/>
              </w:rPr>
              <w:t>应当</w:t>
            </w:r>
            <w:r>
              <w:rPr>
                <w:spacing w:val="-4"/>
              </w:rPr>
              <w:t>及时公告，载</w:t>
            </w:r>
            <w:r>
              <w:rPr>
                <w:spacing w:val="18"/>
              </w:rPr>
              <w:t xml:space="preserve"> </w:t>
            </w:r>
            <w:r>
              <w:rPr>
                <w:spacing w:val="-3"/>
              </w:rPr>
              <w:t>明具体变更事项</w:t>
            </w:r>
            <w:r>
              <w:rPr>
                <w:rFonts w:ascii="黑体" w:hAnsi="黑体" w:eastAsia="黑体" w:cs="黑体"/>
                <w:spacing w:val="-3"/>
              </w:rPr>
              <w:t>，且不得存在下列情形：</w:t>
            </w:r>
          </w:p>
          <w:p>
            <w:pPr>
              <w:spacing w:before="35" w:line="213" w:lineRule="auto"/>
              <w:ind w:left="526"/>
              <w:rPr>
                <w:rFonts w:ascii="黑体" w:hAnsi="黑体" w:eastAsia="黑体" w:cs="黑体"/>
                <w:sz w:val="24"/>
                <w:szCs w:val="24"/>
              </w:rPr>
            </w:pPr>
            <w:r>
              <w:rPr>
                <w:rFonts w:ascii="黑体" w:hAnsi="黑体" w:eastAsia="黑体" w:cs="黑体"/>
                <w:spacing w:val="-7"/>
                <w:sz w:val="24"/>
                <w:szCs w:val="24"/>
              </w:rPr>
              <w:t>（一）降低收购价格；</w:t>
            </w:r>
          </w:p>
          <w:p>
            <w:pPr>
              <w:spacing w:before="35" w:line="213" w:lineRule="auto"/>
              <w:ind w:left="526"/>
              <w:rPr>
                <w:rFonts w:ascii="黑体" w:hAnsi="黑体" w:eastAsia="黑体" w:cs="黑体"/>
                <w:sz w:val="24"/>
                <w:szCs w:val="24"/>
              </w:rPr>
            </w:pPr>
            <w:r>
              <w:rPr>
                <w:rFonts w:ascii="黑体" w:hAnsi="黑体" w:eastAsia="黑体" w:cs="黑体"/>
                <w:spacing w:val="-5"/>
                <w:sz w:val="24"/>
                <w:szCs w:val="24"/>
              </w:rPr>
              <w:t>（二）减少预定收购股份数额；</w:t>
            </w:r>
          </w:p>
          <w:p>
            <w:pPr>
              <w:spacing w:before="32" w:line="213" w:lineRule="auto"/>
              <w:ind w:left="526"/>
              <w:rPr>
                <w:rFonts w:ascii="黑体" w:hAnsi="黑体" w:eastAsia="黑体" w:cs="黑体"/>
                <w:sz w:val="24"/>
                <w:szCs w:val="24"/>
              </w:rPr>
            </w:pPr>
            <w:r>
              <w:rPr>
                <w:rFonts w:ascii="黑体" w:hAnsi="黑体" w:eastAsia="黑体" w:cs="黑体"/>
                <w:spacing w:val="-7"/>
                <w:sz w:val="24"/>
                <w:szCs w:val="24"/>
              </w:rPr>
              <w:t>（三）缩短收购期限；</w:t>
            </w:r>
          </w:p>
          <w:p>
            <w:pPr>
              <w:spacing w:before="35" w:line="208" w:lineRule="auto"/>
              <w:ind w:left="526"/>
              <w:rPr>
                <w:rFonts w:ascii="黑体" w:hAnsi="黑体" w:eastAsia="黑体" w:cs="黑体"/>
                <w:sz w:val="24"/>
                <w:szCs w:val="24"/>
              </w:rPr>
            </w:pPr>
            <w:r>
              <w:rPr>
                <w:rFonts w:ascii="黑体" w:hAnsi="黑体" w:eastAsia="黑体" w:cs="黑体"/>
                <w:spacing w:val="-3"/>
                <w:sz w:val="24"/>
                <w:szCs w:val="24"/>
              </w:rPr>
              <w:t>（四）国务院证券监督管理机构规定的其他情形。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7100" w:type="dxa"/>
            <w:vAlign w:val="top"/>
          </w:tcPr>
          <w:p>
            <w:pPr>
              <w:pStyle w:val="8"/>
              <w:spacing w:before="35" w:line="221" w:lineRule="auto"/>
              <w:jc w:val="right"/>
            </w:pPr>
            <w:r>
              <w:rPr>
                <w:rFonts w:ascii="黑体" w:hAnsi="黑体" w:eastAsia="黑体" w:cs="黑体"/>
                <w:spacing w:val="3"/>
              </w:rPr>
              <w:t xml:space="preserve">第九十二条  </w:t>
            </w:r>
            <w:r>
              <w:rPr>
                <w:spacing w:val="3"/>
              </w:rPr>
              <w:t>收购要约提出的各项收购条件，适用于被收购公</w:t>
            </w:r>
          </w:p>
          <w:p>
            <w:pPr>
              <w:pStyle w:val="8"/>
              <w:spacing w:before="26" w:line="217" w:lineRule="auto"/>
              <w:ind w:left="36"/>
            </w:pPr>
            <w:r>
              <w:rPr>
                <w:spacing w:val="-10"/>
              </w:rPr>
              <w:t>司的所有股东。</w:t>
            </w:r>
          </w:p>
        </w:tc>
        <w:tc>
          <w:tcPr>
            <w:tcW w:w="6807" w:type="dxa"/>
            <w:vAlign w:val="top"/>
          </w:tcPr>
          <w:p>
            <w:pPr>
              <w:pStyle w:val="8"/>
              <w:spacing w:before="35" w:line="229" w:lineRule="auto"/>
              <w:ind w:left="10" w:right="5" w:firstLine="500"/>
            </w:pPr>
            <w:r>
              <w:rPr>
                <w:rFonts w:ascii="黑体" w:hAnsi="黑体" w:eastAsia="黑体" w:cs="黑体"/>
                <w:spacing w:val="1"/>
              </w:rPr>
              <w:t xml:space="preserve">第六十九条  </w:t>
            </w:r>
            <w:r>
              <w:rPr>
                <w:spacing w:val="1"/>
              </w:rPr>
              <w:t>收购要约提出的各项收购条件，适用于被收购</w:t>
            </w:r>
            <w:r>
              <w:rPr>
                <w:spacing w:val="8"/>
              </w:rPr>
              <w:t xml:space="preserve"> </w:t>
            </w:r>
            <w:r>
              <w:rPr>
                <w:spacing w:val="-7"/>
              </w:rPr>
              <w:t>公司的所有股东。</w:t>
            </w:r>
          </w:p>
          <w:p>
            <w:pPr>
              <w:spacing w:before="29" w:line="222" w:lineRule="auto"/>
              <w:ind w:left="10" w:right="4" w:firstLine="503"/>
              <w:rPr>
                <w:rFonts w:ascii="黑体" w:hAnsi="黑体" w:eastAsia="黑体" w:cs="黑体"/>
                <w:sz w:val="24"/>
                <w:szCs w:val="24"/>
              </w:rPr>
            </w:pPr>
            <w:r>
              <w:rPr>
                <w:rFonts w:ascii="黑体" w:hAnsi="黑体" w:eastAsia="黑体" w:cs="黑体"/>
                <w:spacing w:val="-3"/>
                <w:sz w:val="24"/>
                <w:szCs w:val="24"/>
              </w:rPr>
              <w:t>上市公司发行不同种类股份的， 收购人可</w:t>
            </w:r>
            <w:r>
              <w:rPr>
                <w:rFonts w:ascii="黑体" w:hAnsi="黑体" w:eastAsia="黑体" w:cs="黑体"/>
                <w:spacing w:val="-4"/>
                <w:sz w:val="24"/>
                <w:szCs w:val="24"/>
              </w:rPr>
              <w:t>以针对不同种类股</w:t>
            </w:r>
            <w:r>
              <w:rPr>
                <w:rFonts w:ascii="黑体" w:hAnsi="黑体" w:eastAsia="黑体" w:cs="黑体"/>
                <w:sz w:val="24"/>
                <w:szCs w:val="24"/>
              </w:rPr>
              <w:t xml:space="preserve"> </w:t>
            </w:r>
            <w:r>
              <w:rPr>
                <w:rFonts w:ascii="黑体" w:hAnsi="黑体" w:eastAsia="黑体" w:cs="黑体"/>
                <w:spacing w:val="-4"/>
                <w:sz w:val="24"/>
                <w:szCs w:val="24"/>
              </w:rPr>
              <w:t>份提出不同的收购条件。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100" w:type="dxa"/>
            <w:vAlign w:val="top"/>
          </w:tcPr>
          <w:p>
            <w:pPr>
              <w:pStyle w:val="8"/>
              <w:spacing w:before="36" w:line="228" w:lineRule="auto"/>
              <w:ind w:left="17" w:firstLine="495"/>
              <w:jc w:val="both"/>
            </w:pPr>
            <w:r>
              <w:rPr>
                <w:rFonts w:ascii="黑体" w:hAnsi="黑体" w:eastAsia="黑体" w:cs="黑体"/>
                <w:spacing w:val="-5"/>
              </w:rPr>
              <w:t xml:space="preserve">第九十三条  </w:t>
            </w:r>
            <w:r>
              <w:rPr>
                <w:spacing w:val="-5"/>
              </w:rPr>
              <w:t>采取要约收购方式的， 收购人在收购期限内，</w:t>
            </w:r>
            <w:r>
              <w:rPr>
                <w:spacing w:val="-6"/>
              </w:rPr>
              <w:t xml:space="preserve"> 不</w:t>
            </w:r>
            <w:r>
              <w:t xml:space="preserve"> </w:t>
            </w:r>
            <w:r>
              <w:rPr>
                <w:spacing w:val="4"/>
              </w:rPr>
              <w:t>得卖出被收购公司的股票，也不得采取要约</w:t>
            </w:r>
            <w:r>
              <w:rPr>
                <w:spacing w:val="3"/>
              </w:rPr>
              <w:t>规定以外的形式和超出</w:t>
            </w:r>
            <w:r>
              <w:t xml:space="preserve"> </w:t>
            </w:r>
            <w:r>
              <w:rPr>
                <w:spacing w:val="-4"/>
              </w:rPr>
              <w:t>要约的条件买入被收购公司的股票。</w:t>
            </w:r>
          </w:p>
        </w:tc>
        <w:tc>
          <w:tcPr>
            <w:tcW w:w="6807" w:type="dxa"/>
            <w:vAlign w:val="top"/>
          </w:tcPr>
          <w:p>
            <w:pPr>
              <w:pStyle w:val="8"/>
              <w:spacing w:before="36" w:line="228" w:lineRule="auto"/>
              <w:ind w:left="15" w:right="7" w:firstLine="495"/>
              <w:jc w:val="both"/>
            </w:pPr>
            <w:r>
              <w:rPr>
                <w:rFonts w:ascii="黑体" w:hAnsi="黑体" w:eastAsia="黑体" w:cs="黑体"/>
              </w:rPr>
              <w:t xml:space="preserve">第七十条  </w:t>
            </w:r>
            <w:r>
              <w:t>采取要约收购方式的，收购人在收购期限内，不</w:t>
            </w:r>
            <w:r>
              <w:rPr>
                <w:spacing w:val="2"/>
              </w:rPr>
              <w:t xml:space="preserve"> </w:t>
            </w:r>
            <w:r>
              <w:rPr>
                <w:spacing w:val="-3"/>
              </w:rPr>
              <w:t>得卖出被收购公司的股票， 也不得采取要约规定以外的形式和超</w:t>
            </w:r>
            <w:r>
              <w:rPr>
                <w:spacing w:val="14"/>
              </w:rPr>
              <w:t xml:space="preserve"> </w:t>
            </w:r>
            <w:r>
              <w:rPr>
                <w:spacing w:val="-4"/>
              </w:rPr>
              <w:t>出要约的条件买入被收购公司的股票。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7100" w:type="dxa"/>
            <w:vAlign w:val="top"/>
          </w:tcPr>
          <w:p>
            <w:pPr>
              <w:pStyle w:val="8"/>
              <w:spacing w:before="40" w:line="227" w:lineRule="auto"/>
              <w:ind w:left="18" w:firstLine="494"/>
            </w:pPr>
            <w:r>
              <w:rPr>
                <w:rFonts w:ascii="黑体" w:hAnsi="黑体" w:eastAsia="黑体" w:cs="黑体"/>
                <w:spacing w:val="-1"/>
              </w:rPr>
              <w:t xml:space="preserve">第九十四条  </w:t>
            </w:r>
            <w:r>
              <w:rPr>
                <w:spacing w:val="-1"/>
              </w:rPr>
              <w:t>采取协议收购方式的， 收购人可以依照法律、行</w:t>
            </w:r>
            <w:r>
              <w:t xml:space="preserve"> </w:t>
            </w:r>
            <w:r>
              <w:rPr>
                <w:spacing w:val="-2"/>
              </w:rPr>
              <w:t>政法规的规定同被收购公司的股东以协议方</w:t>
            </w:r>
            <w:r>
              <w:rPr>
                <w:spacing w:val="-3"/>
              </w:rPr>
              <w:t>式进行股份转让。</w:t>
            </w:r>
          </w:p>
          <w:p>
            <w:pPr>
              <w:pStyle w:val="8"/>
              <w:spacing w:before="34" w:line="231" w:lineRule="auto"/>
              <w:ind w:left="20" w:firstLine="525"/>
            </w:pPr>
            <w:r>
              <w:rPr>
                <w:spacing w:val="-2"/>
              </w:rPr>
              <w:t xml:space="preserve">以协议方式收购上市公司时，达成协议后， </w:t>
            </w:r>
            <w:r>
              <w:rPr>
                <w:spacing w:val="-3"/>
              </w:rPr>
              <w:t>收购人必须在三日</w:t>
            </w:r>
            <w:r>
              <w:t xml:space="preserve"> </w:t>
            </w:r>
            <w:r>
              <w:rPr>
                <w:spacing w:val="3"/>
              </w:rPr>
              <w:t>内将该收购协议向国务院证券监督管理机构及证券交易所作出书面</w:t>
            </w:r>
            <w:r>
              <w:rPr>
                <w:spacing w:val="16"/>
              </w:rPr>
              <w:t xml:space="preserve"> </w:t>
            </w:r>
            <w:r>
              <w:rPr>
                <w:spacing w:val="-8"/>
              </w:rPr>
              <w:t>报告，并予公告。</w:t>
            </w:r>
          </w:p>
          <w:p>
            <w:pPr>
              <w:pStyle w:val="8"/>
              <w:spacing w:before="32" w:line="202" w:lineRule="auto"/>
              <w:ind w:left="516"/>
            </w:pPr>
            <w:r>
              <w:rPr>
                <w:spacing w:val="-5"/>
              </w:rPr>
              <w:t>在公告前不得履行收购协议。</w:t>
            </w:r>
          </w:p>
        </w:tc>
        <w:tc>
          <w:tcPr>
            <w:tcW w:w="6807" w:type="dxa"/>
            <w:vAlign w:val="top"/>
          </w:tcPr>
          <w:p>
            <w:pPr>
              <w:pStyle w:val="8"/>
              <w:spacing w:before="40" w:line="227" w:lineRule="auto"/>
              <w:ind w:left="11" w:right="51" w:firstLine="480"/>
            </w:pPr>
            <w:r>
              <w:rPr>
                <w:rFonts w:ascii="黑体" w:hAnsi="黑体" w:eastAsia="黑体" w:cs="黑体"/>
                <w:spacing w:val="-4"/>
              </w:rPr>
              <w:t xml:space="preserve">第七十一条  </w:t>
            </w:r>
            <w:r>
              <w:rPr>
                <w:spacing w:val="-4"/>
              </w:rPr>
              <w:t>采取协议收购方式的， 收购人可以依照法律、</w:t>
            </w:r>
            <w:r>
              <w:t xml:space="preserve"> </w:t>
            </w:r>
            <w:r>
              <w:rPr>
                <w:spacing w:val="-2"/>
              </w:rPr>
              <w:t>行政法规的规定同被收购公司的股东以协议方式进行股份转</w:t>
            </w:r>
            <w:r>
              <w:rPr>
                <w:spacing w:val="-3"/>
              </w:rPr>
              <w:t>让。</w:t>
            </w:r>
          </w:p>
          <w:p>
            <w:pPr>
              <w:pStyle w:val="8"/>
              <w:spacing w:before="34" w:line="231" w:lineRule="auto"/>
              <w:ind w:left="19" w:right="7" w:firstLine="505"/>
            </w:pPr>
            <w:r>
              <w:t>以协议方式收购上市公司时，达成协议后，收购人必须在三</w:t>
            </w:r>
            <w:r>
              <w:rPr>
                <w:spacing w:val="18"/>
              </w:rPr>
              <w:t xml:space="preserve"> </w:t>
            </w:r>
            <w:r>
              <w:rPr>
                <w:spacing w:val="1"/>
              </w:rPr>
              <w:t>日内将该收购协议向国务院证券监督管理机构及证券交易所作出</w:t>
            </w:r>
            <w:r>
              <w:rPr>
                <w:spacing w:val="16"/>
              </w:rPr>
              <w:t xml:space="preserve"> </w:t>
            </w:r>
            <w:r>
              <w:rPr>
                <w:spacing w:val="-8"/>
              </w:rPr>
              <w:t>报告，并予公告。</w:t>
            </w:r>
          </w:p>
          <w:p>
            <w:pPr>
              <w:pStyle w:val="8"/>
              <w:spacing w:before="32" w:line="202" w:lineRule="auto"/>
              <w:ind w:left="494"/>
            </w:pPr>
            <w:r>
              <w:rPr>
                <w:spacing w:val="-5"/>
              </w:rPr>
              <w:t>在公告前不得履行收购协议。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100" w:type="dxa"/>
            <w:vAlign w:val="top"/>
          </w:tcPr>
          <w:p>
            <w:pPr>
              <w:pStyle w:val="8"/>
              <w:spacing w:before="41" w:line="225" w:lineRule="auto"/>
              <w:ind w:left="16" w:firstLine="496"/>
            </w:pPr>
            <w:r>
              <w:rPr>
                <w:rFonts w:ascii="黑体" w:hAnsi="黑体" w:eastAsia="黑体" w:cs="黑体"/>
                <w:spacing w:val="-1"/>
              </w:rPr>
              <w:t xml:space="preserve">第九十五条  </w:t>
            </w:r>
            <w:r>
              <w:rPr>
                <w:spacing w:val="-1"/>
              </w:rPr>
              <w:t>采取协议收购方式的， 协议双方可以临时委托证</w:t>
            </w:r>
            <w:r>
              <w:t xml:space="preserve"> </w:t>
            </w:r>
            <w:r>
              <w:rPr>
                <w:spacing w:val="12"/>
              </w:rPr>
              <w:t>券登记结算机构保管协议转让的股票，并将资金存放于指定的银</w:t>
            </w:r>
          </w:p>
        </w:tc>
        <w:tc>
          <w:tcPr>
            <w:tcW w:w="6807" w:type="dxa"/>
            <w:vAlign w:val="top"/>
          </w:tcPr>
          <w:p>
            <w:pPr>
              <w:pStyle w:val="8"/>
              <w:spacing w:before="41" w:line="225" w:lineRule="auto"/>
              <w:ind w:left="19" w:right="5" w:firstLine="491"/>
            </w:pPr>
            <w:r>
              <w:rPr>
                <w:rFonts w:ascii="黑体" w:hAnsi="黑体" w:eastAsia="黑体" w:cs="黑体"/>
                <w:spacing w:val="1"/>
              </w:rPr>
              <w:t xml:space="preserve">第七十二条  </w:t>
            </w:r>
            <w:r>
              <w:rPr>
                <w:spacing w:val="1"/>
              </w:rPr>
              <w:t>采取协议收购方式的，协议双方可以临时委托</w:t>
            </w:r>
            <w:r>
              <w:rPr>
                <w:spacing w:val="8"/>
              </w:rPr>
              <w:t xml:space="preserve"> </w:t>
            </w:r>
            <w:r>
              <w:rPr>
                <w:spacing w:val="-3"/>
              </w:rPr>
              <w:t>证券登记结算机构保管协议转让的股票， 并将资金存放于指定的</w:t>
            </w:r>
          </w:p>
        </w:tc>
      </w:tr>
    </w:tbl>
    <w:p>
      <w:pPr>
        <w:spacing w:before="118" w:line="186"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p>
      <w:pPr>
        <w:spacing w:line="186" w:lineRule="auto"/>
        <w:rPr>
          <w:rFonts w:ascii="Times New Roman" w:hAnsi="Times New Roman" w:eastAsia="Times New Roman" w:cs="Times New Roman"/>
          <w:sz w:val="18"/>
          <w:szCs w:val="18"/>
        </w:rPr>
        <w:sectPr>
          <w:footerReference r:id="rId25"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3"/>
        <w:gridCol w:w="221"/>
        <w:gridCol w:w="729"/>
        <w:gridCol w:w="729"/>
        <w:gridCol w:w="139"/>
        <w:gridCol w:w="590"/>
        <w:gridCol w:w="254"/>
        <w:gridCol w:w="475"/>
        <w:gridCol w:w="369"/>
        <w:gridCol w:w="101"/>
        <w:gridCol w:w="508"/>
        <w:gridCol w:w="734"/>
        <w:gridCol w:w="105"/>
        <w:gridCol w:w="312"/>
        <w:gridCol w:w="177"/>
        <w:gridCol w:w="1133"/>
        <w:gridCol w:w="6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099" w:type="dxa"/>
            <w:gridSpan w:val="16"/>
            <w:vAlign w:val="top"/>
          </w:tcPr>
          <w:p>
            <w:pPr>
              <w:pStyle w:val="8"/>
              <w:spacing w:before="41" w:line="216" w:lineRule="auto"/>
              <w:ind w:left="13"/>
            </w:pPr>
            <w:r>
              <w:rPr>
                <w:spacing w:val="-15"/>
              </w:rPr>
              <w:t>行。</w:t>
            </w:r>
          </w:p>
        </w:tc>
        <w:tc>
          <w:tcPr>
            <w:tcW w:w="6808" w:type="dxa"/>
            <w:vAlign w:val="top"/>
          </w:tcPr>
          <w:p>
            <w:pPr>
              <w:pStyle w:val="8"/>
              <w:spacing w:before="41" w:line="216" w:lineRule="auto"/>
              <w:ind w:left="10"/>
            </w:pPr>
            <w:r>
              <w:rPr>
                <w:spacing w:val="-13"/>
              </w:rPr>
              <w:t>银行。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6" w:hRule="atLeast"/>
        </w:trPr>
        <w:tc>
          <w:tcPr>
            <w:tcW w:w="7099" w:type="dxa"/>
            <w:gridSpan w:val="16"/>
            <w:tcBorders>
              <w:bottom w:val="nil"/>
            </w:tcBorders>
            <w:vAlign w:val="top"/>
          </w:tcPr>
          <w:p>
            <w:pPr>
              <w:pStyle w:val="8"/>
              <w:spacing w:before="23" w:line="237" w:lineRule="auto"/>
              <w:ind w:left="11" w:firstLine="501"/>
              <w:jc w:val="both"/>
            </w:pPr>
            <w:r>
              <w:rPr>
                <w:rFonts w:ascii="黑体" w:hAnsi="黑体" w:eastAsia="黑体" w:cs="黑体"/>
                <w:spacing w:val="10"/>
              </w:rPr>
              <w:t xml:space="preserve">第九十六条  </w:t>
            </w:r>
            <w:r>
              <w:rPr>
                <w:spacing w:val="10"/>
              </w:rPr>
              <w:t>采取协议收购方式的，</w:t>
            </w:r>
            <w:r>
              <w:rPr>
                <w:spacing w:val="-62"/>
              </w:rPr>
              <w:t xml:space="preserve"> </w:t>
            </w:r>
            <w:r>
              <w:rPr>
                <w:spacing w:val="10"/>
              </w:rPr>
              <w:t>收购人收购或者通过协</w:t>
            </w:r>
            <w:r>
              <w:t xml:space="preserve"> </w:t>
            </w:r>
            <w:r>
              <w:rPr>
                <w:spacing w:val="4"/>
              </w:rPr>
              <w:t>议、其他安排与他人共同收购一个上市公司已发行的股</w:t>
            </w:r>
            <w:r>
              <w:rPr>
                <w:spacing w:val="3"/>
              </w:rPr>
              <w:t>份达到百分</w:t>
            </w:r>
            <w:r>
              <w:t xml:space="preserve"> </w:t>
            </w:r>
            <w:r>
              <w:rPr>
                <w:spacing w:val="4"/>
              </w:rPr>
              <w:t>之三十时，继续进行收购的，应当向该上市</w:t>
            </w:r>
            <w:r>
              <w:rPr>
                <w:spacing w:val="4"/>
                <w:u w:val="single" w:color="auto"/>
              </w:rPr>
              <w:t>公</w:t>
            </w:r>
            <w:r>
              <w:rPr>
                <w:spacing w:val="4"/>
              </w:rPr>
              <w:t>司所有股</w:t>
            </w:r>
            <w:r>
              <w:rPr>
                <w:spacing w:val="3"/>
              </w:rPr>
              <w:t>东发出收购</w:t>
            </w:r>
            <w:r>
              <w:t xml:space="preserve"> </w:t>
            </w:r>
            <w:r>
              <w:rPr>
                <w:spacing w:val="-1"/>
              </w:rPr>
              <w:t xml:space="preserve">上市公司全部或者部分股份的要约。但是， </w:t>
            </w:r>
            <w:r>
              <w:rPr>
                <w:position w:val="-7"/>
              </w:rPr>
              <w:drawing>
                <wp:inline distT="0" distB="0" distL="0" distR="0">
                  <wp:extent cx="6985" cy="203835"/>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83"/>
                          <a:stretch>
                            <a:fillRect/>
                          </a:stretch>
                        </pic:blipFill>
                        <pic:spPr>
                          <a:xfrm>
                            <a:off x="0" y="0"/>
                            <a:ext cx="7617" cy="204216"/>
                          </a:xfrm>
                          <a:prstGeom prst="rect">
                            <a:avLst/>
                          </a:prstGeom>
                        </pic:spPr>
                      </pic:pic>
                    </a:graphicData>
                  </a:graphic>
                </wp:inline>
              </w:drawing>
            </w:r>
            <w:r>
              <w:rPr>
                <w:spacing w:val="-1"/>
                <w:u w:val="single" w:color="auto"/>
                <w:shd w:val="clear" w:fill="D9D9D9"/>
              </w:rPr>
              <w:t>经</w:t>
            </w:r>
            <w:r>
              <w:rPr>
                <w:position w:val="-7"/>
              </w:rPr>
              <w:drawing>
                <wp:inline distT="0" distB="0" distL="0" distR="0">
                  <wp:extent cx="6985" cy="203835"/>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83"/>
                          <a:stretch>
                            <a:fillRect/>
                          </a:stretch>
                        </pic:blipFill>
                        <pic:spPr>
                          <a:xfrm>
                            <a:off x="0" y="0"/>
                            <a:ext cx="7617" cy="204216"/>
                          </a:xfrm>
                          <a:prstGeom prst="rect">
                            <a:avLst/>
                          </a:prstGeom>
                        </pic:spPr>
                      </pic:pic>
                    </a:graphicData>
                  </a:graphic>
                </wp:inline>
              </w:drawing>
            </w:r>
            <w:r>
              <w:rPr>
                <w:spacing w:val="-2"/>
              </w:rPr>
              <w:t>国务院证券监督管理</w:t>
            </w:r>
            <w:r>
              <w:t xml:space="preserve"> </w:t>
            </w:r>
            <w:r>
              <w:rPr>
                <w:spacing w:val="-5"/>
              </w:rPr>
              <w:t>机构免除发出要约的除外。</w:t>
            </w:r>
          </w:p>
          <w:p>
            <w:pPr>
              <w:pStyle w:val="8"/>
              <w:spacing w:before="28" w:line="217" w:lineRule="auto"/>
              <w:jc w:val="right"/>
            </w:pPr>
            <w:r>
              <w:rPr>
                <w:spacing w:val="2"/>
              </w:rPr>
              <w:t>收购人依照前款规定以要约方式收购上市公司股份，应当遵守</w:t>
            </w:r>
          </w:p>
        </w:tc>
        <w:tc>
          <w:tcPr>
            <w:tcW w:w="6808" w:type="dxa"/>
            <w:vMerge w:val="restart"/>
            <w:tcBorders>
              <w:bottom w:val="nil"/>
            </w:tcBorders>
            <w:vAlign w:val="top"/>
          </w:tcPr>
          <w:p>
            <w:pPr>
              <w:pStyle w:val="8"/>
              <w:spacing w:before="24" w:line="236" w:lineRule="auto"/>
              <w:ind w:left="9" w:right="3" w:firstLine="502"/>
              <w:jc w:val="both"/>
            </w:pPr>
            <w:r>
              <w:rPr>
                <w:rFonts w:ascii="黑体" w:hAnsi="黑体" w:eastAsia="黑体" w:cs="黑体"/>
                <w:spacing w:val="1"/>
              </w:rPr>
              <w:t xml:space="preserve">第七十三条  </w:t>
            </w:r>
            <w:r>
              <w:rPr>
                <w:spacing w:val="1"/>
              </w:rPr>
              <w:t>采取协议收购方式的，收购人收购或者通过协</w:t>
            </w:r>
            <w:r>
              <w:rPr>
                <w:spacing w:val="8"/>
              </w:rPr>
              <w:t xml:space="preserve"> </w:t>
            </w:r>
            <w:r>
              <w:rPr>
                <w:spacing w:val="2"/>
              </w:rPr>
              <w:t>议、其他安排与他人共同收购一个上市公司已发行的有表决权股</w:t>
            </w:r>
            <w:r>
              <w:rPr>
                <w:spacing w:val="1"/>
              </w:rPr>
              <w:t xml:space="preserve"> </w:t>
            </w:r>
            <w:r>
              <w:rPr>
                <w:spacing w:val="-6"/>
              </w:rPr>
              <w:t>份达到百分之三十时， 继续进行收购的， 应当</w:t>
            </w:r>
            <w:r>
              <w:rPr>
                <w:rFonts w:ascii="黑体" w:hAnsi="黑体" w:eastAsia="黑体" w:cs="黑体"/>
                <w:spacing w:val="-6"/>
              </w:rPr>
              <w:t>依法</w:t>
            </w:r>
            <w:r>
              <w:rPr>
                <w:spacing w:val="-6"/>
              </w:rPr>
              <w:t>向</w:t>
            </w:r>
            <w:r>
              <w:rPr>
                <w:spacing w:val="-7"/>
              </w:rPr>
              <w:t>该上市公司</w:t>
            </w:r>
            <w:r>
              <w:t xml:space="preserve"> </w:t>
            </w:r>
            <w:r>
              <w:rPr>
                <w:spacing w:val="2"/>
              </w:rPr>
              <w:t>所有股东发出收购上市公司全部或者部分股份的要约。但是，</w:t>
            </w:r>
            <w:r>
              <w:rPr>
                <w:rFonts w:ascii="黑体" w:hAnsi="黑体" w:eastAsia="黑体" w:cs="黑体"/>
                <w:spacing w:val="2"/>
              </w:rPr>
              <w:t xml:space="preserve">按 </w:t>
            </w:r>
            <w:r>
              <w:rPr>
                <w:rFonts w:ascii="黑体" w:hAnsi="黑体" w:eastAsia="黑体" w:cs="黑体"/>
                <w:spacing w:val="-2"/>
              </w:rPr>
              <w:t>照</w:t>
            </w:r>
            <w:r>
              <w:rPr>
                <w:spacing w:val="-2"/>
              </w:rPr>
              <w:t>国务院证券监督管理机构的规定免除发出要</w:t>
            </w:r>
            <w:r>
              <w:rPr>
                <w:spacing w:val="-3"/>
              </w:rPr>
              <w:t>约的除外。</w:t>
            </w:r>
          </w:p>
          <w:p>
            <w:pPr>
              <w:pStyle w:val="8"/>
              <w:spacing w:before="24" w:line="230" w:lineRule="auto"/>
              <w:ind w:left="30" w:right="7" w:firstLine="499"/>
              <w:jc w:val="both"/>
            </w:pPr>
            <w:r>
              <w:t>收购人依照前款规定以要约方式收购上市公司股份，应当遵</w:t>
            </w:r>
            <w:r>
              <w:rPr>
                <w:spacing w:val="15"/>
              </w:rPr>
              <w:t xml:space="preserve"> </w:t>
            </w:r>
            <w:r>
              <w:rPr>
                <w:spacing w:val="-3"/>
              </w:rPr>
              <w:t>守本法第</w:t>
            </w:r>
            <w:r>
              <w:rPr>
                <w:rFonts w:ascii="黑体" w:hAnsi="黑体" w:eastAsia="黑体" w:cs="黑体"/>
                <w:spacing w:val="-3"/>
              </w:rPr>
              <w:t>六十五</w:t>
            </w:r>
            <w:r>
              <w:rPr>
                <w:spacing w:val="-3"/>
              </w:rPr>
              <w:t>条第二款、第</w:t>
            </w:r>
            <w:r>
              <w:rPr>
                <w:rFonts w:ascii="黑体" w:hAnsi="黑体" w:eastAsia="黑体" w:cs="黑体"/>
                <w:spacing w:val="-3"/>
              </w:rPr>
              <w:t>六十六</w:t>
            </w:r>
            <w:r>
              <w:rPr>
                <w:spacing w:val="-3"/>
              </w:rPr>
              <w:t>条至第</w:t>
            </w:r>
            <w:r>
              <w:rPr>
                <w:rFonts w:ascii="黑体" w:hAnsi="黑体" w:eastAsia="黑体" w:cs="黑体"/>
                <w:spacing w:val="-3"/>
              </w:rPr>
              <w:t>七十</w:t>
            </w:r>
            <w:r>
              <w:rPr>
                <w:spacing w:val="-3"/>
              </w:rPr>
              <w:t>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44" w:type="dxa"/>
            <w:gridSpan w:val="2"/>
            <w:tcBorders>
              <w:top w:val="nil"/>
              <w:right w:val="single" w:color="000000" w:sz="2" w:space="0"/>
            </w:tcBorders>
            <w:vAlign w:val="top"/>
          </w:tcPr>
          <w:p>
            <w:pPr>
              <w:pStyle w:val="8"/>
              <w:spacing w:before="24" w:line="217" w:lineRule="auto"/>
              <w:ind w:left="13"/>
            </w:pPr>
            <w:r>
              <w:rPr>
                <w:spacing w:val="-3"/>
              </w:rPr>
              <w:t>本法第</w:t>
            </w:r>
          </w:p>
        </w:tc>
        <w:tc>
          <w:tcPr>
            <w:tcW w:w="729" w:type="dxa"/>
            <w:tcBorders>
              <w:top w:val="single" w:color="000000" w:sz="2" w:space="0"/>
              <w:left w:val="single" w:color="000000" w:sz="2" w:space="0"/>
              <w:right w:val="single" w:color="000000" w:sz="2" w:space="0"/>
            </w:tcBorders>
            <w:shd w:val="clear" w:color="auto" w:fill="D9D9D9"/>
            <w:vAlign w:val="top"/>
          </w:tcPr>
          <w:p>
            <w:pPr>
              <w:pStyle w:val="8"/>
              <w:spacing w:before="24" w:line="217" w:lineRule="auto"/>
              <w:ind w:left="9"/>
            </w:pPr>
            <w:r>
              <w:rPr>
                <w:spacing w:val="-4"/>
              </w:rPr>
              <w:t>八十九</w:t>
            </w:r>
          </w:p>
        </w:tc>
        <w:tc>
          <w:tcPr>
            <w:tcW w:w="729" w:type="dxa"/>
            <w:tcBorders>
              <w:top w:val="nil"/>
              <w:left w:val="single" w:color="000000" w:sz="2" w:space="0"/>
              <w:right w:val="single" w:color="000000" w:sz="2" w:space="0"/>
            </w:tcBorders>
            <w:vAlign w:val="top"/>
          </w:tcPr>
          <w:p>
            <w:pPr>
              <w:pStyle w:val="8"/>
              <w:spacing w:before="24" w:line="217" w:lineRule="auto"/>
              <w:ind w:left="8"/>
            </w:pPr>
            <w:r>
              <w:rPr>
                <w:spacing w:val="-3"/>
              </w:rPr>
              <w:t>条至第</w:t>
            </w:r>
          </w:p>
        </w:tc>
        <w:tc>
          <w:tcPr>
            <w:tcW w:w="729" w:type="dxa"/>
            <w:gridSpan w:val="2"/>
            <w:tcBorders>
              <w:top w:val="single" w:color="000000" w:sz="2" w:space="0"/>
              <w:left w:val="single" w:color="000000" w:sz="2" w:space="0"/>
              <w:right w:val="single" w:color="000000" w:sz="2" w:space="0"/>
            </w:tcBorders>
            <w:shd w:val="clear" w:color="auto" w:fill="D9D9D9"/>
            <w:vAlign w:val="top"/>
          </w:tcPr>
          <w:p>
            <w:pPr>
              <w:pStyle w:val="8"/>
              <w:spacing w:before="24" w:line="217" w:lineRule="auto"/>
              <w:ind w:left="8"/>
            </w:pPr>
            <w:r>
              <w:rPr>
                <w:spacing w:val="-3"/>
              </w:rPr>
              <w:t>九十三</w:t>
            </w:r>
          </w:p>
        </w:tc>
        <w:tc>
          <w:tcPr>
            <w:tcW w:w="4168" w:type="dxa"/>
            <w:gridSpan w:val="10"/>
            <w:tcBorders>
              <w:top w:val="nil"/>
              <w:left w:val="single" w:color="000000" w:sz="2" w:space="0"/>
            </w:tcBorders>
            <w:vAlign w:val="top"/>
          </w:tcPr>
          <w:p>
            <w:pPr>
              <w:pStyle w:val="8"/>
              <w:spacing w:before="24" w:line="219" w:lineRule="auto"/>
              <w:ind w:left="9"/>
            </w:pPr>
            <w:r>
              <w:rPr>
                <w:spacing w:val="-10"/>
              </w:rPr>
              <w:t>条的规定。</w:t>
            </w:r>
          </w:p>
        </w:tc>
        <w:tc>
          <w:tcPr>
            <w:tcW w:w="68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9" w:hRule="atLeast"/>
        </w:trPr>
        <w:tc>
          <w:tcPr>
            <w:tcW w:w="7099" w:type="dxa"/>
            <w:gridSpan w:val="16"/>
            <w:vAlign w:val="top"/>
          </w:tcPr>
          <w:p>
            <w:pPr>
              <w:pStyle w:val="8"/>
              <w:spacing w:before="27" w:line="234" w:lineRule="auto"/>
              <w:ind w:left="13" w:firstLine="499"/>
            </w:pPr>
            <w:r>
              <w:rPr>
                <w:rFonts w:ascii="黑体" w:hAnsi="黑体" w:eastAsia="黑体" w:cs="黑体"/>
                <w:spacing w:val="3"/>
              </w:rPr>
              <w:t xml:space="preserve">第九十七条  </w:t>
            </w:r>
            <w:r>
              <w:rPr>
                <w:spacing w:val="3"/>
              </w:rPr>
              <w:t>收购期限届满，被收购公司股权分布不符合上市 条件的，该上市公司的股票应当由证券交易所依法终止上市交易；</w:t>
            </w:r>
            <w:r>
              <w:rPr>
                <w:spacing w:val="17"/>
              </w:rPr>
              <w:t xml:space="preserve"> </w:t>
            </w:r>
            <w:r>
              <w:rPr>
                <w:spacing w:val="4"/>
              </w:rPr>
              <w:t>其余仍持有被收购公司股票的股东，有权向收购人</w:t>
            </w:r>
            <w:r>
              <w:rPr>
                <w:spacing w:val="3"/>
              </w:rPr>
              <w:t>以收购要约的同</w:t>
            </w:r>
            <w:r>
              <w:t xml:space="preserve"> </w:t>
            </w:r>
            <w:r>
              <w:rPr>
                <w:spacing w:val="-3"/>
              </w:rPr>
              <w:t>等条件出售其股票，收购人应当收购。</w:t>
            </w:r>
          </w:p>
          <w:p>
            <w:pPr>
              <w:pStyle w:val="8"/>
              <w:spacing w:before="31" w:line="228" w:lineRule="auto"/>
              <w:ind w:left="19" w:right="53" w:firstLine="511"/>
            </w:pPr>
            <w:r>
              <w:t>收购行为完成后，被收购公司不再具备股份有限公司条件的，</w:t>
            </w:r>
            <w:r>
              <w:rPr>
                <w:spacing w:val="18"/>
              </w:rPr>
              <w:t xml:space="preserve"> </w:t>
            </w:r>
            <w:r>
              <w:rPr>
                <w:spacing w:val="-6"/>
              </w:rPr>
              <w:t>应当依法变更企业形式。</w:t>
            </w:r>
          </w:p>
        </w:tc>
        <w:tc>
          <w:tcPr>
            <w:tcW w:w="6808" w:type="dxa"/>
            <w:vAlign w:val="top"/>
          </w:tcPr>
          <w:p>
            <w:pPr>
              <w:pStyle w:val="8"/>
              <w:spacing w:before="26" w:line="236" w:lineRule="auto"/>
              <w:ind w:left="16" w:right="3" w:firstLine="495"/>
            </w:pPr>
            <w:r>
              <w:rPr>
                <w:rFonts w:ascii="黑体" w:hAnsi="黑体" w:eastAsia="黑体" w:cs="黑体"/>
                <w:spacing w:val="1"/>
              </w:rPr>
              <w:t xml:space="preserve">第七十四条  </w:t>
            </w:r>
            <w:r>
              <w:rPr>
                <w:spacing w:val="1"/>
              </w:rPr>
              <w:t>收购期限届满，被收购公司股权分布不符合</w:t>
            </w:r>
            <w:r>
              <w:rPr>
                <w:rFonts w:ascii="黑体" w:hAnsi="黑体" w:eastAsia="黑体" w:cs="黑体"/>
                <w:spacing w:val="1"/>
              </w:rPr>
              <w:t>证</w:t>
            </w:r>
            <w:r>
              <w:rPr>
                <w:rFonts w:ascii="黑体" w:hAnsi="黑体" w:eastAsia="黑体" w:cs="黑体"/>
                <w:spacing w:val="9"/>
              </w:rPr>
              <w:t xml:space="preserve"> </w:t>
            </w:r>
            <w:r>
              <w:rPr>
                <w:rFonts w:ascii="黑体" w:hAnsi="黑体" w:eastAsia="黑体" w:cs="黑体"/>
                <w:spacing w:val="-3"/>
              </w:rPr>
              <w:t>券交易所规定的上市交易要求</w:t>
            </w:r>
            <w:r>
              <w:rPr>
                <w:spacing w:val="-3"/>
              </w:rPr>
              <w:t>的， 该上市公司的股票应当由证券</w:t>
            </w:r>
            <w:r>
              <w:rPr>
                <w:spacing w:val="17"/>
              </w:rPr>
              <w:t xml:space="preserve"> </w:t>
            </w:r>
            <w:r>
              <w:rPr>
                <w:spacing w:val="-5"/>
              </w:rPr>
              <w:t>交易所依法终止上市交易； 其余仍持有被收购公司股票的股东，</w:t>
            </w:r>
            <w:r>
              <w:rPr>
                <w:spacing w:val="18"/>
              </w:rPr>
              <w:t xml:space="preserve"> </w:t>
            </w:r>
            <w:r>
              <w:rPr>
                <w:spacing w:val="-3"/>
              </w:rPr>
              <w:t>有权向收购人以收购要约的同等条件出售其股票， 收购人应当收</w:t>
            </w:r>
            <w:r>
              <w:rPr>
                <w:spacing w:val="14"/>
              </w:rPr>
              <w:t xml:space="preserve"> </w:t>
            </w:r>
            <w:r>
              <w:rPr>
                <w:spacing w:val="-16"/>
              </w:rPr>
              <w:t>购。</w:t>
            </w:r>
          </w:p>
          <w:p>
            <w:pPr>
              <w:pStyle w:val="8"/>
              <w:spacing w:before="25" w:line="229" w:lineRule="auto"/>
              <w:ind w:left="33" w:right="7" w:firstLine="496"/>
            </w:pPr>
            <w:r>
              <w:rPr>
                <w:spacing w:val="10"/>
              </w:rPr>
              <w:t>收购行为完成后，被收购公司不再具备股份有限公司条件</w:t>
            </w:r>
            <w:r>
              <w:rPr>
                <w:spacing w:val="5"/>
              </w:rPr>
              <w:t xml:space="preserve"> </w:t>
            </w:r>
            <w:r>
              <w:rPr>
                <w:spacing w:val="-6"/>
              </w:rPr>
              <w:t>的，应当依法变更企业形式。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30" w:type="dxa"/>
            <w:gridSpan w:val="10"/>
            <w:tcBorders>
              <w:bottom w:val="nil"/>
              <w:right w:val="nil"/>
            </w:tcBorders>
            <w:vAlign w:val="top"/>
          </w:tcPr>
          <w:p>
            <w:pPr>
              <w:pStyle w:val="8"/>
              <w:spacing w:before="13" w:line="218" w:lineRule="auto"/>
              <w:jc w:val="right"/>
            </w:pPr>
            <w:r>
              <w:rPr>
                <w:rFonts w:ascii="黑体" w:hAnsi="黑体" w:eastAsia="黑体" w:cs="黑体"/>
                <w:spacing w:val="-1"/>
              </w:rPr>
              <w:t xml:space="preserve">第九十八条  </w:t>
            </w:r>
            <w:r>
              <w:rPr>
                <w:spacing w:val="-1"/>
              </w:rPr>
              <w:t>在上市公司收购中，</w:t>
            </w:r>
          </w:p>
        </w:tc>
        <w:tc>
          <w:tcPr>
            <w:tcW w:w="2969" w:type="dxa"/>
            <w:gridSpan w:val="6"/>
            <w:vMerge w:val="restart"/>
            <w:tcBorders>
              <w:left w:val="nil"/>
              <w:bottom w:val="nil"/>
            </w:tcBorders>
            <w:vAlign w:val="top"/>
          </w:tcPr>
          <w:p>
            <w:pPr>
              <w:pStyle w:val="8"/>
              <w:spacing w:before="16" w:line="231" w:lineRule="auto"/>
              <w:ind w:firstLine="70"/>
            </w:pPr>
            <w:r>
              <w:t>收购人持有的被收购的上市</w:t>
            </w:r>
            <w:r>
              <w:rPr>
                <w:spacing w:val="10"/>
              </w:rPr>
              <w:t xml:space="preserve"> </w:t>
            </w:r>
            <w:r>
              <w:rPr>
                <w:spacing w:val="-8"/>
              </w:rPr>
              <w:t>个月内不得转让。</w:t>
            </w:r>
          </w:p>
        </w:tc>
        <w:tc>
          <w:tcPr>
            <w:tcW w:w="6808" w:type="dxa"/>
            <w:vMerge w:val="restart"/>
            <w:tcBorders>
              <w:bottom w:val="nil"/>
            </w:tcBorders>
            <w:vAlign w:val="top"/>
          </w:tcPr>
          <w:p>
            <w:pPr>
              <w:pStyle w:val="8"/>
              <w:spacing w:before="13" w:line="229" w:lineRule="auto"/>
              <w:ind w:left="23" w:right="5" w:firstLine="488"/>
            </w:pPr>
            <w:r>
              <w:rPr>
                <w:rFonts w:ascii="黑体" w:hAnsi="黑体" w:eastAsia="黑体" w:cs="黑体"/>
                <w:spacing w:val="1"/>
              </w:rPr>
              <w:t xml:space="preserve">第七十五条  </w:t>
            </w:r>
            <w:r>
              <w:rPr>
                <w:spacing w:val="1"/>
              </w:rPr>
              <w:t>在上市公司收购中，收购人持有的被收购的上</w:t>
            </w:r>
            <w:r>
              <w:rPr>
                <w:spacing w:val="8"/>
              </w:rPr>
              <w:t xml:space="preserve"> </w:t>
            </w:r>
            <w:r>
              <w:rPr>
                <w:spacing w:val="-3"/>
              </w:rPr>
              <w:t>市公司的股票，在收购行为完成后的</w:t>
            </w:r>
            <w:r>
              <w:rPr>
                <w:rFonts w:ascii="黑体" w:hAnsi="黑体" w:eastAsia="黑体" w:cs="黑体"/>
                <w:spacing w:val="-3"/>
              </w:rPr>
              <w:t>十八</w:t>
            </w:r>
            <w:r>
              <w:rPr>
                <w:spacing w:val="-3"/>
              </w:rPr>
              <w:t>个月内不得转让。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660" w:type="dxa"/>
            <w:gridSpan w:val="8"/>
            <w:tcBorders>
              <w:top w:val="nil"/>
              <w:right w:val="single" w:color="000000" w:sz="2" w:space="0"/>
            </w:tcBorders>
            <w:vAlign w:val="top"/>
          </w:tcPr>
          <w:p>
            <w:pPr>
              <w:pStyle w:val="8"/>
              <w:spacing w:before="21" w:line="214" w:lineRule="auto"/>
              <w:ind w:left="12"/>
            </w:pPr>
            <w:r>
              <w:rPr>
                <w:spacing w:val="-1"/>
              </w:rPr>
              <w:t>公司的股票，在收购行为完成后的</w:t>
            </w:r>
          </w:p>
        </w:tc>
        <w:tc>
          <w:tcPr>
            <w:tcW w:w="470" w:type="dxa"/>
            <w:gridSpan w:val="2"/>
            <w:tcBorders>
              <w:top w:val="single" w:color="000000" w:sz="2" w:space="0"/>
              <w:left w:val="single" w:color="000000" w:sz="2" w:space="0"/>
              <w:right w:val="single" w:color="000000" w:sz="2" w:space="0"/>
            </w:tcBorders>
            <w:shd w:val="clear" w:color="auto" w:fill="D9D9D9"/>
            <w:vAlign w:val="top"/>
          </w:tcPr>
          <w:p>
            <w:pPr>
              <w:pStyle w:val="8"/>
              <w:spacing w:before="21" w:line="217" w:lineRule="auto"/>
            </w:pPr>
            <w:r>
              <w:rPr>
                <w:spacing w:val="-11"/>
              </w:rPr>
              <w:t>十二</w:t>
            </w:r>
          </w:p>
        </w:tc>
        <w:tc>
          <w:tcPr>
            <w:tcW w:w="2969" w:type="dxa"/>
            <w:gridSpan w:val="6"/>
            <w:vMerge w:val="continue"/>
            <w:tcBorders>
              <w:top w:val="nil"/>
              <w:left w:val="nil"/>
            </w:tcBorders>
            <w:vAlign w:val="top"/>
          </w:tcPr>
          <w:p>
            <w:pPr>
              <w:rPr>
                <w:rFonts w:ascii="Arial"/>
                <w:sz w:val="21"/>
              </w:rPr>
            </w:pPr>
          </w:p>
        </w:tc>
        <w:tc>
          <w:tcPr>
            <w:tcW w:w="68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trPr>
        <w:tc>
          <w:tcPr>
            <w:tcW w:w="7099" w:type="dxa"/>
            <w:gridSpan w:val="16"/>
            <w:vAlign w:val="top"/>
          </w:tcPr>
          <w:p>
            <w:pPr>
              <w:pStyle w:val="8"/>
              <w:spacing w:before="23" w:line="229" w:lineRule="auto"/>
              <w:ind w:left="16" w:firstLine="496"/>
            </w:pPr>
            <w:r>
              <w:rPr>
                <w:rFonts w:ascii="黑体" w:hAnsi="黑体" w:eastAsia="黑体" w:cs="黑体"/>
                <w:spacing w:val="-5"/>
              </w:rPr>
              <w:t xml:space="preserve">第九十九条  </w:t>
            </w:r>
            <w:r>
              <w:rPr>
                <w:spacing w:val="-5"/>
              </w:rPr>
              <w:t>收购行为完成后， 收购人与被收购公司合并， 并</w:t>
            </w:r>
            <w:r>
              <w:t xml:space="preserve"> </w:t>
            </w:r>
            <w:r>
              <w:rPr>
                <w:spacing w:val="-2"/>
              </w:rPr>
              <w:t>将该公司解散的，被解散公司的原有股票由收</w:t>
            </w:r>
            <w:r>
              <w:rPr>
                <w:spacing w:val="-3"/>
              </w:rPr>
              <w:t>购人依法更换。</w:t>
            </w:r>
          </w:p>
          <w:p>
            <w:pPr>
              <w:pStyle w:val="8"/>
              <w:spacing w:before="26" w:line="228" w:lineRule="auto"/>
              <w:ind w:left="20" w:firstLine="492"/>
            </w:pPr>
            <w:r>
              <w:rPr>
                <w:rFonts w:ascii="黑体" w:hAnsi="黑体" w:eastAsia="黑体" w:cs="黑体"/>
                <w:spacing w:val="3"/>
              </w:rPr>
              <w:t xml:space="preserve">第一百条  </w:t>
            </w:r>
            <w:r>
              <w:rPr>
                <w:spacing w:val="3"/>
              </w:rPr>
              <w:t>收购行为完成后，收购人应当在十五日内将收购情</w:t>
            </w:r>
            <w:r>
              <w:rPr>
                <w:spacing w:val="5"/>
              </w:rPr>
              <w:t xml:space="preserve"> </w:t>
            </w:r>
            <w:r>
              <w:rPr>
                <w:spacing w:val="-3"/>
              </w:rPr>
              <w:t>况报告国务院证券监督管理机构和证券交易所，并予公告。</w:t>
            </w:r>
          </w:p>
        </w:tc>
        <w:tc>
          <w:tcPr>
            <w:tcW w:w="6808" w:type="dxa"/>
            <w:vAlign w:val="top"/>
          </w:tcPr>
          <w:p>
            <w:pPr>
              <w:pStyle w:val="8"/>
              <w:spacing w:before="24" w:line="228" w:lineRule="auto"/>
              <w:ind w:left="20" w:right="61" w:firstLine="472"/>
            </w:pPr>
            <w:r>
              <w:rPr>
                <w:rFonts w:ascii="黑体" w:hAnsi="黑体" w:eastAsia="黑体" w:cs="黑体"/>
                <w:spacing w:val="-5"/>
              </w:rPr>
              <w:t xml:space="preserve">第七十六条  </w:t>
            </w:r>
            <w:r>
              <w:rPr>
                <w:spacing w:val="-5"/>
              </w:rPr>
              <w:t>收购行为完成后， 收购人与被收购公司合并，</w:t>
            </w:r>
            <w:r>
              <w:rPr>
                <w:spacing w:val="17"/>
              </w:rPr>
              <w:t xml:space="preserve"> </w:t>
            </w:r>
            <w:r>
              <w:rPr>
                <w:spacing w:val="-2"/>
              </w:rPr>
              <w:t>并将该公司解散的，被解散公司的原有股票</w:t>
            </w:r>
            <w:r>
              <w:rPr>
                <w:spacing w:val="-3"/>
              </w:rPr>
              <w:t>由收购人依法更换。</w:t>
            </w:r>
          </w:p>
          <w:p>
            <w:pPr>
              <w:pStyle w:val="8"/>
              <w:spacing w:before="28" w:line="228" w:lineRule="auto"/>
              <w:ind w:left="17" w:right="7" w:firstLine="492"/>
            </w:pPr>
            <w:r>
              <w:rPr>
                <w:spacing w:val="-3"/>
              </w:rPr>
              <w:t>收购行为完成后， 收购人应当在十五日内将收购</w:t>
            </w:r>
            <w:r>
              <w:rPr>
                <w:spacing w:val="-4"/>
              </w:rPr>
              <w:t>情况报告国</w:t>
            </w:r>
            <w:r>
              <w:t xml:space="preserve"> </w:t>
            </w:r>
            <w:r>
              <w:rPr>
                <w:spacing w:val="-11"/>
              </w:rPr>
              <w:t>务院证券监督管理机构和证券交易所，</w:t>
            </w:r>
            <w:r>
              <w:rPr>
                <w:spacing w:val="71"/>
              </w:rPr>
              <w:t xml:space="preserve"> </w:t>
            </w:r>
            <w:r>
              <w:rPr>
                <w:spacing w:val="-11"/>
              </w:rPr>
              <w:t>并予公告。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23" w:type="dxa"/>
            <w:tcBorders>
              <w:bottom w:val="single" w:color="000000" w:sz="2" w:space="0"/>
              <w:right w:val="single" w:color="000000" w:sz="2" w:space="0"/>
            </w:tcBorders>
            <w:vAlign w:val="top"/>
          </w:tcPr>
          <w:p>
            <w:pPr>
              <w:rPr>
                <w:rFonts w:ascii="Arial"/>
                <w:sz w:val="21"/>
              </w:rPr>
            </w:pPr>
          </w:p>
        </w:tc>
        <w:tc>
          <w:tcPr>
            <w:tcW w:w="6576" w:type="dxa"/>
            <w:gridSpan w:val="15"/>
            <w:tcBorders>
              <w:left w:val="single" w:color="000000" w:sz="2" w:space="0"/>
              <w:bottom w:val="single" w:color="000000" w:sz="2" w:space="0"/>
            </w:tcBorders>
            <w:shd w:val="clear" w:color="auto" w:fill="D9D9D9"/>
            <w:vAlign w:val="top"/>
          </w:tcPr>
          <w:p>
            <w:pPr>
              <w:pStyle w:val="8"/>
              <w:spacing w:before="28" w:line="207" w:lineRule="auto"/>
              <w:ind w:left="4"/>
            </w:pPr>
            <w:r>
              <w:rPr>
                <w:rFonts w:ascii="黑体" w:hAnsi="黑体" w:eastAsia="黑体" w:cs="黑体"/>
                <w:spacing w:val="2"/>
              </w:rPr>
              <w:t xml:space="preserve">第一百零一条  </w:t>
            </w:r>
            <w:r>
              <w:rPr>
                <w:spacing w:val="2"/>
              </w:rPr>
              <w:t>收购上市公司中由国家授权投资的机构持有的</w:t>
            </w:r>
          </w:p>
        </w:tc>
        <w:tc>
          <w:tcPr>
            <w:tcW w:w="6808" w:type="dxa"/>
            <w:vMerge w:val="restart"/>
            <w:tcBorders>
              <w:bottom w:val="nil"/>
            </w:tcBorders>
            <w:vAlign w:val="top"/>
          </w:tcPr>
          <w:p>
            <w:pPr>
              <w:pStyle w:val="8"/>
              <w:spacing w:before="17" w:line="229" w:lineRule="auto"/>
              <w:ind w:left="35" w:right="7" w:firstLine="457"/>
            </w:pPr>
            <w:r>
              <w:rPr>
                <w:rFonts w:ascii="黑体" w:hAnsi="黑体" w:eastAsia="黑体" w:cs="黑体"/>
                <w:spacing w:val="2"/>
              </w:rPr>
              <w:t xml:space="preserve">第七十七条  </w:t>
            </w:r>
            <w:r>
              <w:rPr>
                <w:spacing w:val="2"/>
              </w:rPr>
              <w:t>国务院证券监督管理机构依照本法制定</w:t>
            </w:r>
            <w:r>
              <w:rPr>
                <w:spacing w:val="1"/>
              </w:rPr>
              <w:t>上市公</w:t>
            </w:r>
            <w:r>
              <w:t xml:space="preserve"> </w:t>
            </w:r>
            <w:r>
              <w:rPr>
                <w:spacing w:val="-8"/>
              </w:rPr>
              <w:t>司收购的具体办法。</w:t>
            </w:r>
          </w:p>
          <w:p>
            <w:pPr>
              <w:spacing w:before="27" w:line="226" w:lineRule="auto"/>
              <w:ind w:left="14" w:right="7" w:firstLine="481"/>
              <w:rPr>
                <w:rFonts w:ascii="黑体" w:hAnsi="黑体" w:eastAsia="黑体" w:cs="黑体"/>
                <w:sz w:val="24"/>
                <w:szCs w:val="24"/>
              </w:rPr>
            </w:pPr>
            <w:r>
              <w:rPr>
                <w:rFonts w:ascii="黑体" w:hAnsi="黑体" w:eastAsia="黑体" w:cs="黑体"/>
                <w:spacing w:val="-3"/>
                <w:sz w:val="24"/>
                <w:szCs w:val="24"/>
              </w:rPr>
              <w:t>上市公司分立或者被其他公司合并， 应当向国务院证券监督</w:t>
            </w:r>
            <w:r>
              <w:rPr>
                <w:rFonts w:ascii="黑体" w:hAnsi="黑体" w:eastAsia="黑体" w:cs="黑体"/>
                <w:spacing w:val="8"/>
                <w:sz w:val="24"/>
                <w:szCs w:val="24"/>
              </w:rPr>
              <w:t xml:space="preserve"> </w:t>
            </w:r>
            <w:r>
              <w:rPr>
                <w:rFonts w:ascii="黑体" w:hAnsi="黑体" w:eastAsia="黑体" w:cs="黑体"/>
                <w:spacing w:val="-4"/>
                <w:sz w:val="24"/>
                <w:szCs w:val="24"/>
              </w:rPr>
              <w:t>管理机构报告，并予公告。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789" w:type="dxa"/>
            <w:gridSpan w:val="14"/>
            <w:tcBorders>
              <w:top w:val="single" w:color="000000" w:sz="2" w:space="0"/>
              <w:bottom w:val="single" w:color="000000" w:sz="2" w:space="0"/>
              <w:right w:val="single" w:color="000000" w:sz="2" w:space="0"/>
            </w:tcBorders>
            <w:shd w:val="clear" w:color="auto" w:fill="D9D9D9"/>
            <w:vAlign w:val="top"/>
          </w:tcPr>
          <w:p>
            <w:pPr>
              <w:pStyle w:val="8"/>
              <w:spacing w:before="48" w:line="201" w:lineRule="auto"/>
              <w:ind w:left="24"/>
            </w:pPr>
            <w:r>
              <w:rPr>
                <w:spacing w:val="-3"/>
              </w:rPr>
              <w:t>股份，应当按照国务院的规定，经有关主管部门批准。</w:t>
            </w:r>
          </w:p>
        </w:tc>
        <w:tc>
          <w:tcPr>
            <w:tcW w:w="1310" w:type="dxa"/>
            <w:gridSpan w:val="2"/>
            <w:tcBorders>
              <w:top w:val="single" w:color="000000" w:sz="2" w:space="0"/>
              <w:left w:val="single" w:color="000000" w:sz="2" w:space="0"/>
              <w:bottom w:val="nil"/>
            </w:tcBorders>
            <w:vAlign w:val="top"/>
          </w:tcPr>
          <w:p>
            <w:pPr>
              <w:rPr>
                <w:rFonts w:ascii="Arial"/>
                <w:sz w:val="21"/>
              </w:rPr>
            </w:pP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185" w:type="dxa"/>
            <w:gridSpan w:val="7"/>
            <w:vMerge w:val="restart"/>
            <w:tcBorders>
              <w:top w:val="single" w:color="000000" w:sz="2" w:space="0"/>
              <w:bottom w:val="nil"/>
              <w:right w:val="nil"/>
            </w:tcBorders>
            <w:vAlign w:val="top"/>
          </w:tcPr>
          <w:p>
            <w:pPr>
              <w:pStyle w:val="8"/>
              <w:spacing w:before="55" w:line="225" w:lineRule="auto"/>
              <w:ind w:left="17" w:right="12" w:firstLine="516"/>
            </w:pPr>
            <w:r>
              <w:rPr>
                <w:spacing w:val="-2"/>
              </w:rPr>
              <w:t>国务院证券监督管理机构</w:t>
            </w:r>
            <w:r>
              <w:rPr>
                <w:spacing w:val="9"/>
              </w:rPr>
              <w:t xml:space="preserve"> </w:t>
            </w:r>
            <w:r>
              <w:rPr>
                <w:spacing w:val="-8"/>
              </w:rPr>
              <w:t>购的具体办法。</w:t>
            </w:r>
          </w:p>
        </w:tc>
        <w:tc>
          <w:tcPr>
            <w:tcW w:w="475"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5" w:line="194" w:lineRule="auto"/>
              <w:jc w:val="right"/>
            </w:pPr>
            <w:r>
              <w:rPr>
                <w:spacing w:val="-12"/>
              </w:rPr>
              <w:t>应当</w:t>
            </w:r>
          </w:p>
        </w:tc>
        <w:tc>
          <w:tcPr>
            <w:tcW w:w="978" w:type="dxa"/>
            <w:gridSpan w:val="3"/>
            <w:vMerge w:val="restart"/>
            <w:tcBorders>
              <w:top w:val="single" w:color="000000" w:sz="2" w:space="0"/>
              <w:left w:val="nil"/>
              <w:bottom w:val="nil"/>
              <w:right w:val="nil"/>
            </w:tcBorders>
            <w:vAlign w:val="top"/>
          </w:tcPr>
          <w:p>
            <w:pPr>
              <w:pStyle w:val="8"/>
              <w:spacing w:before="55" w:line="217" w:lineRule="auto"/>
              <w:jc w:val="right"/>
            </w:pPr>
            <w:r>
              <w:rPr>
                <w:spacing w:val="-3"/>
              </w:rPr>
              <w:t>依照本法</w:t>
            </w:r>
          </w:p>
        </w:tc>
        <w:tc>
          <w:tcPr>
            <w:tcW w:w="734"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5" w:line="194" w:lineRule="auto"/>
              <w:jc w:val="right"/>
            </w:pPr>
            <w:r>
              <w:rPr>
                <w:spacing w:val="-14"/>
              </w:rPr>
              <w:t>的原则</w:t>
            </w:r>
          </w:p>
        </w:tc>
        <w:tc>
          <w:tcPr>
            <w:tcW w:w="1727" w:type="dxa"/>
            <w:gridSpan w:val="4"/>
            <w:vMerge w:val="restart"/>
            <w:tcBorders>
              <w:top w:val="nil"/>
              <w:left w:val="nil"/>
              <w:bottom w:val="nil"/>
            </w:tcBorders>
            <w:vAlign w:val="top"/>
          </w:tcPr>
          <w:p>
            <w:pPr>
              <w:pStyle w:val="8"/>
              <w:spacing w:before="54" w:line="217" w:lineRule="auto"/>
              <w:ind w:right="3"/>
              <w:jc w:val="right"/>
            </w:pPr>
            <w:r>
              <w:rPr>
                <w:spacing w:val="-1"/>
              </w:rPr>
              <w:t>制定上市公司收</w:t>
            </w: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3185" w:type="dxa"/>
            <w:gridSpan w:val="7"/>
            <w:vMerge w:val="continue"/>
            <w:tcBorders>
              <w:top w:val="nil"/>
              <w:right w:val="nil"/>
            </w:tcBorders>
            <w:vAlign w:val="top"/>
          </w:tcPr>
          <w:p>
            <w:pPr>
              <w:rPr>
                <w:rFonts w:ascii="Arial"/>
                <w:sz w:val="21"/>
              </w:rPr>
            </w:pPr>
          </w:p>
        </w:tc>
        <w:tc>
          <w:tcPr>
            <w:tcW w:w="475" w:type="dxa"/>
            <w:tcBorders>
              <w:top w:val="single" w:color="000000" w:sz="2" w:space="0"/>
              <w:left w:val="nil"/>
              <w:right w:val="nil"/>
            </w:tcBorders>
            <w:vAlign w:val="top"/>
          </w:tcPr>
          <w:p>
            <w:pPr>
              <w:rPr>
                <w:rFonts w:ascii="Arial"/>
                <w:sz w:val="21"/>
              </w:rPr>
            </w:pPr>
          </w:p>
        </w:tc>
        <w:tc>
          <w:tcPr>
            <w:tcW w:w="978" w:type="dxa"/>
            <w:gridSpan w:val="3"/>
            <w:vMerge w:val="continue"/>
            <w:tcBorders>
              <w:top w:val="nil"/>
              <w:left w:val="nil"/>
              <w:right w:val="nil"/>
            </w:tcBorders>
            <w:vAlign w:val="top"/>
          </w:tcPr>
          <w:p>
            <w:pPr>
              <w:rPr>
                <w:rFonts w:ascii="Arial"/>
                <w:sz w:val="21"/>
              </w:rPr>
            </w:pPr>
          </w:p>
        </w:tc>
        <w:tc>
          <w:tcPr>
            <w:tcW w:w="734" w:type="dxa"/>
            <w:tcBorders>
              <w:top w:val="single" w:color="000000" w:sz="2" w:space="0"/>
              <w:left w:val="nil"/>
              <w:right w:val="nil"/>
            </w:tcBorders>
            <w:vAlign w:val="top"/>
          </w:tcPr>
          <w:p>
            <w:pPr>
              <w:rPr>
                <w:rFonts w:ascii="Arial"/>
                <w:sz w:val="21"/>
              </w:rPr>
            </w:pPr>
          </w:p>
        </w:tc>
        <w:tc>
          <w:tcPr>
            <w:tcW w:w="1727" w:type="dxa"/>
            <w:gridSpan w:val="4"/>
            <w:vMerge w:val="continue"/>
            <w:tcBorders>
              <w:top w:val="nil"/>
              <w:left w:val="nil"/>
            </w:tcBorders>
            <w:vAlign w:val="top"/>
          </w:tcPr>
          <w:p>
            <w:pPr>
              <w:rPr>
                <w:rFonts w:ascii="Arial"/>
                <w:sz w:val="21"/>
              </w:rPr>
            </w:pPr>
          </w:p>
        </w:tc>
        <w:tc>
          <w:tcPr>
            <w:tcW w:w="68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099" w:type="dxa"/>
            <w:gridSpan w:val="16"/>
            <w:vAlign w:val="top"/>
          </w:tcPr>
          <w:p>
            <w:pPr>
              <w:spacing w:before="38" w:line="222" w:lineRule="auto"/>
              <w:ind w:left="1991"/>
              <w:rPr>
                <w:rFonts w:ascii="黑体" w:hAnsi="黑体" w:eastAsia="黑体" w:cs="黑体"/>
                <w:sz w:val="24"/>
                <w:szCs w:val="24"/>
              </w:rPr>
            </w:pPr>
            <w:r>
              <w:rPr>
                <w:rFonts w:ascii="黑体" w:hAnsi="黑体" w:eastAsia="黑体" w:cs="黑体"/>
                <w:spacing w:val="-1"/>
                <w:sz w:val="24"/>
                <w:szCs w:val="24"/>
              </w:rPr>
              <w:t>第三章第三节  持续信息公开</w:t>
            </w:r>
          </w:p>
        </w:tc>
        <w:tc>
          <w:tcPr>
            <w:tcW w:w="6808" w:type="dxa"/>
            <w:vAlign w:val="top"/>
          </w:tcPr>
          <w:p>
            <w:pPr>
              <w:spacing w:before="38" w:line="222" w:lineRule="auto"/>
              <w:ind w:left="2443"/>
              <w:rPr>
                <w:rFonts w:ascii="黑体" w:hAnsi="黑体" w:eastAsia="黑体" w:cs="黑体"/>
                <w:sz w:val="24"/>
                <w:szCs w:val="24"/>
              </w:rPr>
            </w:pPr>
            <w:r>
              <w:rPr>
                <w:rFonts w:ascii="黑体" w:hAnsi="黑体" w:eastAsia="黑体" w:cs="黑体"/>
                <w:spacing w:val="-1"/>
                <w:sz w:val="24"/>
                <w:szCs w:val="24"/>
              </w:rPr>
              <w:t>第五章  信息披露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341" w:type="dxa"/>
            <w:gridSpan w:val="5"/>
            <w:tcBorders>
              <w:bottom w:val="nil"/>
              <w:right w:val="single" w:color="000000" w:sz="2" w:space="0"/>
            </w:tcBorders>
            <w:vAlign w:val="top"/>
          </w:tcPr>
          <w:p>
            <w:pPr>
              <w:pStyle w:val="8"/>
              <w:spacing w:before="46" w:line="194" w:lineRule="auto"/>
              <w:ind w:right="4"/>
              <w:jc w:val="right"/>
            </w:pPr>
            <w:r>
              <w:rPr>
                <w:rFonts w:ascii="黑体" w:hAnsi="黑体" w:eastAsia="黑体" w:cs="黑体"/>
                <w:spacing w:val="-1"/>
              </w:rPr>
              <w:t xml:space="preserve">第六十三条  </w:t>
            </w:r>
            <w:r>
              <w:rPr>
                <w:spacing w:val="-1"/>
              </w:rPr>
              <w:t>发行人</w:t>
            </w:r>
          </w:p>
        </w:tc>
        <w:tc>
          <w:tcPr>
            <w:tcW w:w="1688" w:type="dxa"/>
            <w:gridSpan w:val="4"/>
            <w:tcBorders>
              <w:left w:val="single" w:color="000000" w:sz="2" w:space="0"/>
              <w:bottom w:val="single" w:color="000000" w:sz="2" w:space="0"/>
              <w:right w:val="single" w:color="000000" w:sz="2" w:space="0"/>
            </w:tcBorders>
            <w:shd w:val="clear" w:color="auto" w:fill="D9D9D9"/>
            <w:vAlign w:val="top"/>
          </w:tcPr>
          <w:p>
            <w:pPr>
              <w:pStyle w:val="8"/>
              <w:spacing w:before="48" w:line="193" w:lineRule="auto"/>
              <w:ind w:left="25"/>
            </w:pPr>
            <w:r>
              <w:rPr>
                <w:spacing w:val="-7"/>
              </w:rPr>
              <w:t>、上市公司依法</w:t>
            </w:r>
          </w:p>
        </w:tc>
        <w:tc>
          <w:tcPr>
            <w:tcW w:w="1448" w:type="dxa"/>
            <w:gridSpan w:val="4"/>
            <w:tcBorders>
              <w:left w:val="single" w:color="000000" w:sz="2" w:space="0"/>
              <w:bottom w:val="nil"/>
              <w:right w:val="single" w:color="000000" w:sz="2" w:space="0"/>
            </w:tcBorders>
            <w:vAlign w:val="top"/>
          </w:tcPr>
          <w:p>
            <w:pPr>
              <w:pStyle w:val="8"/>
              <w:spacing w:before="48" w:line="193" w:lineRule="auto"/>
              <w:ind w:left="8"/>
            </w:pPr>
            <w:r>
              <w:rPr>
                <w:spacing w:val="-9"/>
              </w:rPr>
              <w:t>披露的信息，</w:t>
            </w:r>
          </w:p>
        </w:tc>
        <w:tc>
          <w:tcPr>
            <w:tcW w:w="489" w:type="dxa"/>
            <w:gridSpan w:val="2"/>
            <w:tcBorders>
              <w:left w:val="single" w:color="000000" w:sz="2" w:space="0"/>
              <w:bottom w:val="single" w:color="000000" w:sz="2" w:space="0"/>
              <w:right w:val="single" w:color="000000" w:sz="2" w:space="0"/>
            </w:tcBorders>
            <w:shd w:val="clear" w:color="auto" w:fill="D9D9D9"/>
            <w:vAlign w:val="top"/>
          </w:tcPr>
          <w:p>
            <w:pPr>
              <w:pStyle w:val="8"/>
              <w:spacing w:before="48" w:line="193" w:lineRule="auto"/>
              <w:jc w:val="right"/>
            </w:pPr>
            <w:r>
              <w:rPr>
                <w:spacing w:val="-12"/>
              </w:rPr>
              <w:t>必须</w:t>
            </w:r>
          </w:p>
        </w:tc>
        <w:tc>
          <w:tcPr>
            <w:tcW w:w="1133" w:type="dxa"/>
            <w:tcBorders>
              <w:left w:val="single" w:color="000000" w:sz="2" w:space="0"/>
              <w:bottom w:val="nil"/>
            </w:tcBorders>
            <w:vAlign w:val="top"/>
          </w:tcPr>
          <w:p>
            <w:pPr>
              <w:pStyle w:val="8"/>
              <w:spacing w:before="48" w:line="193" w:lineRule="auto"/>
              <w:ind w:left="17"/>
            </w:pPr>
            <w:r>
              <w:rPr>
                <w:spacing w:val="-4"/>
              </w:rPr>
              <w:t>真实、准</w:t>
            </w:r>
          </w:p>
        </w:tc>
        <w:tc>
          <w:tcPr>
            <w:tcW w:w="6808" w:type="dxa"/>
            <w:vMerge w:val="restart"/>
            <w:tcBorders>
              <w:bottom w:val="nil"/>
            </w:tcBorders>
            <w:vAlign w:val="top"/>
          </w:tcPr>
          <w:p>
            <w:pPr>
              <w:pStyle w:val="8"/>
              <w:spacing w:before="36" w:line="226" w:lineRule="auto"/>
              <w:ind w:left="11" w:right="6" w:firstLine="480"/>
              <w:rPr>
                <w:rFonts w:ascii="黑体" w:hAnsi="黑体" w:eastAsia="黑体" w:cs="黑体"/>
              </w:rPr>
            </w:pPr>
            <w:r>
              <w:rPr>
                <w:rFonts w:ascii="黑体" w:hAnsi="黑体" w:eastAsia="黑体" w:cs="黑体"/>
                <w:spacing w:val="2"/>
              </w:rPr>
              <w:t xml:space="preserve">第七十八条  </w:t>
            </w:r>
            <w:r>
              <w:rPr>
                <w:spacing w:val="2"/>
              </w:rPr>
              <w:t>发行人</w:t>
            </w:r>
            <w:r>
              <w:rPr>
                <w:rFonts w:ascii="黑体" w:hAnsi="黑体" w:eastAsia="黑体" w:cs="黑体"/>
                <w:spacing w:val="2"/>
              </w:rPr>
              <w:t>及法律、行政法规和国务院证券</w:t>
            </w:r>
            <w:r>
              <w:rPr>
                <w:rFonts w:ascii="黑体" w:hAnsi="黑体" w:eastAsia="黑体" w:cs="黑体"/>
                <w:spacing w:val="1"/>
              </w:rPr>
              <w:t>监督管</w:t>
            </w:r>
            <w:r>
              <w:rPr>
                <w:rFonts w:ascii="黑体" w:hAnsi="黑体" w:eastAsia="黑体" w:cs="黑体"/>
              </w:rPr>
              <w:t xml:space="preserve"> </w:t>
            </w:r>
            <w:r>
              <w:rPr>
                <w:rFonts w:ascii="黑体" w:hAnsi="黑体" w:eastAsia="黑体" w:cs="黑体"/>
                <w:spacing w:val="2"/>
              </w:rPr>
              <w:t>理机构规定的其他信息披露义务人，应当及时依法履行信</w:t>
            </w:r>
            <w:r>
              <w:rPr>
                <w:rFonts w:ascii="黑体" w:hAnsi="黑体" w:eastAsia="黑体" w:cs="黑体"/>
                <w:spacing w:val="1"/>
              </w:rPr>
              <w:t>息披露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7099" w:type="dxa"/>
            <w:gridSpan w:val="16"/>
            <w:tcBorders>
              <w:top w:val="nil"/>
            </w:tcBorders>
            <w:vAlign w:val="top"/>
          </w:tcPr>
          <w:p>
            <w:pPr>
              <w:pStyle w:val="8"/>
              <w:spacing w:before="53" w:line="208" w:lineRule="auto"/>
              <w:ind w:left="552"/>
            </w:pPr>
            <w:r>
              <w:rPr>
                <w:spacing w:val="-3"/>
              </w:rPr>
              <w:t>确、完整，不得有虚假记载、误导性陈述或者重大遗漏。</w:t>
            </w:r>
          </w:p>
        </w:tc>
        <w:tc>
          <w:tcPr>
            <w:tcW w:w="6808" w:type="dxa"/>
            <w:vMerge w:val="continue"/>
            <w:tcBorders>
              <w:top w:val="nil"/>
            </w:tcBorders>
            <w:vAlign w:val="top"/>
          </w:tcPr>
          <w:p>
            <w:pPr>
              <w:rPr>
                <w:rFonts w:ascii="Arial"/>
                <w:sz w:val="21"/>
              </w:rPr>
            </w:pPr>
          </w:p>
        </w:tc>
      </w:tr>
    </w:tbl>
    <w:p>
      <w:pPr>
        <w:spacing w:line="111" w:lineRule="exact"/>
        <w:rPr>
          <w:rFonts w:ascii="Arial"/>
          <w:sz w:val="9"/>
        </w:rPr>
      </w:pPr>
    </w:p>
    <w:p>
      <w:pPr>
        <w:spacing w:line="111" w:lineRule="exact"/>
        <w:rPr>
          <w:rFonts w:ascii="Arial" w:hAnsi="Arial" w:eastAsia="Arial" w:cs="Arial"/>
          <w:sz w:val="9"/>
          <w:szCs w:val="9"/>
        </w:rPr>
        <w:sectPr>
          <w:footerReference r:id="rId26"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180"/>
        <w:gridCol w:w="276"/>
        <w:gridCol w:w="473"/>
        <w:gridCol w:w="940"/>
        <w:gridCol w:w="739"/>
        <w:gridCol w:w="221"/>
        <w:gridCol w:w="259"/>
        <w:gridCol w:w="480"/>
        <w:gridCol w:w="463"/>
        <w:gridCol w:w="248"/>
        <w:gridCol w:w="489"/>
        <w:gridCol w:w="803"/>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7094" w:type="dxa"/>
            <w:gridSpan w:val="13"/>
            <w:tcBorders>
              <w:top w:val="single" w:color="000000" w:sz="6" w:space="0"/>
              <w:left w:val="single" w:color="000000" w:sz="6" w:space="0"/>
              <w:bottom w:val="single" w:color="000000" w:sz="6" w:space="0"/>
              <w:right w:val="single" w:color="000000" w:sz="6" w:space="0"/>
            </w:tcBorders>
            <w:vAlign w:val="top"/>
          </w:tcPr>
          <w:p>
            <w:pPr>
              <w:rPr>
                <w:rFonts w:ascii="Arial"/>
                <w:sz w:val="21"/>
              </w:rPr>
            </w:pPr>
          </w:p>
        </w:tc>
        <w:tc>
          <w:tcPr>
            <w:tcW w:w="6813" w:type="dxa"/>
            <w:tcBorders>
              <w:top w:val="single" w:color="000000" w:sz="6" w:space="0"/>
              <w:left w:val="single" w:color="000000" w:sz="6" w:space="0"/>
              <w:bottom w:val="single" w:color="000000" w:sz="6" w:space="0"/>
              <w:right w:val="single" w:color="000000" w:sz="6" w:space="0"/>
            </w:tcBorders>
            <w:vAlign w:val="top"/>
          </w:tcPr>
          <w:p>
            <w:pPr>
              <w:spacing w:before="40" w:line="221" w:lineRule="auto"/>
              <w:ind w:left="21"/>
              <w:rPr>
                <w:rFonts w:ascii="黑体" w:hAnsi="黑体" w:eastAsia="黑体" w:cs="黑体"/>
                <w:sz w:val="24"/>
                <w:szCs w:val="24"/>
              </w:rPr>
            </w:pPr>
            <w:r>
              <w:rPr>
                <w:rFonts w:ascii="黑体" w:hAnsi="黑体" w:eastAsia="黑体" w:cs="黑体"/>
                <w:spacing w:val="-10"/>
                <w:sz w:val="24"/>
                <w:szCs w:val="24"/>
              </w:rPr>
              <w:t>义务。</w:t>
            </w:r>
          </w:p>
          <w:p>
            <w:pPr>
              <w:pStyle w:val="8"/>
              <w:spacing w:before="23" w:line="226" w:lineRule="auto"/>
              <w:ind w:left="20" w:right="6" w:firstLine="477"/>
            </w:pPr>
            <w:r>
              <w:rPr>
                <w:rFonts w:ascii="黑体" w:hAnsi="黑体" w:eastAsia="黑体" w:cs="黑体"/>
                <w:spacing w:val="-3"/>
              </w:rPr>
              <w:t>信息披露义务人披露的信息，应当</w:t>
            </w:r>
            <w:r>
              <w:rPr>
                <w:spacing w:val="-3"/>
              </w:rPr>
              <w:t xml:space="preserve">真实、准确、完整， </w:t>
            </w:r>
            <w:r>
              <w:rPr>
                <w:rFonts w:ascii="黑体" w:hAnsi="黑体" w:eastAsia="黑体" w:cs="黑体"/>
                <w:spacing w:val="-3"/>
              </w:rPr>
              <w:t>简明</w:t>
            </w:r>
            <w:r>
              <w:rPr>
                <w:rFonts w:ascii="黑体" w:hAnsi="黑体" w:eastAsia="黑体" w:cs="黑体"/>
                <w:spacing w:val="13"/>
              </w:rPr>
              <w:t xml:space="preserve"> </w:t>
            </w:r>
            <w:r>
              <w:rPr>
                <w:rFonts w:ascii="黑体" w:hAnsi="黑体" w:eastAsia="黑体" w:cs="黑体"/>
                <w:spacing w:val="-2"/>
              </w:rPr>
              <w:t>清晰，通俗易懂</w:t>
            </w:r>
            <w:r>
              <w:rPr>
                <w:spacing w:val="-2"/>
              </w:rPr>
              <w:t>，不得有虚假记载、误导性陈述或者重</w:t>
            </w:r>
            <w:r>
              <w:rPr>
                <w:spacing w:val="-3"/>
              </w:rPr>
              <w:t>大遗漏。</w:t>
            </w:r>
          </w:p>
          <w:p>
            <w:pPr>
              <w:spacing w:before="36" w:line="226" w:lineRule="auto"/>
              <w:ind w:left="15" w:right="7" w:firstLine="480"/>
              <w:rPr>
                <w:rFonts w:ascii="黑体" w:hAnsi="黑体" w:eastAsia="黑体" w:cs="黑体"/>
                <w:sz w:val="24"/>
                <w:szCs w:val="24"/>
              </w:rPr>
            </w:pPr>
            <w:r>
              <w:rPr>
                <w:rFonts w:ascii="黑体" w:hAnsi="黑体" w:eastAsia="黑体" w:cs="黑体"/>
                <w:spacing w:val="-3"/>
                <w:sz w:val="24"/>
                <w:szCs w:val="24"/>
              </w:rPr>
              <w:t>证券同时在境内境外公开发行、交易的， 其信息披露义务人</w:t>
            </w:r>
            <w:r>
              <w:rPr>
                <w:rFonts w:ascii="黑体" w:hAnsi="黑体" w:eastAsia="黑体" w:cs="黑体"/>
                <w:spacing w:val="13"/>
                <w:sz w:val="24"/>
                <w:szCs w:val="24"/>
              </w:rPr>
              <w:t xml:space="preserve"> </w:t>
            </w:r>
            <w:r>
              <w:rPr>
                <w:rFonts w:ascii="黑体" w:hAnsi="黑体" w:eastAsia="黑体" w:cs="黑体"/>
                <w:spacing w:val="-2"/>
                <w:sz w:val="24"/>
                <w:szCs w:val="24"/>
              </w:rPr>
              <w:t>在境外披露的信息，应当在境内同时披露。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7094" w:type="dxa"/>
            <w:gridSpan w:val="13"/>
            <w:tcBorders>
              <w:top w:val="single" w:color="000000" w:sz="6" w:space="0"/>
              <w:left w:val="single" w:color="000000" w:sz="6" w:space="0"/>
              <w:bottom w:val="single" w:color="000000" w:sz="6" w:space="0"/>
              <w:right w:val="single" w:color="000000" w:sz="6" w:space="0"/>
            </w:tcBorders>
            <w:vAlign w:val="top"/>
          </w:tcPr>
          <w:p>
            <w:pPr>
              <w:pStyle w:val="8"/>
              <w:spacing w:before="16" w:line="234" w:lineRule="auto"/>
              <w:ind w:left="16" w:firstLine="496"/>
              <w:jc w:val="both"/>
            </w:pPr>
            <w:r>
              <w:rPr>
                <w:rFonts w:ascii="黑体" w:hAnsi="黑体" w:eastAsia="黑体" w:cs="黑体"/>
                <w:spacing w:val="3"/>
              </w:rPr>
              <w:t xml:space="preserve">第六十四条  </w:t>
            </w:r>
            <w:r>
              <w:rPr>
                <w:spacing w:val="3"/>
              </w:rPr>
              <w:t>经国务院证券监督管理机构核准依法公开发行股</w:t>
            </w:r>
            <w:r>
              <w:t xml:space="preserve"> </w:t>
            </w:r>
            <w:r>
              <w:rPr>
                <w:spacing w:val="3"/>
              </w:rPr>
              <w:t>票，或者经国务院授权的部门核准依法公开发行公司债券，应当公</w:t>
            </w:r>
            <w:r>
              <w:rPr>
                <w:spacing w:val="14"/>
              </w:rPr>
              <w:t xml:space="preserve"> </w:t>
            </w:r>
            <w:r>
              <w:rPr>
                <w:spacing w:val="3"/>
              </w:rPr>
              <w:t>告招股说明书、公司债券募集办法。依法公开发行新股或者公司债</w:t>
            </w:r>
            <w:r>
              <w:rPr>
                <w:spacing w:val="14"/>
              </w:rPr>
              <w:t xml:space="preserve"> </w:t>
            </w:r>
            <w:r>
              <w:rPr>
                <w:spacing w:val="-5"/>
              </w:rPr>
              <w:t>券的，还应当公告财务会计报告。</w:t>
            </w:r>
          </w:p>
        </w:tc>
        <w:tc>
          <w:tcPr>
            <w:tcW w:w="6813" w:type="dxa"/>
            <w:tcBorders>
              <w:top w:val="single" w:color="000000" w:sz="6" w:space="0"/>
              <w:left w:val="single" w:color="000000" w:sz="6" w:space="0"/>
              <w:bottom w:val="single" w:color="000000" w:sz="6" w:space="0"/>
              <w:right w:val="single" w:color="000000" w:sz="6" w:space="0"/>
            </w:tcBorders>
            <w:vAlign w:val="top"/>
          </w:tcPr>
          <w:p>
            <w:pPr>
              <w:spacing w:before="15" w:line="222" w:lineRule="auto"/>
              <w:ind w:left="532"/>
              <w:rPr>
                <w:rFonts w:ascii="黑体" w:hAnsi="黑体" w:eastAsia="黑体" w:cs="黑体"/>
                <w:sz w:val="24"/>
                <w:szCs w:val="24"/>
              </w:rPr>
            </w:pPr>
            <w:r>
              <w:rPr>
                <w:rFonts w:ascii="黑体" w:hAnsi="黑体" w:eastAsia="黑体" w:cs="黑体"/>
                <w:spacing w:val="-7"/>
                <w:sz w:val="24"/>
                <w:szCs w:val="24"/>
              </w:rPr>
              <w:t>（删除）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094" w:type="dxa"/>
            <w:gridSpan w:val="13"/>
            <w:tcBorders>
              <w:top w:val="single" w:color="000000" w:sz="6" w:space="0"/>
              <w:left w:val="single" w:color="000000" w:sz="6" w:space="0"/>
              <w:right w:val="single" w:color="000000" w:sz="6" w:space="0"/>
            </w:tcBorders>
            <w:vAlign w:val="top"/>
          </w:tcPr>
          <w:p>
            <w:pPr>
              <w:pStyle w:val="8"/>
              <w:tabs>
                <w:tab w:val="left" w:pos="512"/>
              </w:tabs>
              <w:spacing w:line="232" w:lineRule="auto"/>
              <w:ind w:left="13"/>
            </w:pPr>
            <w:r>
              <w:pict>
                <v:shape id="_x0000_s1060" o:spid="_x0000_s1060" style="position:absolute;left:0pt;margin-left:292.5pt;margin-top:-0.65pt;height:0.5pt;width:12.15pt;mso-position-horizontal-relative:page;mso-position-vertical-relative:page;z-index:-251624448;mso-width-relative:page;mso-height-relative:page;" fillcolor="#000000" filled="t" stroked="f" coordsize="242,10" path="m0,0l242,0,242,9,0,9,0,0xe">
                  <v:path/>
                  <v:fill on="t" focussize="0,0"/>
                  <v:stroke on="f"/>
                  <v:imagedata o:title=""/>
                  <o:lock v:ext="edit"/>
                </v:shape>
              </w:pict>
            </w:r>
            <w:r>
              <w:pict>
                <v:shape id="_x0000_s1061" o:spid="_x0000_s1061" style="position:absolute;left:0pt;margin-left:329.85pt;margin-top:-0.65pt;height:0.5pt;width:24.3pt;mso-position-horizontal-relative:page;mso-position-vertical-relative:page;z-index:-251625472;mso-width-relative:page;mso-height-relative:page;" fillcolor="#000000" filled="t" stroked="f" coordsize="485,10" path="m0,0l485,0,485,9,0,9,0,0xe">
                  <v:path/>
                  <v:fill on="t" focussize="0,0"/>
                  <v:stroke on="f"/>
                  <v:imagedata o:title=""/>
                  <o:lock v:ext="edit"/>
                </v:shape>
              </w:pict>
            </w:r>
            <w:r>
              <w:rPr>
                <w:rFonts w:ascii="黑体" w:hAnsi="黑体" w:eastAsia="黑体" w:cs="黑体"/>
                <w:u w:val="single" w:color="auto"/>
              </w:rPr>
              <w:tab/>
            </w:r>
            <w:r>
              <w:rPr>
                <w:rFonts w:ascii="黑体" w:hAnsi="黑体" w:eastAsia="黑体" w:cs="黑体"/>
                <w:spacing w:val="-1"/>
                <w:u w:val="single" w:color="auto"/>
              </w:rPr>
              <w:t xml:space="preserve">第六十五条  </w:t>
            </w:r>
            <w:r>
              <w:rPr>
                <w:spacing w:val="-1"/>
                <w:u w:val="single" w:color="auto"/>
              </w:rPr>
              <w:t>上市公司和公司债券上市交</w:t>
            </w:r>
            <w:r>
              <w:rPr>
                <w:spacing w:val="-1"/>
              </w:rPr>
              <w:t>易的公司</w:t>
            </w:r>
            <w:r>
              <w:rPr>
                <w:spacing w:val="-106"/>
              </w:rPr>
              <w:t xml:space="preserve"> </w:t>
            </w:r>
            <w:r>
              <w:rPr>
                <w:position w:val="22"/>
              </w:rPr>
              <w:drawing>
                <wp:inline distT="0" distB="0" distL="0" distR="0">
                  <wp:extent cx="1905" cy="508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74"/>
                          <a:stretch>
                            <a:fillRect/>
                          </a:stretch>
                        </pic:blipFill>
                        <pic:spPr>
                          <a:xfrm>
                            <a:off x="0" y="0"/>
                            <a:ext cx="2032" cy="5565"/>
                          </a:xfrm>
                          <a:prstGeom prst="rect">
                            <a:avLst/>
                          </a:prstGeom>
                        </pic:spPr>
                      </pic:pic>
                    </a:graphicData>
                  </a:graphic>
                </wp:inline>
              </w:drawing>
            </w:r>
            <w:r>
              <w:rPr>
                <w:position w:val="-7"/>
              </w:rPr>
              <w:drawing>
                <wp:inline distT="0" distB="0" distL="0" distR="0">
                  <wp:extent cx="1905" cy="186055"/>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84"/>
                          <a:stretch>
                            <a:fillRect/>
                          </a:stretch>
                        </pic:blipFill>
                        <pic:spPr>
                          <a:xfrm>
                            <a:off x="0" y="0"/>
                            <a:ext cx="2032" cy="186458"/>
                          </a:xfrm>
                          <a:prstGeom prst="rect">
                            <a:avLst/>
                          </a:prstGeom>
                        </pic:spPr>
                      </pic:pic>
                    </a:graphicData>
                  </a:graphic>
                </wp:inline>
              </w:drawing>
            </w:r>
            <w:r>
              <w:rPr>
                <w:position w:val="-7"/>
              </w:rPr>
              <w:drawing>
                <wp:inline distT="0" distB="0" distL="0" distR="0">
                  <wp:extent cx="1905" cy="508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95"/>
                          <a:stretch>
                            <a:fillRect/>
                          </a:stretch>
                        </pic:blipFill>
                        <pic:spPr>
                          <a:xfrm>
                            <a:off x="0" y="0"/>
                            <a:ext cx="2032" cy="5565"/>
                          </a:xfrm>
                          <a:prstGeom prst="rect">
                            <a:avLst/>
                          </a:prstGeom>
                        </pic:spPr>
                      </pic:pic>
                    </a:graphicData>
                  </a:graphic>
                </wp:inline>
              </w:drawing>
            </w:r>
            <w:r>
              <w:rPr>
                <w:spacing w:val="-87"/>
                <w:u w:val="single" w:color="auto"/>
                <w:shd w:val="clear" w:fill="D9D9D9"/>
              </w:rPr>
              <w:t xml:space="preserve"> </w:t>
            </w:r>
            <w:r>
              <w:rPr>
                <w:spacing w:val="-1"/>
                <w:u w:val="single" w:color="auto"/>
                <w:shd w:val="clear" w:fill="D9D9D9"/>
              </w:rPr>
              <w:t>，</w:t>
            </w:r>
            <w:r>
              <w:rPr>
                <w:position w:val="22"/>
              </w:rPr>
              <w:drawing>
                <wp:inline distT="0" distB="0" distL="0" distR="0">
                  <wp:extent cx="1905" cy="508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75"/>
                          <a:stretch>
                            <a:fillRect/>
                          </a:stretch>
                        </pic:blipFill>
                        <pic:spPr>
                          <a:xfrm>
                            <a:off x="0" y="0"/>
                            <a:ext cx="2032" cy="5565"/>
                          </a:xfrm>
                          <a:prstGeom prst="rect">
                            <a:avLst/>
                          </a:prstGeom>
                        </pic:spPr>
                      </pic:pic>
                    </a:graphicData>
                  </a:graphic>
                </wp:inline>
              </w:drawing>
            </w:r>
            <w:r>
              <w:rPr>
                <w:position w:val="-7"/>
              </w:rPr>
              <w:drawing>
                <wp:inline distT="0" distB="0" distL="0" distR="0">
                  <wp:extent cx="1905" cy="186055"/>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03"/>
                          <a:stretch>
                            <a:fillRect/>
                          </a:stretch>
                        </pic:blipFill>
                        <pic:spPr>
                          <a:xfrm>
                            <a:off x="0" y="0"/>
                            <a:ext cx="2032" cy="186458"/>
                          </a:xfrm>
                          <a:prstGeom prst="rect">
                            <a:avLst/>
                          </a:prstGeom>
                        </pic:spPr>
                      </pic:pic>
                    </a:graphicData>
                  </a:graphic>
                </wp:inline>
              </w:drawing>
            </w:r>
            <w:r>
              <w:rPr>
                <w:position w:val="-7"/>
              </w:rPr>
              <w:drawing>
                <wp:inline distT="0" distB="0" distL="0" distR="0">
                  <wp:extent cx="1905" cy="508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04"/>
                          <a:stretch>
                            <a:fillRect/>
                          </a:stretch>
                        </pic:blipFill>
                        <pic:spPr>
                          <a:xfrm>
                            <a:off x="0" y="0"/>
                            <a:ext cx="2032" cy="5565"/>
                          </a:xfrm>
                          <a:prstGeom prst="rect">
                            <a:avLst/>
                          </a:prstGeom>
                        </pic:spPr>
                      </pic:pic>
                    </a:graphicData>
                  </a:graphic>
                </wp:inline>
              </w:drawing>
            </w:r>
            <w:r>
              <w:rPr>
                <w:spacing w:val="-105"/>
              </w:rPr>
              <w:t xml:space="preserve"> </w:t>
            </w:r>
            <w:r>
              <w:rPr>
                <w:spacing w:val="-1"/>
              </w:rPr>
              <w:t>应当</w:t>
            </w:r>
            <w:r>
              <w:rPr>
                <w:spacing w:val="-115"/>
              </w:rPr>
              <w:t xml:space="preserve"> </w:t>
            </w:r>
            <w:r>
              <w:rPr>
                <w:position w:val="22"/>
              </w:rPr>
              <w:drawing>
                <wp:inline distT="0" distB="0" distL="0" distR="0">
                  <wp:extent cx="1905" cy="508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75"/>
                          <a:stretch>
                            <a:fillRect/>
                          </a:stretch>
                        </pic:blipFill>
                        <pic:spPr>
                          <a:xfrm>
                            <a:off x="0" y="0"/>
                            <a:ext cx="2032" cy="5565"/>
                          </a:xfrm>
                          <a:prstGeom prst="rect">
                            <a:avLst/>
                          </a:prstGeom>
                        </pic:spPr>
                      </pic:pic>
                    </a:graphicData>
                  </a:graphic>
                </wp:inline>
              </w:drawing>
            </w:r>
            <w:r>
              <w:rPr>
                <w:position w:val="-7"/>
              </w:rPr>
              <w:drawing>
                <wp:inline distT="0" distB="0" distL="0" distR="0">
                  <wp:extent cx="1905" cy="186055"/>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03"/>
                          <a:stretch>
                            <a:fillRect/>
                          </a:stretch>
                        </pic:blipFill>
                        <pic:spPr>
                          <a:xfrm>
                            <a:off x="0" y="0"/>
                            <a:ext cx="2032" cy="186458"/>
                          </a:xfrm>
                          <a:prstGeom prst="rect">
                            <a:avLst/>
                          </a:prstGeom>
                        </pic:spPr>
                      </pic:pic>
                    </a:graphicData>
                  </a:graphic>
                </wp:inline>
              </w:drawing>
            </w:r>
            <w:r>
              <w:rPr>
                <w:position w:val="-7"/>
              </w:rPr>
              <w:drawing>
                <wp:inline distT="0" distB="0" distL="0" distR="0">
                  <wp:extent cx="1905" cy="508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04"/>
                          <a:stretch>
                            <a:fillRect/>
                          </a:stretch>
                        </pic:blipFill>
                        <pic:spPr>
                          <a:xfrm>
                            <a:off x="0" y="0"/>
                            <a:ext cx="2032" cy="5565"/>
                          </a:xfrm>
                          <a:prstGeom prst="rect">
                            <a:avLst/>
                          </a:prstGeom>
                        </pic:spPr>
                      </pic:pic>
                    </a:graphicData>
                  </a:graphic>
                </wp:inline>
              </w:drawing>
            </w:r>
            <w:r>
              <w:rPr>
                <w:spacing w:val="-108"/>
                <w:u w:val="single" w:color="auto"/>
                <w:shd w:val="clear" w:fill="D9D9D9"/>
              </w:rPr>
              <w:t xml:space="preserve"> </w:t>
            </w:r>
            <w:r>
              <w:rPr>
                <w:spacing w:val="-1"/>
                <w:u w:val="single" w:color="auto"/>
                <w:shd w:val="clear" w:fill="D9D9D9"/>
              </w:rPr>
              <w:t>在每</w:t>
            </w:r>
          </w:p>
          <w:p>
            <w:pPr>
              <w:pStyle w:val="8"/>
              <w:spacing w:before="9"/>
              <w:jc w:val="right"/>
            </w:pPr>
            <w:r>
              <w:rPr>
                <w:spacing w:val="-2"/>
                <w:shd w:val="clear" w:fill="D9D9D9"/>
              </w:rPr>
              <w:t>一会计年度的上半年结束之日起二个月内， 向</w:t>
            </w:r>
            <w:r>
              <w:rPr>
                <w:position w:val="-6"/>
              </w:rPr>
              <w:drawing>
                <wp:inline distT="0" distB="0" distL="0" distR="0">
                  <wp:extent cx="9525" cy="1981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88"/>
                          <a:stretch>
                            <a:fillRect/>
                          </a:stretch>
                        </pic:blipFill>
                        <pic:spPr>
                          <a:xfrm>
                            <a:off x="0" y="0"/>
                            <a:ext cx="9777" cy="198120"/>
                          </a:xfrm>
                          <a:prstGeom prst="rect">
                            <a:avLst/>
                          </a:prstGeom>
                        </pic:spPr>
                      </pic:pic>
                    </a:graphicData>
                  </a:graphic>
                </wp:inline>
              </w:drawing>
            </w:r>
            <w:r>
              <w:rPr>
                <w:spacing w:val="-2"/>
              </w:rPr>
              <w:t>国务院证券监督管理</w:t>
            </w:r>
          </w:p>
        </w:tc>
        <w:tc>
          <w:tcPr>
            <w:tcW w:w="6813" w:type="dxa"/>
            <w:vMerge w:val="restart"/>
            <w:tcBorders>
              <w:top w:val="single" w:color="000000" w:sz="6" w:space="0"/>
              <w:left w:val="single" w:color="000000" w:sz="6" w:space="0"/>
              <w:bottom w:val="nil"/>
              <w:right w:val="single" w:color="000000" w:sz="6" w:space="0"/>
            </w:tcBorders>
            <w:vAlign w:val="top"/>
          </w:tcPr>
          <w:p>
            <w:pPr>
              <w:pStyle w:val="8"/>
              <w:spacing w:before="3" w:line="233" w:lineRule="auto"/>
              <w:ind w:left="16" w:right="4" w:firstLine="500"/>
              <w:jc w:val="both"/>
              <w:rPr>
                <w:rFonts w:ascii="黑体" w:hAnsi="黑体" w:eastAsia="黑体" w:cs="黑体"/>
              </w:rPr>
            </w:pPr>
            <w:r>
              <w:rPr>
                <w:rFonts w:ascii="黑体" w:hAnsi="黑体" w:eastAsia="黑体" w:cs="黑体"/>
                <w:spacing w:val="1"/>
              </w:rPr>
              <w:t>第七十九条  上市公司、公司债券上市交易的公司、股票在</w:t>
            </w:r>
            <w:r>
              <w:rPr>
                <w:rFonts w:ascii="黑体" w:hAnsi="黑体" w:eastAsia="黑体" w:cs="黑体"/>
                <w:spacing w:val="8"/>
              </w:rPr>
              <w:t xml:space="preserve"> </w:t>
            </w:r>
            <w:r>
              <w:rPr>
                <w:rFonts w:ascii="黑体" w:hAnsi="黑体" w:eastAsia="黑体" w:cs="黑体"/>
                <w:spacing w:val="2"/>
              </w:rPr>
              <w:t>国务院批准的其他全国性证券交易场所交易的公司，</w:t>
            </w:r>
            <w:r>
              <w:rPr>
                <w:spacing w:val="2"/>
              </w:rPr>
              <w:t>应当按照国</w:t>
            </w:r>
            <w:r>
              <w:t xml:space="preserve"> </w:t>
            </w:r>
            <w:r>
              <w:rPr>
                <w:spacing w:val="2"/>
              </w:rPr>
              <w:t>务院证券监督管理机构和证券交易</w:t>
            </w:r>
            <w:r>
              <w:rPr>
                <w:rFonts w:ascii="黑体" w:hAnsi="黑体" w:eastAsia="黑体" w:cs="黑体"/>
                <w:spacing w:val="2"/>
              </w:rPr>
              <w:t>场</w:t>
            </w:r>
            <w:r>
              <w:rPr>
                <w:spacing w:val="2"/>
              </w:rPr>
              <w:t>所</w:t>
            </w:r>
            <w:r>
              <w:rPr>
                <w:rFonts w:ascii="黑体" w:hAnsi="黑体" w:eastAsia="黑体" w:cs="黑体"/>
                <w:spacing w:val="2"/>
              </w:rPr>
              <w:t>规定的内容和格式编制定</w:t>
            </w:r>
            <w:r>
              <w:rPr>
                <w:rFonts w:ascii="黑体" w:hAnsi="黑体" w:eastAsia="黑体" w:cs="黑体"/>
              </w:rPr>
              <w:t xml:space="preserve"> </w:t>
            </w:r>
            <w:r>
              <w:rPr>
                <w:rFonts w:ascii="黑体" w:hAnsi="黑体" w:eastAsia="黑体" w:cs="黑体"/>
                <w:spacing w:val="-3"/>
              </w:rPr>
              <w:t>期报告，并按照以下规定报送和公告：</w:t>
            </w:r>
          </w:p>
          <w:p>
            <w:pPr>
              <w:spacing w:before="33" w:line="231" w:lineRule="auto"/>
              <w:ind w:left="17" w:right="5" w:firstLine="515"/>
              <w:jc w:val="both"/>
              <w:rPr>
                <w:rFonts w:ascii="黑体" w:hAnsi="黑体" w:eastAsia="黑体" w:cs="黑体"/>
                <w:sz w:val="24"/>
                <w:szCs w:val="24"/>
              </w:rPr>
            </w:pPr>
            <w:r>
              <w:rPr>
                <w:rFonts w:ascii="黑体" w:hAnsi="黑体" w:eastAsia="黑体" w:cs="黑体"/>
                <w:sz w:val="24"/>
                <w:szCs w:val="24"/>
              </w:rPr>
              <w:t>（一）在每一会计年度结束之日起四个月内，报送并公告年</w:t>
            </w:r>
            <w:r>
              <w:rPr>
                <w:rFonts w:ascii="黑体" w:hAnsi="黑体" w:eastAsia="黑体" w:cs="黑体"/>
                <w:spacing w:val="17"/>
                <w:sz w:val="24"/>
                <w:szCs w:val="24"/>
              </w:rPr>
              <w:t xml:space="preserve"> </w:t>
            </w:r>
            <w:r>
              <w:rPr>
                <w:rFonts w:ascii="黑体" w:hAnsi="黑体" w:eastAsia="黑体" w:cs="黑体"/>
                <w:spacing w:val="-2"/>
                <w:sz w:val="24"/>
                <w:szCs w:val="24"/>
              </w:rPr>
              <w:t>度报告， 其中的年度财务会计报告应当经符合</w:t>
            </w:r>
            <w:r>
              <w:rPr>
                <w:rFonts w:ascii="黑体" w:hAnsi="黑体" w:eastAsia="黑体" w:cs="黑体"/>
                <w:spacing w:val="-3"/>
                <w:sz w:val="24"/>
                <w:szCs w:val="24"/>
              </w:rPr>
              <w:t>本法规定的会计师</w:t>
            </w:r>
            <w:r>
              <w:rPr>
                <w:rFonts w:ascii="黑体" w:hAnsi="黑体" w:eastAsia="黑体" w:cs="黑体"/>
                <w:sz w:val="24"/>
                <w:szCs w:val="24"/>
              </w:rPr>
              <w:t xml:space="preserve"> </w:t>
            </w:r>
            <w:r>
              <w:rPr>
                <w:rFonts w:ascii="黑体" w:hAnsi="黑体" w:eastAsia="黑体" w:cs="黑体"/>
                <w:spacing w:val="-8"/>
                <w:sz w:val="24"/>
                <w:szCs w:val="24"/>
              </w:rPr>
              <w:t>事务所审计；</w:t>
            </w:r>
          </w:p>
          <w:p>
            <w:pPr>
              <w:spacing w:before="33" w:line="231" w:lineRule="auto"/>
              <w:ind w:left="20" w:right="7" w:firstLine="512"/>
              <w:jc w:val="both"/>
              <w:rPr>
                <w:rFonts w:ascii="黑体" w:hAnsi="黑体" w:eastAsia="黑体" w:cs="黑体"/>
                <w:sz w:val="24"/>
                <w:szCs w:val="24"/>
              </w:rPr>
            </w:pPr>
            <w:r>
              <w:rPr>
                <w:rFonts w:ascii="黑体" w:hAnsi="黑体" w:eastAsia="黑体" w:cs="黑体"/>
                <w:spacing w:val="-4"/>
                <w:sz w:val="24"/>
                <w:szCs w:val="24"/>
              </w:rPr>
              <w:t>（二）在每一会计年度的上半年结束之日起二个月内， 报送</w:t>
            </w:r>
            <w:r>
              <w:rPr>
                <w:rFonts w:ascii="黑体" w:hAnsi="黑体" w:eastAsia="黑体" w:cs="黑体"/>
                <w:spacing w:val="4"/>
                <w:sz w:val="24"/>
                <w:szCs w:val="24"/>
              </w:rPr>
              <w:t xml:space="preserve"> </w:t>
            </w:r>
            <w:r>
              <w:rPr>
                <w:rFonts w:ascii="黑体" w:hAnsi="黑体" w:eastAsia="黑体" w:cs="黑体"/>
                <w:spacing w:val="-5"/>
                <w:sz w:val="24"/>
                <w:szCs w:val="24"/>
              </w:rPr>
              <w:t>并公告中期报告。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3" w:type="dxa"/>
            <w:gridSpan w:val="2"/>
            <w:tcBorders>
              <w:left w:val="single" w:color="000000" w:sz="6" w:space="0"/>
            </w:tcBorders>
            <w:vAlign w:val="top"/>
          </w:tcPr>
          <w:p>
            <w:pPr>
              <w:pStyle w:val="8"/>
              <w:spacing w:before="15" w:line="217" w:lineRule="auto"/>
              <w:ind w:left="11"/>
            </w:pPr>
            <w:r>
              <w:rPr>
                <w:spacing w:val="-1"/>
              </w:rPr>
              <w:t>机构和证券交易</w:t>
            </w:r>
          </w:p>
        </w:tc>
        <w:tc>
          <w:tcPr>
            <w:tcW w:w="2649" w:type="dxa"/>
            <w:gridSpan w:val="5"/>
            <w:shd w:val="clear" w:color="auto" w:fill="D9D9D9"/>
            <w:vAlign w:val="top"/>
          </w:tcPr>
          <w:p>
            <w:pPr>
              <w:pStyle w:val="8"/>
              <w:spacing w:before="15" w:line="217" w:lineRule="auto"/>
              <w:ind w:left="6"/>
            </w:pPr>
            <w:r>
              <w:rPr>
                <w:spacing w:val="-1"/>
              </w:rPr>
              <w:t>所报送记载以下内容的中</w:t>
            </w:r>
          </w:p>
        </w:tc>
        <w:tc>
          <w:tcPr>
            <w:tcW w:w="1202" w:type="dxa"/>
            <w:gridSpan w:val="3"/>
            <w:tcBorders>
              <w:top w:val="nil"/>
              <w:bottom w:val="nil"/>
            </w:tcBorders>
            <w:vAlign w:val="top"/>
          </w:tcPr>
          <w:p>
            <w:pPr>
              <w:pStyle w:val="8"/>
              <w:spacing w:before="15" w:line="215" w:lineRule="auto"/>
              <w:jc w:val="right"/>
            </w:pPr>
            <w:r>
              <w:rPr>
                <w:spacing w:val="-3"/>
              </w:rPr>
              <w:t>期报告，并</w:t>
            </w:r>
          </w:p>
        </w:tc>
        <w:tc>
          <w:tcPr>
            <w:tcW w:w="248" w:type="dxa"/>
            <w:shd w:val="clear" w:color="auto" w:fill="D9D9D9"/>
            <w:vAlign w:val="top"/>
          </w:tcPr>
          <w:p>
            <w:pPr>
              <w:pStyle w:val="8"/>
              <w:spacing w:before="14" w:line="220" w:lineRule="auto"/>
              <w:jc w:val="right"/>
            </w:pPr>
            <w:r>
              <w:rPr>
                <w:spacing w:val="-22"/>
              </w:rPr>
              <w:t>予</w:t>
            </w:r>
          </w:p>
        </w:tc>
        <w:tc>
          <w:tcPr>
            <w:tcW w:w="1292" w:type="dxa"/>
            <w:gridSpan w:val="2"/>
            <w:tcBorders>
              <w:top w:val="nil"/>
              <w:bottom w:val="nil"/>
              <w:right w:val="single" w:color="000000" w:sz="6" w:space="0"/>
            </w:tcBorders>
            <w:vAlign w:val="top"/>
          </w:tcPr>
          <w:p>
            <w:pPr>
              <w:pStyle w:val="8"/>
              <w:spacing w:before="15" w:line="218" w:lineRule="auto"/>
              <w:ind w:left="15"/>
            </w:pPr>
            <w:r>
              <w:rPr>
                <w:spacing w:val="-17"/>
              </w:rPr>
              <w:t>公告：</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3" w:type="dxa"/>
            <w:vMerge w:val="restart"/>
            <w:tcBorders>
              <w:top w:val="nil"/>
              <w:left w:val="single" w:color="000000" w:sz="6" w:space="0"/>
              <w:bottom w:val="nil"/>
            </w:tcBorders>
            <w:vAlign w:val="top"/>
          </w:tcPr>
          <w:p>
            <w:pPr>
              <w:rPr>
                <w:rFonts w:ascii="Arial"/>
                <w:sz w:val="21"/>
              </w:rPr>
            </w:pPr>
          </w:p>
        </w:tc>
        <w:tc>
          <w:tcPr>
            <w:tcW w:w="4088" w:type="dxa"/>
            <w:gridSpan w:val="7"/>
            <w:shd w:val="clear" w:color="auto" w:fill="D9D9D9"/>
            <w:vAlign w:val="top"/>
          </w:tcPr>
          <w:p>
            <w:pPr>
              <w:pStyle w:val="8"/>
              <w:spacing w:before="23" w:line="217" w:lineRule="auto"/>
            </w:pPr>
            <w:r>
              <w:rPr>
                <w:spacing w:val="-4"/>
              </w:rPr>
              <w:t>（一）公司财务会计报告和经营情况；</w:t>
            </w:r>
          </w:p>
        </w:tc>
        <w:tc>
          <w:tcPr>
            <w:tcW w:w="480" w:type="dxa"/>
            <w:vMerge w:val="restart"/>
            <w:tcBorders>
              <w:top w:val="nil"/>
              <w:left w:val="nil"/>
              <w:bottom w:val="nil"/>
              <w:right w:val="nil"/>
            </w:tcBorders>
            <w:vAlign w:val="top"/>
          </w:tcPr>
          <w:p>
            <w:pPr>
              <w:rPr>
                <w:rFonts w:ascii="Arial"/>
                <w:sz w:val="21"/>
              </w:rPr>
            </w:pPr>
          </w:p>
        </w:tc>
        <w:tc>
          <w:tcPr>
            <w:tcW w:w="2003" w:type="dxa"/>
            <w:gridSpan w:val="4"/>
            <w:vMerge w:val="restart"/>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23" w:type="dxa"/>
            <w:vMerge w:val="continue"/>
            <w:tcBorders>
              <w:top w:val="nil"/>
              <w:left w:val="single" w:color="000000" w:sz="6" w:space="0"/>
              <w:bottom w:val="nil"/>
            </w:tcBorders>
            <w:vAlign w:val="top"/>
          </w:tcPr>
          <w:p>
            <w:pPr>
              <w:rPr>
                <w:rFonts w:ascii="Arial"/>
                <w:sz w:val="21"/>
              </w:rPr>
            </w:pPr>
          </w:p>
        </w:tc>
        <w:tc>
          <w:tcPr>
            <w:tcW w:w="3608" w:type="dxa"/>
            <w:gridSpan w:val="5"/>
            <w:shd w:val="clear" w:color="auto" w:fill="D9D9D9"/>
            <w:vAlign w:val="top"/>
          </w:tcPr>
          <w:p>
            <w:pPr>
              <w:pStyle w:val="8"/>
              <w:spacing w:before="30" w:line="217" w:lineRule="auto"/>
            </w:pPr>
            <w:r>
              <w:rPr>
                <w:spacing w:val="-5"/>
              </w:rPr>
              <w:t>（二）涉及公司的重大诉讼事项；</w:t>
            </w:r>
          </w:p>
        </w:tc>
        <w:tc>
          <w:tcPr>
            <w:tcW w:w="480" w:type="dxa"/>
            <w:gridSpan w:val="2"/>
            <w:tcBorders>
              <w:right w:val="nil"/>
            </w:tcBorders>
            <w:vAlign w:val="top"/>
          </w:tcPr>
          <w:p>
            <w:pPr>
              <w:rPr>
                <w:rFonts w:ascii="Arial"/>
                <w:sz w:val="21"/>
              </w:rPr>
            </w:pPr>
          </w:p>
        </w:tc>
        <w:tc>
          <w:tcPr>
            <w:tcW w:w="480" w:type="dxa"/>
            <w:vMerge w:val="continue"/>
            <w:tcBorders>
              <w:top w:val="nil"/>
              <w:left w:val="nil"/>
              <w:right w:val="nil"/>
            </w:tcBorders>
            <w:vAlign w:val="top"/>
          </w:tcPr>
          <w:p>
            <w:pPr>
              <w:rPr>
                <w:rFonts w:ascii="Arial"/>
                <w:sz w:val="21"/>
              </w:rPr>
            </w:pPr>
          </w:p>
        </w:tc>
        <w:tc>
          <w:tcPr>
            <w:tcW w:w="2003" w:type="dxa"/>
            <w:gridSpan w:val="4"/>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23" w:type="dxa"/>
            <w:vMerge w:val="continue"/>
            <w:tcBorders>
              <w:top w:val="nil"/>
              <w:left w:val="single" w:color="000000" w:sz="6" w:space="0"/>
              <w:bottom w:val="nil"/>
            </w:tcBorders>
            <w:vAlign w:val="top"/>
          </w:tcPr>
          <w:p>
            <w:pPr>
              <w:rPr>
                <w:rFonts w:ascii="Arial"/>
                <w:sz w:val="21"/>
              </w:rPr>
            </w:pPr>
          </w:p>
        </w:tc>
        <w:tc>
          <w:tcPr>
            <w:tcW w:w="4568" w:type="dxa"/>
            <w:gridSpan w:val="8"/>
            <w:shd w:val="clear" w:color="auto" w:fill="D9D9D9"/>
            <w:vAlign w:val="top"/>
          </w:tcPr>
          <w:p>
            <w:pPr>
              <w:pStyle w:val="8"/>
              <w:spacing w:before="31" w:line="214" w:lineRule="auto"/>
            </w:pPr>
            <w:r>
              <w:rPr>
                <w:spacing w:val="-4"/>
              </w:rPr>
              <w:t>（三）已发行的股票、公司债券变动情况；</w:t>
            </w:r>
          </w:p>
        </w:tc>
        <w:tc>
          <w:tcPr>
            <w:tcW w:w="2003" w:type="dxa"/>
            <w:gridSpan w:val="4"/>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23" w:type="dxa"/>
            <w:vMerge w:val="continue"/>
            <w:tcBorders>
              <w:top w:val="nil"/>
              <w:left w:val="single" w:color="000000" w:sz="6" w:space="0"/>
              <w:bottom w:val="nil"/>
            </w:tcBorders>
            <w:vAlign w:val="top"/>
          </w:tcPr>
          <w:p>
            <w:pPr>
              <w:rPr>
                <w:rFonts w:ascii="Arial"/>
                <w:sz w:val="21"/>
              </w:rPr>
            </w:pPr>
          </w:p>
        </w:tc>
        <w:tc>
          <w:tcPr>
            <w:tcW w:w="4088" w:type="dxa"/>
            <w:gridSpan w:val="7"/>
            <w:shd w:val="clear" w:color="auto" w:fill="D9D9D9"/>
            <w:vAlign w:val="top"/>
          </w:tcPr>
          <w:p>
            <w:pPr>
              <w:pStyle w:val="8"/>
              <w:spacing w:before="39" w:line="217" w:lineRule="auto"/>
            </w:pPr>
            <w:r>
              <w:rPr>
                <w:spacing w:val="-4"/>
              </w:rPr>
              <w:t>（四）提交股东大会审议的重要事项；</w:t>
            </w:r>
          </w:p>
        </w:tc>
        <w:tc>
          <w:tcPr>
            <w:tcW w:w="480" w:type="dxa"/>
            <w:tcBorders>
              <w:right w:val="nil"/>
            </w:tcBorders>
            <w:vAlign w:val="top"/>
          </w:tcPr>
          <w:p>
            <w:pPr>
              <w:rPr>
                <w:rFonts w:ascii="Arial"/>
                <w:sz w:val="21"/>
              </w:rPr>
            </w:pPr>
          </w:p>
        </w:tc>
        <w:tc>
          <w:tcPr>
            <w:tcW w:w="2003" w:type="dxa"/>
            <w:gridSpan w:val="4"/>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3" w:type="dxa"/>
            <w:vMerge w:val="continue"/>
            <w:tcBorders>
              <w:top w:val="nil"/>
              <w:left w:val="single" w:color="000000" w:sz="6" w:space="0"/>
              <w:bottom w:val="nil"/>
            </w:tcBorders>
            <w:vAlign w:val="top"/>
          </w:tcPr>
          <w:p>
            <w:pPr>
              <w:rPr>
                <w:rFonts w:ascii="Arial"/>
                <w:sz w:val="21"/>
              </w:rPr>
            </w:pPr>
          </w:p>
        </w:tc>
        <w:tc>
          <w:tcPr>
            <w:tcW w:w="5279" w:type="dxa"/>
            <w:gridSpan w:val="10"/>
            <w:shd w:val="clear" w:color="auto" w:fill="D9D9D9"/>
            <w:vAlign w:val="top"/>
          </w:tcPr>
          <w:p>
            <w:pPr>
              <w:pStyle w:val="8"/>
              <w:spacing w:before="29" w:line="215" w:lineRule="auto"/>
            </w:pPr>
            <w:r>
              <w:rPr>
                <w:spacing w:val="-3"/>
              </w:rPr>
              <w:t>（五）国务院证券监督管理机构规定的其他事项。</w:t>
            </w:r>
          </w:p>
        </w:tc>
        <w:tc>
          <w:tcPr>
            <w:tcW w:w="1292" w:type="dxa"/>
            <w:gridSpan w:val="2"/>
            <w:tcBorders>
              <w:top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3" w:type="dxa"/>
            <w:vMerge w:val="continue"/>
            <w:tcBorders>
              <w:top w:val="nil"/>
              <w:left w:val="single" w:color="000000" w:sz="6" w:space="0"/>
            </w:tcBorders>
            <w:vAlign w:val="top"/>
          </w:tcPr>
          <w:p>
            <w:pPr>
              <w:rPr>
                <w:rFonts w:ascii="Arial"/>
                <w:sz w:val="21"/>
              </w:rPr>
            </w:pPr>
          </w:p>
        </w:tc>
        <w:tc>
          <w:tcPr>
            <w:tcW w:w="1456" w:type="dxa"/>
            <w:gridSpan w:val="2"/>
            <w:tcBorders>
              <w:left w:val="nil"/>
            </w:tcBorders>
            <w:vAlign w:val="top"/>
          </w:tcPr>
          <w:p>
            <w:pPr>
              <w:spacing w:before="36" w:line="212" w:lineRule="auto"/>
              <w:rPr>
                <w:rFonts w:ascii="黑体" w:hAnsi="黑体" w:eastAsia="黑体" w:cs="黑体"/>
                <w:sz w:val="24"/>
                <w:szCs w:val="24"/>
              </w:rPr>
            </w:pPr>
            <w:r>
              <w:rPr>
                <w:rFonts w:ascii="黑体" w:hAnsi="黑体" w:eastAsia="黑体" w:cs="黑体"/>
                <w:spacing w:val="-1"/>
                <w:sz w:val="24"/>
                <w:szCs w:val="24"/>
              </w:rPr>
              <w:t>第六十六条</w:t>
            </w:r>
          </w:p>
        </w:tc>
        <w:tc>
          <w:tcPr>
            <w:tcW w:w="5115" w:type="dxa"/>
            <w:gridSpan w:val="10"/>
            <w:tcBorders>
              <w:right w:val="single" w:color="000000" w:sz="6" w:space="0"/>
            </w:tcBorders>
            <w:shd w:val="clear" w:color="auto" w:fill="D9D9D9"/>
            <w:vAlign w:val="top"/>
          </w:tcPr>
          <w:p>
            <w:pPr>
              <w:pStyle w:val="8"/>
              <w:spacing w:before="36" w:line="212" w:lineRule="auto"/>
              <w:ind w:left="11"/>
            </w:pPr>
            <w:r>
              <w:rPr>
                <w:spacing w:val="2"/>
              </w:rPr>
              <w:t>上市公司和公司债券上市交易的公司，应当在每</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94" w:type="dxa"/>
            <w:gridSpan w:val="13"/>
            <w:tcBorders>
              <w:left w:val="single" w:color="000000" w:sz="6" w:space="0"/>
              <w:right w:val="single" w:color="000000" w:sz="6" w:space="0"/>
            </w:tcBorders>
            <w:shd w:val="clear" w:color="auto" w:fill="D9D9D9"/>
            <w:vAlign w:val="top"/>
          </w:tcPr>
          <w:p>
            <w:pPr>
              <w:pStyle w:val="8"/>
              <w:spacing w:before="41" w:line="206" w:lineRule="auto"/>
              <w:ind w:left="38"/>
            </w:pPr>
            <w:r>
              <w:rPr>
                <w:spacing w:val="-2"/>
              </w:rPr>
              <w:t>一会计年度结束之日起四个月内， 向国务院证券监督管理机构和证</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554" w:type="dxa"/>
            <w:gridSpan w:val="10"/>
            <w:tcBorders>
              <w:left w:val="single" w:color="000000" w:sz="6" w:space="0"/>
            </w:tcBorders>
            <w:shd w:val="clear" w:color="auto" w:fill="D9D9D9"/>
            <w:vAlign w:val="top"/>
          </w:tcPr>
          <w:p>
            <w:pPr>
              <w:pStyle w:val="8"/>
              <w:spacing w:before="48" w:line="200" w:lineRule="auto"/>
              <w:ind w:left="26"/>
            </w:pPr>
            <w:r>
              <w:rPr>
                <w:spacing w:val="-3"/>
              </w:rPr>
              <w:t>券交易所报送记载以下内容的年度报告，并予公告：</w:t>
            </w:r>
          </w:p>
        </w:tc>
        <w:tc>
          <w:tcPr>
            <w:tcW w:w="1540" w:type="dxa"/>
            <w:gridSpan w:val="3"/>
            <w:vMerge w:val="restart"/>
            <w:tcBorders>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23" w:type="dxa"/>
            <w:vMerge w:val="restart"/>
            <w:tcBorders>
              <w:left w:val="single" w:color="000000" w:sz="6" w:space="0"/>
              <w:bottom w:val="nil"/>
            </w:tcBorders>
            <w:vAlign w:val="top"/>
          </w:tcPr>
          <w:p>
            <w:pPr>
              <w:rPr>
                <w:rFonts w:ascii="Arial"/>
                <w:sz w:val="21"/>
              </w:rPr>
            </w:pPr>
          </w:p>
        </w:tc>
        <w:tc>
          <w:tcPr>
            <w:tcW w:w="1929" w:type="dxa"/>
            <w:gridSpan w:val="3"/>
            <w:shd w:val="clear" w:color="auto" w:fill="D9D9D9"/>
            <w:vAlign w:val="top"/>
          </w:tcPr>
          <w:p>
            <w:pPr>
              <w:pStyle w:val="8"/>
              <w:spacing w:before="55" w:line="200" w:lineRule="auto"/>
            </w:pPr>
            <w:r>
              <w:rPr>
                <w:spacing w:val="-8"/>
              </w:rPr>
              <w:t>（一）公司概况；</w:t>
            </w:r>
          </w:p>
        </w:tc>
        <w:tc>
          <w:tcPr>
            <w:tcW w:w="2159" w:type="dxa"/>
            <w:gridSpan w:val="4"/>
            <w:tcBorders>
              <w:right w:val="nil"/>
            </w:tcBorders>
            <w:vAlign w:val="top"/>
          </w:tcPr>
          <w:p>
            <w:pPr>
              <w:rPr>
                <w:rFonts w:ascii="Arial"/>
                <w:sz w:val="21"/>
              </w:rPr>
            </w:pPr>
          </w:p>
        </w:tc>
        <w:tc>
          <w:tcPr>
            <w:tcW w:w="943" w:type="dxa"/>
            <w:gridSpan w:val="2"/>
            <w:vMerge w:val="restart"/>
            <w:tcBorders>
              <w:left w:val="nil"/>
              <w:bottom w:val="nil"/>
              <w:right w:val="nil"/>
            </w:tcBorders>
            <w:vAlign w:val="top"/>
          </w:tcPr>
          <w:p>
            <w:pPr>
              <w:rPr>
                <w:rFonts w:ascii="Arial"/>
                <w:sz w:val="21"/>
              </w:rPr>
            </w:pPr>
          </w:p>
        </w:tc>
        <w:tc>
          <w:tcPr>
            <w:tcW w:w="1540" w:type="dxa"/>
            <w:gridSpan w:val="3"/>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23" w:type="dxa"/>
            <w:vMerge w:val="continue"/>
            <w:tcBorders>
              <w:top w:val="nil"/>
              <w:left w:val="single" w:color="000000" w:sz="6" w:space="0"/>
              <w:bottom w:val="nil"/>
            </w:tcBorders>
            <w:vAlign w:val="top"/>
          </w:tcPr>
          <w:p>
            <w:pPr>
              <w:rPr>
                <w:rFonts w:ascii="Arial"/>
                <w:sz w:val="21"/>
              </w:rPr>
            </w:pPr>
          </w:p>
        </w:tc>
        <w:tc>
          <w:tcPr>
            <w:tcW w:w="4088" w:type="dxa"/>
            <w:gridSpan w:val="7"/>
            <w:shd w:val="clear" w:color="auto" w:fill="D9D9D9"/>
            <w:vAlign w:val="top"/>
          </w:tcPr>
          <w:p>
            <w:pPr>
              <w:pStyle w:val="8"/>
              <w:spacing w:before="57" w:line="203" w:lineRule="auto"/>
            </w:pPr>
            <w:r>
              <w:rPr>
                <w:spacing w:val="-4"/>
              </w:rPr>
              <w:t>（二）公司财务会计报告和经营情况；</w:t>
            </w:r>
          </w:p>
        </w:tc>
        <w:tc>
          <w:tcPr>
            <w:tcW w:w="943" w:type="dxa"/>
            <w:gridSpan w:val="2"/>
            <w:vMerge w:val="continue"/>
            <w:tcBorders>
              <w:top w:val="nil"/>
              <w:left w:val="nil"/>
              <w:right w:val="nil"/>
            </w:tcBorders>
            <w:vAlign w:val="top"/>
          </w:tcPr>
          <w:p>
            <w:pPr>
              <w:rPr>
                <w:rFonts w:ascii="Arial"/>
                <w:sz w:val="21"/>
              </w:rPr>
            </w:pPr>
          </w:p>
        </w:tc>
        <w:tc>
          <w:tcPr>
            <w:tcW w:w="1540" w:type="dxa"/>
            <w:gridSpan w:val="3"/>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3" w:type="dxa"/>
            <w:vMerge w:val="continue"/>
            <w:tcBorders>
              <w:top w:val="nil"/>
              <w:left w:val="single" w:color="000000" w:sz="6" w:space="0"/>
              <w:bottom w:val="nil"/>
            </w:tcBorders>
            <w:vAlign w:val="top"/>
          </w:tcPr>
          <w:p>
            <w:pPr>
              <w:rPr>
                <w:rFonts w:ascii="Arial"/>
                <w:sz w:val="21"/>
              </w:rPr>
            </w:pPr>
          </w:p>
        </w:tc>
        <w:tc>
          <w:tcPr>
            <w:tcW w:w="5768" w:type="dxa"/>
            <w:gridSpan w:val="11"/>
            <w:shd w:val="clear" w:color="auto" w:fill="D9D9D9"/>
            <w:vAlign w:val="top"/>
          </w:tcPr>
          <w:p>
            <w:pPr>
              <w:pStyle w:val="8"/>
              <w:spacing w:before="52" w:line="197" w:lineRule="auto"/>
            </w:pPr>
            <w:r>
              <w:rPr>
                <w:spacing w:val="-3"/>
              </w:rPr>
              <w:t>（三）董事、监事、高级管理人员简介及其持股情况；</w:t>
            </w:r>
          </w:p>
        </w:tc>
        <w:tc>
          <w:tcPr>
            <w:tcW w:w="803" w:type="dxa"/>
            <w:tcBorders>
              <w:top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23" w:type="dxa"/>
            <w:vMerge w:val="continue"/>
            <w:tcBorders>
              <w:top w:val="nil"/>
              <w:left w:val="single" w:color="000000" w:sz="6" w:space="0"/>
            </w:tcBorders>
            <w:vAlign w:val="top"/>
          </w:tcPr>
          <w:p>
            <w:pPr>
              <w:rPr>
                <w:rFonts w:ascii="Arial"/>
                <w:sz w:val="21"/>
              </w:rPr>
            </w:pPr>
          </w:p>
        </w:tc>
        <w:tc>
          <w:tcPr>
            <w:tcW w:w="6571" w:type="dxa"/>
            <w:gridSpan w:val="12"/>
            <w:tcBorders>
              <w:right w:val="single" w:color="000000" w:sz="6" w:space="0"/>
            </w:tcBorders>
            <w:shd w:val="clear" w:color="auto" w:fill="D9D9D9"/>
            <w:vAlign w:val="top"/>
          </w:tcPr>
          <w:p>
            <w:pPr>
              <w:pStyle w:val="8"/>
              <w:spacing w:before="60" w:line="192" w:lineRule="auto"/>
            </w:pPr>
            <w:r>
              <w:rPr>
                <w:spacing w:val="-2"/>
              </w:rPr>
              <w:t>（四）已发行的股票、公司债券情况，</w:t>
            </w:r>
            <w:r>
              <w:rPr>
                <w:spacing w:val="-18"/>
              </w:rPr>
              <w:t xml:space="preserve"> </w:t>
            </w:r>
            <w:r>
              <w:rPr>
                <w:spacing w:val="-2"/>
              </w:rPr>
              <w:t>包括持有公司股份最多</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392" w:type="dxa"/>
            <w:gridSpan w:val="5"/>
            <w:tcBorders>
              <w:left w:val="single" w:color="000000" w:sz="6" w:space="0"/>
            </w:tcBorders>
            <w:shd w:val="clear" w:color="auto" w:fill="D9D9D9"/>
            <w:vAlign w:val="top"/>
          </w:tcPr>
          <w:p>
            <w:pPr>
              <w:pStyle w:val="8"/>
              <w:spacing w:before="65" w:line="187" w:lineRule="auto"/>
              <w:ind w:left="43"/>
            </w:pPr>
            <w:r>
              <w:rPr>
                <w:spacing w:val="-7"/>
              </w:rPr>
              <w:t>的前十名股东名单和持股数额；</w:t>
            </w:r>
          </w:p>
        </w:tc>
        <w:tc>
          <w:tcPr>
            <w:tcW w:w="2410" w:type="dxa"/>
            <w:gridSpan w:val="6"/>
            <w:vMerge w:val="restart"/>
            <w:tcBorders>
              <w:bottom w:val="nil"/>
              <w:right w:val="nil"/>
            </w:tcBorders>
            <w:vAlign w:val="top"/>
          </w:tcPr>
          <w:p>
            <w:pPr>
              <w:rPr>
                <w:rFonts w:ascii="Arial"/>
                <w:sz w:val="21"/>
              </w:rPr>
            </w:pPr>
          </w:p>
        </w:tc>
        <w:tc>
          <w:tcPr>
            <w:tcW w:w="1292" w:type="dxa"/>
            <w:gridSpan w:val="2"/>
            <w:vMerge w:val="restart"/>
            <w:tcBorders>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23" w:type="dxa"/>
            <w:vMerge w:val="restart"/>
            <w:tcBorders>
              <w:left w:val="single" w:color="000000" w:sz="6" w:space="0"/>
              <w:bottom w:val="nil"/>
            </w:tcBorders>
            <w:vAlign w:val="top"/>
          </w:tcPr>
          <w:p>
            <w:pPr>
              <w:rPr>
                <w:rFonts w:ascii="Arial"/>
                <w:sz w:val="21"/>
              </w:rPr>
            </w:pPr>
          </w:p>
        </w:tc>
        <w:tc>
          <w:tcPr>
            <w:tcW w:w="2869" w:type="dxa"/>
            <w:gridSpan w:val="4"/>
            <w:shd w:val="clear" w:color="auto" w:fill="D9D9D9"/>
            <w:vAlign w:val="top"/>
          </w:tcPr>
          <w:p>
            <w:pPr>
              <w:pStyle w:val="8"/>
              <w:spacing w:before="72" w:line="194" w:lineRule="auto"/>
            </w:pPr>
            <w:r>
              <w:rPr>
                <w:spacing w:val="-6"/>
              </w:rPr>
              <w:t>（五）公司的实际控制人；</w:t>
            </w:r>
          </w:p>
        </w:tc>
        <w:tc>
          <w:tcPr>
            <w:tcW w:w="2410" w:type="dxa"/>
            <w:gridSpan w:val="6"/>
            <w:vMerge w:val="continue"/>
            <w:tcBorders>
              <w:top w:val="nil"/>
              <w:right w:val="nil"/>
            </w:tcBorders>
            <w:vAlign w:val="top"/>
          </w:tcPr>
          <w:p>
            <w:pPr>
              <w:rPr>
                <w:rFonts w:ascii="Arial"/>
                <w:sz w:val="21"/>
              </w:rPr>
            </w:pPr>
          </w:p>
        </w:tc>
        <w:tc>
          <w:tcPr>
            <w:tcW w:w="1292" w:type="dxa"/>
            <w:gridSpan w:val="2"/>
            <w:vMerge w:val="continue"/>
            <w:tcBorders>
              <w:top w:val="nil"/>
              <w:left w:val="nil"/>
              <w:bottom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23" w:type="dxa"/>
            <w:vMerge w:val="continue"/>
            <w:tcBorders>
              <w:top w:val="nil"/>
              <w:left w:val="single" w:color="000000" w:sz="6" w:space="0"/>
              <w:bottom w:val="single" w:color="000000" w:sz="6" w:space="0"/>
            </w:tcBorders>
            <w:vAlign w:val="top"/>
          </w:tcPr>
          <w:p>
            <w:pPr>
              <w:rPr>
                <w:rFonts w:ascii="Arial"/>
                <w:sz w:val="21"/>
              </w:rPr>
            </w:pPr>
          </w:p>
        </w:tc>
        <w:tc>
          <w:tcPr>
            <w:tcW w:w="5279" w:type="dxa"/>
            <w:gridSpan w:val="10"/>
            <w:tcBorders>
              <w:bottom w:val="single" w:color="000000" w:sz="6" w:space="0"/>
            </w:tcBorders>
            <w:shd w:val="clear" w:color="auto" w:fill="D9D9D9"/>
            <w:vAlign w:val="top"/>
          </w:tcPr>
          <w:p>
            <w:pPr>
              <w:pStyle w:val="8"/>
              <w:spacing w:before="63" w:line="214" w:lineRule="auto"/>
            </w:pPr>
            <w:r>
              <w:rPr>
                <w:spacing w:val="-3"/>
              </w:rPr>
              <w:t>（六）国务院证券监督管理机构规定的其他事项。</w:t>
            </w:r>
          </w:p>
        </w:tc>
        <w:tc>
          <w:tcPr>
            <w:tcW w:w="1292" w:type="dxa"/>
            <w:gridSpan w:val="2"/>
            <w:vMerge w:val="continue"/>
            <w:tcBorders>
              <w:top w:val="nil"/>
              <w:left w:val="nil"/>
              <w:bottom w:val="single" w:color="000000" w:sz="6" w:space="0"/>
              <w:right w:val="single" w:color="000000" w:sz="6" w:space="0"/>
            </w:tcBorders>
            <w:vAlign w:val="top"/>
          </w:tcPr>
          <w:p>
            <w:pPr>
              <w:rPr>
                <w:rFonts w:ascii="Arial"/>
                <w:sz w:val="21"/>
              </w:rPr>
            </w:pP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7"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01"/>
        <w:gridCol w:w="492"/>
        <w:gridCol w:w="6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3" w:hRule="atLeast"/>
        </w:trPr>
        <w:tc>
          <w:tcPr>
            <w:tcW w:w="7093" w:type="dxa"/>
            <w:gridSpan w:val="2"/>
            <w:tcBorders>
              <w:bottom w:val="nil"/>
            </w:tcBorders>
            <w:vAlign w:val="top"/>
          </w:tcPr>
          <w:p>
            <w:pPr>
              <w:pStyle w:val="8"/>
              <w:spacing w:before="42" w:line="238" w:lineRule="auto"/>
              <w:ind w:left="11" w:firstLine="501"/>
              <w:jc w:val="both"/>
            </w:pPr>
            <w:r>
              <w:pict>
                <v:shape id="_x0000_s1062" o:spid="_x0000_s1062" o:spt="202" type="#_x0000_t202" style="position:absolute;left:0pt;margin-left:181.9pt;margin-top:15.05pt;height:18.6pt;width:27.35pt;z-index:2516930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50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01" w:type="dxa"/>
                              <w:vAlign w:val="top"/>
                            </w:tcPr>
                            <w:p>
                              <w:pPr>
                                <w:pStyle w:val="8"/>
                                <w:spacing w:before="41" w:line="207" w:lineRule="auto"/>
                                <w:ind w:left="19"/>
                              </w:pPr>
                              <w:r>
                                <w:rPr>
                                  <w:spacing w:val="-4"/>
                                  <w:shd w:val="clear" w:fill="D9D9D9"/>
                                </w:rPr>
                                <w:t>上市</w:t>
                              </w:r>
                            </w:p>
                          </w:tc>
                        </w:tr>
                      </w:tbl>
                      <w:p>
                        <w:pPr>
                          <w:rPr>
                            <w:rFonts w:ascii="Arial"/>
                            <w:sz w:val="21"/>
                          </w:rPr>
                        </w:pPr>
                      </w:p>
                    </w:txbxContent>
                  </v:textbox>
                </v:shape>
              </w:pict>
            </w:r>
            <w:r>
              <w:rPr>
                <w:rFonts w:ascii="黑体" w:hAnsi="黑体" w:eastAsia="黑体" w:cs="黑体"/>
                <w:spacing w:val="3"/>
              </w:rPr>
              <w:t xml:space="preserve">第六十七条  </w:t>
            </w:r>
            <w:r>
              <w:rPr>
                <w:spacing w:val="3"/>
              </w:rPr>
              <w:t>发生可能对上市公司股票交易价格产生较大</w:t>
            </w:r>
            <w:r>
              <w:rPr>
                <w:spacing w:val="2"/>
              </w:rPr>
              <w:t>影响</w:t>
            </w:r>
            <w:r>
              <w:t xml:space="preserve"> </w:t>
            </w:r>
            <w:r>
              <w:rPr>
                <w:spacing w:val="-1"/>
              </w:rPr>
              <w:t>的重大事件，投资者尚未得知时，     公司应当立即将有关该重大</w:t>
            </w:r>
            <w:r>
              <w:rPr>
                <w:spacing w:val="11"/>
              </w:rPr>
              <w:t xml:space="preserve"> </w:t>
            </w:r>
            <w:r>
              <w:rPr>
                <w:spacing w:val="12"/>
              </w:rPr>
              <w:t>事件的情况向国务院证券监督管理机构和证券交易所报送临时报</w:t>
            </w:r>
            <w:r>
              <w:rPr>
                <w:spacing w:val="7"/>
              </w:rPr>
              <w:t xml:space="preserve"> </w:t>
            </w:r>
            <w:r>
              <w:rPr>
                <w:spacing w:val="-1"/>
              </w:rPr>
              <w:t>告，并予公告， 说明事件的起因、目前的状态和可能产生的法律后</w:t>
            </w:r>
            <w:r>
              <w:rPr>
                <w:spacing w:val="15"/>
              </w:rPr>
              <w:t xml:space="preserve"> </w:t>
            </w:r>
            <w:r>
              <w:rPr>
                <w:spacing w:val="-15"/>
              </w:rPr>
              <w:t>果。</w:t>
            </w:r>
          </w:p>
          <w:p>
            <w:pPr>
              <w:pStyle w:val="8"/>
              <w:spacing w:before="41" w:line="216" w:lineRule="auto"/>
              <w:ind w:left="1738"/>
            </w:pPr>
            <w:r>
              <w:pict>
                <v:shape id="_x0000_s1063" o:spid="_x0000_s1063" o:spt="202" type="#_x0000_t202" style="position:absolute;left:0pt;margin-left:24.15pt;margin-top:-1.25pt;height:18.6pt;width:63pt;z-index:2516940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21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1214" w:type="dxa"/>
                              <w:vAlign w:val="top"/>
                            </w:tcPr>
                            <w:p>
                              <w:pPr>
                                <w:pStyle w:val="8"/>
                                <w:spacing w:before="41" w:line="207" w:lineRule="auto"/>
                                <w:jc w:val="right"/>
                              </w:pPr>
                              <w:r>
                                <w:rPr>
                                  <w:spacing w:val="-4"/>
                                  <w:shd w:val="clear" w:fill="D9D9D9"/>
                                </w:rPr>
                                <w:t>下列情况为</w:t>
                              </w:r>
                            </w:p>
                          </w:tc>
                        </w:tr>
                      </w:tbl>
                      <w:p>
                        <w:pPr>
                          <w:rPr>
                            <w:rFonts w:ascii="Arial"/>
                            <w:sz w:val="21"/>
                          </w:rPr>
                        </w:pPr>
                      </w:p>
                    </w:txbxContent>
                  </v:textbox>
                </v:shape>
              </w:pict>
            </w:r>
            <w:r>
              <w:rPr>
                <w:spacing w:val="-8"/>
              </w:rPr>
              <w:t>前款所称重大事件：</w:t>
            </w:r>
          </w:p>
          <w:p>
            <w:pPr>
              <w:pStyle w:val="8"/>
              <w:spacing w:before="39" w:line="211" w:lineRule="auto"/>
              <w:ind w:left="503"/>
            </w:pPr>
            <w:r>
              <w:rPr>
                <w:spacing w:val="-3"/>
              </w:rPr>
              <w:t>（一）公司的经营方针和经营范围的重大变化；</w:t>
            </w:r>
          </w:p>
          <w:tbl>
            <w:tblPr>
              <w:tblStyle w:val="7"/>
              <w:tblW w:w="5774" w:type="dxa"/>
              <w:tblInd w:w="5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774" w:type="dxa"/>
                  <w:vAlign w:val="top"/>
                </w:tcPr>
                <w:p>
                  <w:pPr>
                    <w:pStyle w:val="8"/>
                    <w:tabs>
                      <w:tab w:val="left" w:pos="123"/>
                    </w:tabs>
                    <w:spacing w:before="41" w:line="207" w:lineRule="auto"/>
                    <w:ind w:left="4"/>
                  </w:pPr>
                  <w:r>
                    <w:rPr>
                      <w:shd w:val="clear" w:fill="D9D9D9"/>
                    </w:rPr>
                    <w:tab/>
                  </w:r>
                  <w:r>
                    <w:rPr>
                      <w:spacing w:val="-13"/>
                      <w:shd w:val="clear" w:fill="D9D9D9"/>
                    </w:rPr>
                    <w:t>（二）公司的重大投资行为和重大的购置财产的决定；</w:t>
                  </w:r>
                  <w:r>
                    <w:rPr>
                      <w:spacing w:val="4"/>
                      <w:shd w:val="clear" w:fill="D9D9D9"/>
                    </w:rPr>
                    <w:t xml:space="preserve">  </w:t>
                  </w:r>
                </w:p>
              </w:tc>
            </w:tr>
          </w:tbl>
          <w:p>
            <w:pPr>
              <w:pStyle w:val="8"/>
              <w:spacing w:before="33" w:line="229" w:lineRule="auto"/>
              <w:ind w:left="19" w:right="13" w:firstLine="484"/>
            </w:pPr>
            <w:r>
              <w:rPr>
                <w:spacing w:val="3"/>
              </w:rPr>
              <w:t>（三）公司订立重要合同，可能对公司的资产、负债、权</w:t>
            </w:r>
            <w:r>
              <w:rPr>
                <w:spacing w:val="2"/>
              </w:rPr>
              <w:t>益和</w:t>
            </w:r>
            <w:r>
              <w:t xml:space="preserve"> </w:t>
            </w:r>
            <w:r>
              <w:rPr>
                <w:spacing w:val="-7"/>
              </w:rPr>
              <w:t>经营成果产生重要影响；</w:t>
            </w:r>
          </w:p>
          <w:p>
            <w:pPr>
              <w:pStyle w:val="8"/>
              <w:spacing w:before="28" w:line="228" w:lineRule="auto"/>
              <w:ind w:left="20" w:right="13" w:firstLine="482"/>
            </w:pPr>
            <w:r>
              <w:rPr>
                <w:spacing w:val="12"/>
              </w:rPr>
              <w:t>（四）公司发生重大债务和未能清偿到期重大债务的违约情</w:t>
            </w:r>
            <w:r>
              <w:rPr>
                <w:spacing w:val="7"/>
              </w:rPr>
              <w:t xml:space="preserve"> </w:t>
            </w:r>
            <w:r>
              <w:rPr>
                <w:spacing w:val="-20"/>
              </w:rPr>
              <w:t>况；</w:t>
            </w:r>
          </w:p>
          <w:p>
            <w:pPr>
              <w:pStyle w:val="8"/>
              <w:spacing w:before="30" w:line="217" w:lineRule="auto"/>
              <w:ind w:left="503"/>
            </w:pPr>
            <w:r>
              <w:rPr>
                <w:spacing w:val="-4"/>
              </w:rPr>
              <w:t>（五）公司发生重大亏损或者重大损失；</w:t>
            </w:r>
          </w:p>
          <w:p>
            <w:pPr>
              <w:pStyle w:val="8"/>
              <w:spacing w:before="30" w:line="217" w:lineRule="auto"/>
              <w:ind w:left="503"/>
            </w:pPr>
            <w:r>
              <w:rPr>
                <w:spacing w:val="-3"/>
              </w:rPr>
              <w:t>（六）公司生产经营的外部条件发生的重大变化；</w:t>
            </w:r>
          </w:p>
          <w:p>
            <w:pPr>
              <w:pStyle w:val="8"/>
              <w:spacing w:before="26" w:line="204" w:lineRule="auto"/>
              <w:ind w:left="503"/>
            </w:pPr>
            <w:r>
              <w:rPr>
                <w:spacing w:val="-3"/>
              </w:rPr>
              <w:t>（七）公司的董事、三分之一以上监事或者经理发生变动；</w:t>
            </w:r>
          </w:p>
        </w:tc>
        <w:tc>
          <w:tcPr>
            <w:tcW w:w="6814" w:type="dxa"/>
            <w:vMerge w:val="restart"/>
            <w:tcBorders>
              <w:bottom w:val="nil"/>
            </w:tcBorders>
            <w:vAlign w:val="top"/>
          </w:tcPr>
          <w:p>
            <w:pPr>
              <w:pStyle w:val="8"/>
              <w:spacing w:before="38" w:line="236" w:lineRule="auto"/>
              <w:ind w:left="15" w:right="4" w:firstLine="502"/>
            </w:pPr>
            <w:r>
              <w:rPr>
                <w:rFonts w:ascii="黑体" w:hAnsi="黑体" w:eastAsia="黑体" w:cs="黑体"/>
                <w:spacing w:val="1"/>
              </w:rPr>
              <w:t xml:space="preserve">第八十条  </w:t>
            </w:r>
            <w:r>
              <w:rPr>
                <w:spacing w:val="1"/>
              </w:rPr>
              <w:t>发生可能对上市公司、</w:t>
            </w:r>
            <w:r>
              <w:rPr>
                <w:rFonts w:ascii="黑体" w:hAnsi="黑体" w:eastAsia="黑体" w:cs="黑体"/>
                <w:spacing w:val="1"/>
              </w:rPr>
              <w:t>股票在国务院批准的其他</w:t>
            </w:r>
            <w:r>
              <w:rPr>
                <w:rFonts w:ascii="黑体" w:hAnsi="黑体" w:eastAsia="黑体" w:cs="黑体"/>
                <w:spacing w:val="8"/>
              </w:rPr>
              <w:t xml:space="preserve"> </w:t>
            </w:r>
            <w:r>
              <w:rPr>
                <w:rFonts w:ascii="黑体" w:hAnsi="黑体" w:eastAsia="黑体" w:cs="黑体"/>
                <w:spacing w:val="2"/>
              </w:rPr>
              <w:t>全国性证券交易场所交易的公司</w:t>
            </w:r>
            <w:r>
              <w:rPr>
                <w:spacing w:val="2"/>
              </w:rPr>
              <w:t>的股票</w:t>
            </w:r>
            <w:r>
              <w:rPr>
                <w:rFonts w:ascii="黑体" w:hAnsi="黑体" w:eastAsia="黑体" w:cs="黑体"/>
                <w:spacing w:val="2"/>
              </w:rPr>
              <w:t>的</w:t>
            </w:r>
            <w:r>
              <w:rPr>
                <w:spacing w:val="2"/>
              </w:rPr>
              <w:t>交易价格产生较大影响</w:t>
            </w:r>
            <w:r>
              <w:t xml:space="preserve"> </w:t>
            </w:r>
            <w:r>
              <w:rPr>
                <w:spacing w:val="-2"/>
              </w:rPr>
              <w:t>的重大事件， 投资者尚未得知时，公司应当立</w:t>
            </w:r>
            <w:r>
              <w:rPr>
                <w:spacing w:val="-3"/>
              </w:rPr>
              <w:t>即将有关该重大事</w:t>
            </w:r>
            <w:r>
              <w:t xml:space="preserve"> </w:t>
            </w:r>
            <w:r>
              <w:rPr>
                <w:spacing w:val="2"/>
              </w:rPr>
              <w:t>件的情况向国务院证券监督管理机构和证券交易</w:t>
            </w:r>
            <w:r>
              <w:rPr>
                <w:rFonts w:ascii="黑体" w:hAnsi="黑体" w:eastAsia="黑体" w:cs="黑体"/>
                <w:spacing w:val="2"/>
              </w:rPr>
              <w:t>场</w:t>
            </w:r>
            <w:r>
              <w:rPr>
                <w:spacing w:val="2"/>
              </w:rPr>
              <w:t>所报送临时报</w:t>
            </w:r>
            <w:r>
              <w:t xml:space="preserve"> </w:t>
            </w:r>
            <w:r>
              <w:rPr>
                <w:spacing w:val="-2"/>
              </w:rPr>
              <w:t>告， 并予公告，说明事件的起因、目前的状态</w:t>
            </w:r>
            <w:r>
              <w:rPr>
                <w:spacing w:val="-3"/>
              </w:rPr>
              <w:t>和可能产生的法律</w:t>
            </w:r>
            <w:r>
              <w:t xml:space="preserve"> </w:t>
            </w:r>
            <w:r>
              <w:rPr>
                <w:spacing w:val="-13"/>
              </w:rPr>
              <w:t>后果。</w:t>
            </w:r>
          </w:p>
          <w:p>
            <w:pPr>
              <w:pStyle w:val="8"/>
              <w:spacing w:before="29" w:line="216" w:lineRule="auto"/>
              <w:ind w:left="524"/>
            </w:pPr>
            <w:r>
              <w:rPr>
                <w:spacing w:val="-7"/>
              </w:rPr>
              <w:t>前款所称重大事件包括：</w:t>
            </w:r>
          </w:p>
          <w:p>
            <w:pPr>
              <w:pStyle w:val="8"/>
              <w:spacing w:before="31" w:line="217" w:lineRule="auto"/>
              <w:ind w:left="508"/>
            </w:pPr>
            <w:r>
              <w:rPr>
                <w:spacing w:val="-3"/>
              </w:rPr>
              <w:t>（一）公司的经营方针和经营范围的重大变化；</w:t>
            </w:r>
          </w:p>
          <w:p>
            <w:pPr>
              <w:pStyle w:val="8"/>
              <w:spacing w:before="26" w:line="231" w:lineRule="auto"/>
              <w:ind w:left="17" w:right="6" w:firstLine="490"/>
              <w:rPr>
                <w:rFonts w:ascii="黑体" w:hAnsi="黑体" w:eastAsia="黑体" w:cs="黑体"/>
              </w:rPr>
            </w:pPr>
            <w:r>
              <w:rPr>
                <w:spacing w:val="-3"/>
              </w:rPr>
              <w:t xml:space="preserve">（二）公司的重大投资行为， </w:t>
            </w:r>
            <w:r>
              <w:rPr>
                <w:rFonts w:ascii="黑体" w:hAnsi="黑体" w:eastAsia="黑体" w:cs="黑体"/>
                <w:spacing w:val="-3"/>
              </w:rPr>
              <w:t>公司在一年内购买、出售重大</w:t>
            </w:r>
            <w:r>
              <w:rPr>
                <w:rFonts w:ascii="黑体" w:hAnsi="黑体" w:eastAsia="黑体" w:cs="黑体"/>
                <w:spacing w:val="3"/>
              </w:rPr>
              <w:t xml:space="preserve"> </w:t>
            </w:r>
            <w:r>
              <w:rPr>
                <w:rFonts w:ascii="黑体" w:hAnsi="黑体" w:eastAsia="黑体" w:cs="黑体"/>
                <w:spacing w:val="-2"/>
              </w:rPr>
              <w:t>资产超过公司资产总额百分之三十， 或者</w:t>
            </w:r>
            <w:r>
              <w:rPr>
                <w:rFonts w:ascii="黑体" w:hAnsi="黑体" w:eastAsia="黑体" w:cs="黑体"/>
                <w:spacing w:val="-3"/>
              </w:rPr>
              <w:t>公司营业用主要资产的</w:t>
            </w:r>
            <w:r>
              <w:rPr>
                <w:rFonts w:ascii="黑体" w:hAnsi="黑体" w:eastAsia="黑体" w:cs="黑体"/>
              </w:rPr>
              <w:t xml:space="preserve"> </w:t>
            </w:r>
            <w:r>
              <w:rPr>
                <w:rFonts w:ascii="黑体" w:hAnsi="黑体" w:eastAsia="黑体" w:cs="黑体"/>
                <w:spacing w:val="-2"/>
              </w:rPr>
              <w:t>抵押、质押、出售或者报废一次超过该资产的百分之三十；</w:t>
            </w:r>
          </w:p>
          <w:p>
            <w:pPr>
              <w:pStyle w:val="8"/>
              <w:spacing w:before="34" w:line="226" w:lineRule="auto"/>
              <w:ind w:left="23" w:right="6" w:firstLine="485"/>
            </w:pPr>
            <w:r>
              <w:rPr>
                <w:spacing w:val="11"/>
              </w:rPr>
              <w:t>（三）公司订立重要合同、</w:t>
            </w:r>
            <w:r>
              <w:rPr>
                <w:rFonts w:ascii="黑体" w:hAnsi="黑体" w:eastAsia="黑体" w:cs="黑体"/>
                <w:spacing w:val="11"/>
              </w:rPr>
              <w:t>提供重大担保或者从事关联交</w:t>
            </w:r>
            <w:r>
              <w:rPr>
                <w:rFonts w:ascii="黑体" w:hAnsi="黑体" w:eastAsia="黑体" w:cs="黑体"/>
                <w:spacing w:val="7"/>
              </w:rPr>
              <w:t xml:space="preserve"> </w:t>
            </w:r>
            <w:r>
              <w:rPr>
                <w:rFonts w:ascii="黑体" w:hAnsi="黑体" w:eastAsia="黑体" w:cs="黑体"/>
                <w:spacing w:val="-7"/>
              </w:rPr>
              <w:t xml:space="preserve">易， </w:t>
            </w:r>
            <w:r>
              <w:rPr>
                <w:spacing w:val="-7"/>
              </w:rPr>
              <w:t>可能对公司的资产、负债、权益和经营成果产生重要影响；</w:t>
            </w:r>
          </w:p>
          <w:p>
            <w:pPr>
              <w:pStyle w:val="8"/>
              <w:spacing w:before="35" w:line="228" w:lineRule="auto"/>
              <w:ind w:left="26" w:right="27" w:firstLine="482"/>
            </w:pPr>
            <w:r>
              <w:rPr>
                <w:spacing w:val="1"/>
              </w:rPr>
              <w:t>（四）公司发生重大债务和未能清偿到期重大债</w:t>
            </w:r>
            <w:r>
              <w:t xml:space="preserve">务的违约情 </w:t>
            </w:r>
            <w:r>
              <w:rPr>
                <w:spacing w:val="-20"/>
              </w:rPr>
              <w:t>况；</w:t>
            </w:r>
          </w:p>
          <w:p>
            <w:pPr>
              <w:pStyle w:val="8"/>
              <w:spacing w:before="31" w:line="217" w:lineRule="auto"/>
              <w:ind w:left="508"/>
            </w:pPr>
            <w:r>
              <w:rPr>
                <w:spacing w:val="-4"/>
              </w:rPr>
              <w:t>（五）公司发生重大亏损或者重大损失；</w:t>
            </w:r>
          </w:p>
          <w:p>
            <w:pPr>
              <w:pStyle w:val="8"/>
              <w:spacing w:before="30" w:line="217" w:lineRule="auto"/>
              <w:ind w:left="508"/>
            </w:pPr>
            <w:r>
              <w:rPr>
                <w:spacing w:val="-3"/>
              </w:rPr>
              <w:t>（六）公司生产经营的外部条件发生的重大变化；</w:t>
            </w:r>
          </w:p>
          <w:p>
            <w:pPr>
              <w:pStyle w:val="8"/>
              <w:spacing w:before="29" w:line="227" w:lineRule="auto"/>
              <w:ind w:left="26" w:right="61" w:firstLine="482"/>
            </w:pPr>
            <w:r>
              <w:rPr>
                <w:spacing w:val="-1"/>
              </w:rPr>
              <w:t>（七）公司的董事、三分之一以上监事或者经理发生变动，</w:t>
            </w:r>
            <w:r>
              <w:rPr>
                <w:spacing w:val="13"/>
              </w:rPr>
              <w:t xml:space="preserve"> </w:t>
            </w:r>
            <w:r>
              <w:rPr>
                <w:spacing w:val="-6"/>
              </w:rPr>
              <w:t>董事长或者经理无法履行职责；</w:t>
            </w:r>
          </w:p>
          <w:p>
            <w:pPr>
              <w:pStyle w:val="8"/>
              <w:spacing w:before="29" w:line="235" w:lineRule="auto"/>
              <w:ind w:left="21" w:right="6" w:firstLine="486"/>
            </w:pPr>
            <w:r>
              <w:rPr>
                <w:spacing w:val="1"/>
              </w:rPr>
              <w:t>（八）持有公司百分之五以上股份的股东或者实际控制人持</w:t>
            </w:r>
            <w:r>
              <w:rPr>
                <w:spacing w:val="16"/>
              </w:rPr>
              <w:t xml:space="preserve"> </w:t>
            </w:r>
            <w:r>
              <w:rPr>
                <w:spacing w:val="2"/>
              </w:rPr>
              <w:t>有股份或者控制公司的情况发生较大变化</w:t>
            </w:r>
            <w:r>
              <w:rPr>
                <w:rFonts w:ascii="黑体" w:hAnsi="黑体" w:eastAsia="黑体" w:cs="黑体"/>
                <w:spacing w:val="2"/>
              </w:rPr>
              <w:t>，公司</w:t>
            </w:r>
            <w:r>
              <w:rPr>
                <w:rFonts w:ascii="黑体" w:hAnsi="黑体" w:eastAsia="黑体" w:cs="黑体"/>
                <w:spacing w:val="1"/>
              </w:rPr>
              <w:t>的实际控制人及</w:t>
            </w:r>
            <w:r>
              <w:rPr>
                <w:rFonts w:ascii="黑体" w:hAnsi="黑体" w:eastAsia="黑体" w:cs="黑体"/>
              </w:rPr>
              <w:t xml:space="preserve"> </w:t>
            </w:r>
            <w:r>
              <w:rPr>
                <w:rFonts w:ascii="黑体" w:hAnsi="黑体" w:eastAsia="黑体" w:cs="黑体"/>
                <w:spacing w:val="2"/>
              </w:rPr>
              <w:t>其控制的其他企业从事与公司相同或者相似业</w:t>
            </w:r>
            <w:r>
              <w:rPr>
                <w:rFonts w:ascii="黑体" w:hAnsi="黑体" w:eastAsia="黑体" w:cs="黑体"/>
                <w:spacing w:val="1"/>
              </w:rPr>
              <w:t>务的情况发生较大</w:t>
            </w:r>
            <w:r>
              <w:rPr>
                <w:rFonts w:ascii="黑体" w:hAnsi="黑体" w:eastAsia="黑体" w:cs="黑体"/>
              </w:rPr>
              <w:t xml:space="preserve"> </w:t>
            </w:r>
            <w:r>
              <w:rPr>
                <w:rFonts w:ascii="黑体" w:hAnsi="黑体" w:eastAsia="黑体" w:cs="黑体"/>
                <w:spacing w:val="-5"/>
              </w:rPr>
              <w:t>变化</w:t>
            </w:r>
            <w:r>
              <w:rPr>
                <w:spacing w:val="-5"/>
              </w:rPr>
              <w:t>；</w:t>
            </w:r>
          </w:p>
          <w:p>
            <w:pPr>
              <w:pStyle w:val="8"/>
              <w:spacing w:before="27" w:line="232" w:lineRule="auto"/>
              <w:ind w:left="16" w:right="4" w:firstLine="491"/>
            </w:pPr>
            <w:r>
              <w:rPr>
                <w:spacing w:val="1"/>
              </w:rPr>
              <w:t>（九）</w:t>
            </w:r>
            <w:r>
              <w:rPr>
                <w:rFonts w:ascii="黑体" w:hAnsi="黑体" w:eastAsia="黑体" w:cs="黑体"/>
                <w:spacing w:val="1"/>
              </w:rPr>
              <w:t>公司分配股利、增资的计划，公司股权结构的重要变</w:t>
            </w:r>
            <w:r>
              <w:rPr>
                <w:rFonts w:ascii="黑体" w:hAnsi="黑体" w:eastAsia="黑体" w:cs="黑体"/>
                <w:spacing w:val="18"/>
              </w:rPr>
              <w:t xml:space="preserve"> </w:t>
            </w:r>
            <w:r>
              <w:rPr>
                <w:rFonts w:ascii="黑体" w:hAnsi="黑体" w:eastAsia="黑体" w:cs="黑体"/>
                <w:spacing w:val="-6"/>
              </w:rPr>
              <w:t>化，</w:t>
            </w:r>
            <w:r>
              <w:rPr>
                <w:rFonts w:ascii="黑体" w:hAnsi="黑体" w:eastAsia="黑体" w:cs="黑体"/>
                <w:spacing w:val="-12"/>
              </w:rPr>
              <w:t xml:space="preserve"> </w:t>
            </w:r>
            <w:r>
              <w:rPr>
                <w:spacing w:val="-6"/>
              </w:rPr>
              <w:t xml:space="preserve">公司减资、合并、分立、解散及申请破产的决定， </w:t>
            </w:r>
            <w:r>
              <w:rPr>
                <w:rFonts w:ascii="黑体" w:hAnsi="黑体" w:eastAsia="黑体" w:cs="黑体"/>
                <w:spacing w:val="-6"/>
              </w:rPr>
              <w:t>或者依法</w:t>
            </w:r>
            <w:r>
              <w:rPr>
                <w:rFonts w:ascii="黑体" w:hAnsi="黑体" w:eastAsia="黑体" w:cs="黑体"/>
              </w:rPr>
              <w:t xml:space="preserve"> </w:t>
            </w:r>
            <w:r>
              <w:rPr>
                <w:rFonts w:ascii="黑体" w:hAnsi="黑体" w:eastAsia="黑体" w:cs="黑体"/>
                <w:spacing w:val="-1"/>
              </w:rPr>
              <w:t>进入破产程序、被责令关闭</w:t>
            </w:r>
            <w:r>
              <w:rPr>
                <w:spacing w:val="-1"/>
              </w:rPr>
              <w:t>；</w:t>
            </w:r>
          </w:p>
          <w:p>
            <w:pPr>
              <w:pStyle w:val="8"/>
              <w:spacing w:before="28" w:line="228" w:lineRule="auto"/>
              <w:ind w:left="14" w:right="20" w:firstLine="494"/>
            </w:pPr>
            <w:r>
              <w:rPr>
                <w:spacing w:val="-6"/>
              </w:rPr>
              <w:t>（十）涉及公司的重大诉讼、仲裁，</w:t>
            </w:r>
            <w:r>
              <w:rPr>
                <w:spacing w:val="70"/>
              </w:rPr>
              <w:t xml:space="preserve"> </w:t>
            </w:r>
            <w:r>
              <w:rPr>
                <w:spacing w:val="-6"/>
              </w:rPr>
              <w:t>股东大会、</w:t>
            </w:r>
            <w:r>
              <w:rPr>
                <w:spacing w:val="-7"/>
              </w:rPr>
              <w:t>董事会决议</w:t>
            </w:r>
            <w:r>
              <w:t xml:space="preserve"> </w:t>
            </w:r>
            <w:r>
              <w:rPr>
                <w:spacing w:val="-6"/>
              </w:rPr>
              <w:t>被依法撤销或者宣告无效；</w:t>
            </w:r>
          </w:p>
          <w:p>
            <w:pPr>
              <w:pStyle w:val="8"/>
              <w:spacing w:before="28" w:line="225" w:lineRule="auto"/>
              <w:ind w:left="30" w:right="4" w:firstLine="477"/>
              <w:rPr>
                <w:rFonts w:ascii="黑体" w:hAnsi="黑体" w:eastAsia="黑体" w:cs="黑体"/>
              </w:rPr>
            </w:pPr>
            <w:r>
              <w:t>（十一）公司涉嫌</w:t>
            </w:r>
            <w:r>
              <w:rPr>
                <w:rFonts w:ascii="黑体" w:hAnsi="黑体" w:eastAsia="黑体" w:cs="黑体"/>
              </w:rPr>
              <w:t>犯罪被依法立案调查</w:t>
            </w:r>
            <w:r>
              <w:t>，公司的控股股</w:t>
            </w:r>
            <w:r>
              <w:rPr>
                <w:spacing w:val="-1"/>
              </w:rPr>
              <w:t>东、</w:t>
            </w:r>
            <w:r>
              <w:t xml:space="preserve"> </w:t>
            </w:r>
            <w:r>
              <w:rPr>
                <w:spacing w:val="1"/>
              </w:rPr>
              <w:t>实际控制人、董事、监事、高级管理人员</w:t>
            </w:r>
            <w:r>
              <w:rPr>
                <w:rFonts w:ascii="黑体" w:hAnsi="黑体" w:eastAsia="黑体" w:cs="黑体"/>
                <w:spacing w:val="1"/>
              </w:rPr>
              <w:t>涉嫌犯罪被依法采取强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6601" w:type="dxa"/>
            <w:tcBorders>
              <w:top w:val="nil"/>
              <w:bottom w:val="nil"/>
              <w:right w:val="single" w:color="000000" w:sz="2" w:space="0"/>
            </w:tcBorders>
            <w:vAlign w:val="top"/>
          </w:tcPr>
          <w:p>
            <w:pPr>
              <w:pStyle w:val="8"/>
              <w:spacing w:before="44" w:line="201" w:lineRule="auto"/>
              <w:ind w:right="20"/>
              <w:jc w:val="right"/>
            </w:pPr>
            <w:r>
              <w:rPr>
                <w:spacing w:val="2"/>
              </w:rPr>
              <w:t>（八）持有公司百分之五以上股份的股东或者实际控制人</w:t>
            </w:r>
          </w:p>
        </w:tc>
        <w:tc>
          <w:tcPr>
            <w:tcW w:w="492" w:type="dxa"/>
            <w:tcBorders>
              <w:top w:val="single" w:color="000000" w:sz="2" w:space="0"/>
              <w:left w:val="single" w:color="000000" w:sz="2" w:space="0"/>
              <w:bottom w:val="single" w:color="000000" w:sz="2" w:space="0"/>
            </w:tcBorders>
            <w:shd w:val="clear" w:color="auto" w:fill="D9D9D9"/>
            <w:vAlign w:val="top"/>
          </w:tcPr>
          <w:p>
            <w:pPr>
              <w:pStyle w:val="8"/>
              <w:spacing w:before="44" w:line="201" w:lineRule="auto"/>
              <w:ind w:left="27"/>
            </w:pPr>
            <w:r>
              <w:rPr>
                <w:spacing w:val="34"/>
              </w:rPr>
              <w:t>,其</w:t>
            </w:r>
          </w:p>
        </w:tc>
        <w:tc>
          <w:tcPr>
            <w:tcW w:w="681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2" w:hRule="atLeast"/>
        </w:trPr>
        <w:tc>
          <w:tcPr>
            <w:tcW w:w="7093" w:type="dxa"/>
            <w:gridSpan w:val="2"/>
            <w:tcBorders>
              <w:top w:val="nil"/>
            </w:tcBorders>
            <w:vAlign w:val="top"/>
          </w:tcPr>
          <w:p>
            <w:pPr>
              <w:pStyle w:val="8"/>
              <w:spacing w:before="42" w:line="217" w:lineRule="auto"/>
              <w:ind w:left="16"/>
            </w:pPr>
            <w:r>
              <w:rPr>
                <w:spacing w:val="-4"/>
              </w:rPr>
              <w:t>持有股份或者控制公司的情况发生较大变化；</w:t>
            </w:r>
          </w:p>
          <w:p>
            <w:pPr>
              <w:pStyle w:val="8"/>
              <w:spacing w:before="30" w:line="215" w:lineRule="auto"/>
              <w:ind w:left="503"/>
            </w:pPr>
            <w:r>
              <w:rPr>
                <w:spacing w:val="-3"/>
              </w:rPr>
              <w:t>（九）公司减资、合并、分立、解散及申请破产的决定；</w:t>
            </w:r>
          </w:p>
          <w:p>
            <w:pPr>
              <w:pStyle w:val="8"/>
              <w:spacing w:before="33" w:line="225" w:lineRule="auto"/>
              <w:ind w:left="9" w:firstLine="494"/>
            </w:pPr>
            <w:r>
              <w:rPr>
                <w:spacing w:val="3"/>
              </w:rPr>
              <w:t>（十）涉及公司的重大诉讼，股东大会、董事会决议被依法撤</w:t>
            </w:r>
            <w:r>
              <w:rPr>
                <w:spacing w:val="11"/>
              </w:rPr>
              <w:t xml:space="preserve"> </w:t>
            </w:r>
            <w:r>
              <w:rPr>
                <w:spacing w:val="-24"/>
              </w:rPr>
              <w:t>销或者宣告无效；</w:t>
            </w:r>
            <w:r>
              <w:rPr>
                <w:spacing w:val="10"/>
              </w:rPr>
              <w:t xml:space="preserve">      </w:t>
            </w:r>
            <w:r>
              <w:rPr>
                <w:position w:val="-8"/>
              </w:rPr>
              <w:drawing>
                <wp:inline distT="0" distB="0" distL="0" distR="0">
                  <wp:extent cx="5715" cy="5715"/>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81"/>
                          <a:stretch>
                            <a:fillRect/>
                          </a:stretch>
                        </pic:blipFill>
                        <pic:spPr>
                          <a:xfrm>
                            <a:off x="0" y="0"/>
                            <a:ext cx="6095" cy="6095"/>
                          </a:xfrm>
                          <a:prstGeom prst="rect">
                            <a:avLst/>
                          </a:prstGeom>
                        </pic:spPr>
                      </pic:pic>
                    </a:graphicData>
                  </a:graphic>
                </wp:inline>
              </w:drawing>
            </w:r>
            <w:r>
              <w:rPr>
                <w:spacing w:val="6"/>
                <w:u w:val="single" w:color="auto"/>
              </w:rPr>
              <w:t xml:space="preserve">                  </w:t>
            </w:r>
            <w:r>
              <w:rPr>
                <w:position w:val="-8"/>
              </w:rPr>
              <w:drawing>
                <wp:inline distT="0" distB="0" distL="0" distR="0">
                  <wp:extent cx="5715" cy="5715"/>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78"/>
                          <a:stretch>
                            <a:fillRect/>
                          </a:stretch>
                        </pic:blipFill>
                        <pic:spPr>
                          <a:xfrm>
                            <a:off x="0" y="0"/>
                            <a:ext cx="6096" cy="6095"/>
                          </a:xfrm>
                          <a:prstGeom prst="rect">
                            <a:avLst/>
                          </a:prstGeom>
                        </pic:spPr>
                      </pic:pic>
                    </a:graphicData>
                  </a:graphic>
                </wp:inline>
              </w:drawing>
            </w:r>
          </w:p>
          <w:p>
            <w:pPr>
              <w:pStyle w:val="8"/>
              <w:spacing w:before="1" w:line="243" w:lineRule="auto"/>
              <w:ind w:left="20" w:firstLine="482"/>
            </w:pPr>
            <w:r>
              <w:rPr>
                <w:spacing w:val="10"/>
                <w:position w:val="7"/>
              </w:rPr>
              <w:t>（十一）公司涉嫌</w:t>
            </w:r>
            <w:r>
              <w:drawing>
                <wp:inline distT="0" distB="0" distL="0" distR="0">
                  <wp:extent cx="5080" cy="203835"/>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70"/>
                          <a:stretch>
                            <a:fillRect/>
                          </a:stretch>
                        </pic:blipFill>
                        <pic:spPr>
                          <a:xfrm>
                            <a:off x="0" y="0"/>
                            <a:ext cx="5357" cy="204215"/>
                          </a:xfrm>
                          <a:prstGeom prst="rect">
                            <a:avLst/>
                          </a:prstGeom>
                        </pic:spPr>
                      </pic:pic>
                    </a:graphicData>
                  </a:graphic>
                </wp:inline>
              </w:drawing>
            </w:r>
            <w:r>
              <w:drawing>
                <wp:inline distT="0" distB="0" distL="0" distR="0">
                  <wp:extent cx="5080" cy="5715"/>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04"/>
                          <a:stretch>
                            <a:fillRect/>
                          </a:stretch>
                        </pic:blipFill>
                        <pic:spPr>
                          <a:xfrm>
                            <a:off x="0" y="0"/>
                            <a:ext cx="5357" cy="6095"/>
                          </a:xfrm>
                          <a:prstGeom prst="rect">
                            <a:avLst/>
                          </a:prstGeom>
                        </pic:spPr>
                      </pic:pic>
                    </a:graphicData>
                  </a:graphic>
                </wp:inline>
              </w:drawing>
            </w:r>
            <w:r>
              <w:rPr>
                <w:spacing w:val="-105"/>
                <w:position w:val="7"/>
                <w:u w:val="single" w:color="auto"/>
                <w:shd w:val="clear" w:fill="D9D9D9"/>
              </w:rPr>
              <w:t xml:space="preserve"> </w:t>
            </w:r>
            <w:r>
              <w:rPr>
                <w:spacing w:val="10"/>
                <w:position w:val="7"/>
                <w:u w:val="single" w:color="auto"/>
                <w:shd w:val="clear" w:fill="D9D9D9"/>
              </w:rPr>
              <w:t>犯罪被司法机关立案</w:t>
            </w:r>
            <w:r>
              <w:rPr>
                <w:spacing w:val="-105"/>
                <w:position w:val="7"/>
                <w:u w:val="single" w:color="auto"/>
                <w:shd w:val="clear" w:fill="D9D9D9"/>
              </w:rPr>
              <w:t xml:space="preserve"> </w:t>
            </w:r>
            <w:r>
              <w:drawing>
                <wp:inline distT="0" distB="0" distL="0" distR="0">
                  <wp:extent cx="5080" cy="203835"/>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76"/>
                          <a:stretch>
                            <a:fillRect/>
                          </a:stretch>
                        </pic:blipFill>
                        <pic:spPr>
                          <a:xfrm>
                            <a:off x="0" y="0"/>
                            <a:ext cx="5357" cy="204215"/>
                          </a:xfrm>
                          <a:prstGeom prst="rect">
                            <a:avLst/>
                          </a:prstGeom>
                        </pic:spPr>
                      </pic:pic>
                    </a:graphicData>
                  </a:graphic>
                </wp:inline>
              </w:drawing>
            </w:r>
            <w:r>
              <w:drawing>
                <wp:inline distT="0" distB="0" distL="0" distR="0">
                  <wp:extent cx="5080" cy="5715"/>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95"/>
                          <a:stretch>
                            <a:fillRect/>
                          </a:stretch>
                        </pic:blipFill>
                        <pic:spPr>
                          <a:xfrm>
                            <a:off x="0" y="0"/>
                            <a:ext cx="5357" cy="6095"/>
                          </a:xfrm>
                          <a:prstGeom prst="rect">
                            <a:avLst/>
                          </a:prstGeom>
                        </pic:spPr>
                      </pic:pic>
                    </a:graphicData>
                  </a:graphic>
                </wp:inline>
              </w:drawing>
            </w:r>
            <w:r>
              <w:rPr>
                <w:spacing w:val="-111"/>
                <w:position w:val="7"/>
              </w:rPr>
              <w:t xml:space="preserve"> </w:t>
            </w:r>
            <w:r>
              <w:rPr>
                <w:spacing w:val="10"/>
                <w:position w:val="7"/>
              </w:rPr>
              <w:t>调查，公司董事、监</w:t>
            </w:r>
            <w:r>
              <w:rPr>
                <w:position w:val="7"/>
              </w:rPr>
              <w:t xml:space="preserve"> </w:t>
            </w:r>
            <w:r>
              <w:rPr>
                <w:spacing w:val="-4"/>
              </w:rPr>
              <w:t>事、高级管理人员涉嫌</w:t>
            </w:r>
            <w:r>
              <w:rPr>
                <w:position w:val="-7"/>
              </w:rPr>
              <w:drawing>
                <wp:inline distT="0" distB="0" distL="0" distR="0">
                  <wp:extent cx="3175" cy="203835"/>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70"/>
                          <a:stretch>
                            <a:fillRect/>
                          </a:stretch>
                        </pic:blipFill>
                        <pic:spPr>
                          <a:xfrm>
                            <a:off x="0" y="0"/>
                            <a:ext cx="3205" cy="204215"/>
                          </a:xfrm>
                          <a:prstGeom prst="rect">
                            <a:avLst/>
                          </a:prstGeom>
                        </pic:spPr>
                      </pic:pic>
                    </a:graphicData>
                  </a:graphic>
                </wp:inline>
              </w:drawing>
            </w:r>
            <w:r>
              <w:rPr>
                <w:position w:val="-7"/>
              </w:rPr>
              <w:drawing>
                <wp:inline distT="0" distB="0" distL="0" distR="0">
                  <wp:extent cx="3175" cy="5715"/>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04"/>
                          <a:stretch>
                            <a:fillRect/>
                          </a:stretch>
                        </pic:blipFill>
                        <pic:spPr>
                          <a:xfrm>
                            <a:off x="0" y="0"/>
                            <a:ext cx="3205" cy="6095"/>
                          </a:xfrm>
                          <a:prstGeom prst="rect">
                            <a:avLst/>
                          </a:prstGeom>
                        </pic:spPr>
                      </pic:pic>
                    </a:graphicData>
                  </a:graphic>
                </wp:inline>
              </w:drawing>
            </w:r>
            <w:r>
              <w:rPr>
                <w:spacing w:val="-104"/>
                <w:u w:val="single" w:color="auto"/>
                <w:shd w:val="clear" w:fill="D9D9D9"/>
              </w:rPr>
              <w:t xml:space="preserve"> </w:t>
            </w:r>
            <w:r>
              <w:rPr>
                <w:spacing w:val="-4"/>
                <w:u w:val="single" w:color="auto"/>
                <w:shd w:val="clear" w:fill="D9D9D9"/>
              </w:rPr>
              <w:t>犯罪被司法机关</w:t>
            </w:r>
            <w:r>
              <w:rPr>
                <w:position w:val="-7"/>
              </w:rPr>
              <w:drawing>
                <wp:inline distT="0" distB="0" distL="0" distR="0">
                  <wp:extent cx="3175" cy="203835"/>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83"/>
                          <a:stretch>
                            <a:fillRect/>
                          </a:stretch>
                        </pic:blipFill>
                        <pic:spPr>
                          <a:xfrm>
                            <a:off x="0" y="0"/>
                            <a:ext cx="3205" cy="204215"/>
                          </a:xfrm>
                          <a:prstGeom prst="rect">
                            <a:avLst/>
                          </a:prstGeom>
                        </pic:spPr>
                      </pic:pic>
                    </a:graphicData>
                  </a:graphic>
                </wp:inline>
              </w:drawing>
            </w:r>
            <w:r>
              <w:rPr>
                <w:position w:val="-7"/>
              </w:rPr>
              <w:drawing>
                <wp:inline distT="0" distB="0" distL="0" distR="0">
                  <wp:extent cx="3175" cy="5715"/>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99"/>
                          <a:stretch>
                            <a:fillRect/>
                          </a:stretch>
                        </pic:blipFill>
                        <pic:spPr>
                          <a:xfrm>
                            <a:off x="0" y="0"/>
                            <a:ext cx="3205" cy="6095"/>
                          </a:xfrm>
                          <a:prstGeom prst="rect">
                            <a:avLst/>
                          </a:prstGeom>
                        </pic:spPr>
                      </pic:pic>
                    </a:graphicData>
                  </a:graphic>
                </wp:inline>
              </w:drawing>
            </w:r>
            <w:r>
              <w:rPr>
                <w:spacing w:val="-111"/>
              </w:rPr>
              <w:t xml:space="preserve"> </w:t>
            </w:r>
            <w:r>
              <w:rPr>
                <w:spacing w:val="-4"/>
              </w:rPr>
              <w:t>采取强制措</w:t>
            </w:r>
            <w:r>
              <w:rPr>
                <w:spacing w:val="-5"/>
              </w:rPr>
              <w:t>施；</w:t>
            </w:r>
          </w:p>
          <w:p>
            <w:pPr>
              <w:pStyle w:val="8"/>
              <w:spacing w:before="34" w:line="217" w:lineRule="auto"/>
              <w:ind w:left="503"/>
            </w:pPr>
            <w:r>
              <w:rPr>
                <w:spacing w:val="-2"/>
              </w:rPr>
              <w:t>（十二）国务院证券监督管理机构规定的其他事</w:t>
            </w:r>
            <w:r>
              <w:rPr>
                <w:spacing w:val="-3"/>
              </w:rPr>
              <w:t>项。</w:t>
            </w:r>
          </w:p>
        </w:tc>
        <w:tc>
          <w:tcPr>
            <w:tcW w:w="6814" w:type="dxa"/>
            <w:vMerge w:val="continue"/>
            <w:tcBorders>
              <w:top w:val="nil"/>
            </w:tcBorders>
            <w:vAlign w:val="top"/>
          </w:tcPr>
          <w:p>
            <w:pPr>
              <w:rPr>
                <w:rFonts w:ascii="Arial"/>
                <w:sz w:val="21"/>
              </w:rPr>
            </w:pPr>
          </w:p>
        </w:tc>
      </w:tr>
    </w:tbl>
    <w:p>
      <w:pPr>
        <w:spacing w:line="228" w:lineRule="exact"/>
        <w:rPr>
          <w:rFonts w:ascii="Arial"/>
          <w:sz w:val="19"/>
        </w:rPr>
      </w:pPr>
    </w:p>
    <w:p>
      <w:pPr>
        <w:spacing w:line="228" w:lineRule="exact"/>
        <w:rPr>
          <w:rFonts w:ascii="Arial" w:hAnsi="Arial" w:eastAsia="Arial" w:cs="Arial"/>
          <w:sz w:val="19"/>
          <w:szCs w:val="19"/>
        </w:rPr>
        <w:sectPr>
          <w:footerReference r:id="rId28"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6"/>
        <w:gridCol w:w="976"/>
        <w:gridCol w:w="1463"/>
        <w:gridCol w:w="494"/>
        <w:gridCol w:w="956"/>
        <w:gridCol w:w="494"/>
        <w:gridCol w:w="741"/>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0" w:hRule="atLeast"/>
        </w:trPr>
        <w:tc>
          <w:tcPr>
            <w:tcW w:w="7100" w:type="dxa"/>
            <w:gridSpan w:val="7"/>
            <w:vAlign w:val="top"/>
          </w:tcPr>
          <w:p>
            <w:pPr>
              <w:rPr>
                <w:rFonts w:ascii="Arial"/>
                <w:sz w:val="21"/>
              </w:rPr>
            </w:pPr>
          </w:p>
        </w:tc>
        <w:tc>
          <w:tcPr>
            <w:tcW w:w="6807" w:type="dxa"/>
            <w:vAlign w:val="top"/>
          </w:tcPr>
          <w:p>
            <w:pPr>
              <w:pStyle w:val="8"/>
              <w:spacing w:before="40" w:line="221" w:lineRule="auto"/>
              <w:ind w:left="10"/>
            </w:pPr>
            <w:r>
              <w:rPr>
                <w:rFonts w:ascii="黑体" w:hAnsi="黑体" w:eastAsia="黑体" w:cs="黑体"/>
                <w:spacing w:val="-3"/>
              </w:rPr>
              <w:t>制措施</w:t>
            </w:r>
            <w:r>
              <w:rPr>
                <w:spacing w:val="-3"/>
              </w:rPr>
              <w:t>；</w:t>
            </w:r>
          </w:p>
          <w:p>
            <w:pPr>
              <w:pStyle w:val="8"/>
              <w:spacing w:before="25" w:line="217" w:lineRule="auto"/>
              <w:ind w:left="501"/>
            </w:pPr>
            <w:r>
              <w:rPr>
                <w:spacing w:val="-2"/>
              </w:rPr>
              <w:t>（十二）国务院证券监督管理机构规定的其他事</w:t>
            </w:r>
            <w:r>
              <w:rPr>
                <w:spacing w:val="-3"/>
              </w:rPr>
              <w:t>项。</w:t>
            </w:r>
          </w:p>
          <w:p>
            <w:pPr>
              <w:spacing w:before="27" w:line="230" w:lineRule="auto"/>
              <w:ind w:left="9" w:right="7" w:firstLine="503"/>
              <w:rPr>
                <w:rFonts w:ascii="黑体" w:hAnsi="黑体" w:eastAsia="黑体" w:cs="黑体"/>
                <w:sz w:val="24"/>
                <w:szCs w:val="24"/>
              </w:rPr>
            </w:pPr>
            <w:r>
              <w:rPr>
                <w:rFonts w:ascii="黑体" w:hAnsi="黑体" w:eastAsia="黑体" w:cs="黑体"/>
                <w:spacing w:val="1"/>
                <w:sz w:val="24"/>
                <w:szCs w:val="24"/>
              </w:rPr>
              <w:t>公司的控股股东或者实际控制人对重大事件的发生、进展产</w:t>
            </w:r>
            <w:r>
              <w:rPr>
                <w:rFonts w:ascii="黑体" w:hAnsi="黑体" w:eastAsia="黑体" w:cs="黑体"/>
                <w:spacing w:val="4"/>
                <w:sz w:val="24"/>
                <w:szCs w:val="24"/>
              </w:rPr>
              <w:t xml:space="preserve"> </w:t>
            </w:r>
            <w:r>
              <w:rPr>
                <w:rFonts w:ascii="黑体" w:hAnsi="黑体" w:eastAsia="黑体" w:cs="黑体"/>
                <w:spacing w:val="1"/>
                <w:sz w:val="24"/>
                <w:szCs w:val="24"/>
              </w:rPr>
              <w:t>生较大影响的，应当及时将其知悉的有关情况书面告知公司，并</w:t>
            </w:r>
            <w:r>
              <w:rPr>
                <w:rFonts w:ascii="黑体" w:hAnsi="黑体" w:eastAsia="黑体" w:cs="黑体"/>
                <w:spacing w:val="13"/>
                <w:sz w:val="24"/>
                <w:szCs w:val="24"/>
              </w:rPr>
              <w:t xml:space="preserve"> </w:t>
            </w:r>
            <w:r>
              <w:rPr>
                <w:rFonts w:ascii="黑体" w:hAnsi="黑体" w:eastAsia="黑体" w:cs="黑体"/>
                <w:spacing w:val="-3"/>
                <w:sz w:val="24"/>
                <w:szCs w:val="24"/>
              </w:rPr>
              <w:t>配合公司履行信息披露义务。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9" w:hRule="atLeast"/>
        </w:trPr>
        <w:tc>
          <w:tcPr>
            <w:tcW w:w="7100" w:type="dxa"/>
            <w:gridSpan w:val="7"/>
            <w:vAlign w:val="top"/>
          </w:tcPr>
          <w:p>
            <w:pPr>
              <w:rPr>
                <w:rFonts w:ascii="Arial"/>
                <w:sz w:val="21"/>
              </w:rPr>
            </w:pPr>
          </w:p>
        </w:tc>
        <w:tc>
          <w:tcPr>
            <w:tcW w:w="6807" w:type="dxa"/>
            <w:vAlign w:val="top"/>
          </w:tcPr>
          <w:p>
            <w:pPr>
              <w:spacing w:before="31" w:line="236" w:lineRule="auto"/>
              <w:ind w:left="9" w:right="5" w:firstLine="501"/>
              <w:rPr>
                <w:rFonts w:ascii="黑体" w:hAnsi="黑体" w:eastAsia="黑体" w:cs="黑体"/>
                <w:sz w:val="24"/>
                <w:szCs w:val="24"/>
              </w:rPr>
            </w:pPr>
            <w:r>
              <w:rPr>
                <w:rFonts w:ascii="黑体" w:hAnsi="黑体" w:eastAsia="黑体" w:cs="黑体"/>
                <w:spacing w:val="1"/>
                <w:sz w:val="24"/>
                <w:szCs w:val="24"/>
              </w:rPr>
              <w:t>第八十一条  发生可能对上市交易公司债券的交易价格产生</w:t>
            </w:r>
            <w:r>
              <w:rPr>
                <w:rFonts w:ascii="黑体" w:hAnsi="黑体" w:eastAsia="黑体" w:cs="黑体"/>
                <w:spacing w:val="8"/>
                <w:sz w:val="24"/>
                <w:szCs w:val="24"/>
              </w:rPr>
              <w:t xml:space="preserve"> </w:t>
            </w:r>
            <w:r>
              <w:rPr>
                <w:rFonts w:ascii="黑体" w:hAnsi="黑体" w:eastAsia="黑体" w:cs="黑体"/>
                <w:spacing w:val="-2"/>
                <w:sz w:val="24"/>
                <w:szCs w:val="24"/>
              </w:rPr>
              <w:t>较大影响的重大事件， 投资者尚未得知时，</w:t>
            </w:r>
            <w:r>
              <w:rPr>
                <w:rFonts w:ascii="黑体" w:hAnsi="黑体" w:eastAsia="黑体" w:cs="黑体"/>
                <w:spacing w:val="-3"/>
                <w:sz w:val="24"/>
                <w:szCs w:val="24"/>
              </w:rPr>
              <w:t>公司应当立即将有关</w:t>
            </w:r>
            <w:r>
              <w:rPr>
                <w:rFonts w:ascii="黑体" w:hAnsi="黑体" w:eastAsia="黑体" w:cs="黑体"/>
                <w:sz w:val="24"/>
                <w:szCs w:val="24"/>
              </w:rPr>
              <w:t xml:space="preserve"> </w:t>
            </w:r>
            <w:r>
              <w:rPr>
                <w:rFonts w:ascii="黑体" w:hAnsi="黑体" w:eastAsia="黑体" w:cs="黑体"/>
                <w:spacing w:val="2"/>
                <w:sz w:val="24"/>
                <w:szCs w:val="24"/>
              </w:rPr>
              <w:t>该重大事件的情况向国务院证券监督管理机构和证券交易</w:t>
            </w:r>
            <w:r>
              <w:rPr>
                <w:rFonts w:ascii="黑体" w:hAnsi="黑体" w:eastAsia="黑体" w:cs="黑体"/>
                <w:spacing w:val="1"/>
                <w:sz w:val="24"/>
                <w:szCs w:val="24"/>
              </w:rPr>
              <w:t>场所报</w:t>
            </w:r>
            <w:r>
              <w:rPr>
                <w:rFonts w:ascii="黑体" w:hAnsi="黑体" w:eastAsia="黑体" w:cs="黑体"/>
                <w:sz w:val="24"/>
                <w:szCs w:val="24"/>
              </w:rPr>
              <w:t xml:space="preserve"> </w:t>
            </w:r>
            <w:r>
              <w:rPr>
                <w:rFonts w:ascii="黑体" w:hAnsi="黑体" w:eastAsia="黑体" w:cs="黑体"/>
                <w:spacing w:val="-2"/>
                <w:sz w:val="24"/>
                <w:szCs w:val="24"/>
              </w:rPr>
              <w:t>送临时报告， 并予公告，说明事件的起因、</w:t>
            </w:r>
            <w:r>
              <w:rPr>
                <w:rFonts w:ascii="黑体" w:hAnsi="黑体" w:eastAsia="黑体" w:cs="黑体"/>
                <w:spacing w:val="-3"/>
                <w:sz w:val="24"/>
                <w:szCs w:val="24"/>
              </w:rPr>
              <w:t>目前的状态和可能产</w:t>
            </w:r>
            <w:r>
              <w:rPr>
                <w:rFonts w:ascii="黑体" w:hAnsi="黑体" w:eastAsia="黑体" w:cs="黑体"/>
                <w:sz w:val="24"/>
                <w:szCs w:val="24"/>
              </w:rPr>
              <w:t xml:space="preserve"> </w:t>
            </w:r>
            <w:r>
              <w:rPr>
                <w:rFonts w:ascii="黑体" w:hAnsi="黑体" w:eastAsia="黑体" w:cs="黑体"/>
                <w:spacing w:val="-5"/>
                <w:sz w:val="24"/>
                <w:szCs w:val="24"/>
              </w:rPr>
              <w:t>生的法律后果。</w:t>
            </w:r>
          </w:p>
          <w:p>
            <w:pPr>
              <w:spacing w:before="22" w:line="222" w:lineRule="auto"/>
              <w:ind w:left="510"/>
              <w:rPr>
                <w:rFonts w:ascii="黑体" w:hAnsi="黑体" w:eastAsia="黑体" w:cs="黑体"/>
                <w:sz w:val="24"/>
                <w:szCs w:val="24"/>
              </w:rPr>
            </w:pPr>
            <w:r>
              <w:rPr>
                <w:rFonts w:ascii="黑体" w:hAnsi="黑体" w:eastAsia="黑体" w:cs="黑体"/>
                <w:spacing w:val="-5"/>
                <w:sz w:val="24"/>
                <w:szCs w:val="24"/>
              </w:rPr>
              <w:t>前款所称重大事件包括：</w:t>
            </w:r>
          </w:p>
          <w:p>
            <w:pPr>
              <w:spacing w:before="23" w:line="213" w:lineRule="auto"/>
              <w:ind w:left="526"/>
              <w:rPr>
                <w:rFonts w:ascii="黑体" w:hAnsi="黑体" w:eastAsia="黑体" w:cs="黑体"/>
                <w:sz w:val="24"/>
                <w:szCs w:val="24"/>
              </w:rPr>
            </w:pPr>
            <w:r>
              <w:rPr>
                <w:rFonts w:ascii="黑体" w:hAnsi="黑体" w:eastAsia="黑体" w:cs="黑体"/>
                <w:spacing w:val="-3"/>
                <w:sz w:val="24"/>
                <w:szCs w:val="24"/>
              </w:rPr>
              <w:t>（一）公司股权结构或者生产经营状况发生重大变化；</w:t>
            </w:r>
          </w:p>
          <w:p>
            <w:pPr>
              <w:spacing w:before="32" w:line="213" w:lineRule="auto"/>
              <w:ind w:left="526"/>
              <w:rPr>
                <w:rFonts w:ascii="黑体" w:hAnsi="黑体" w:eastAsia="黑体" w:cs="黑体"/>
                <w:sz w:val="24"/>
                <w:szCs w:val="24"/>
              </w:rPr>
            </w:pPr>
            <w:r>
              <w:rPr>
                <w:rFonts w:ascii="黑体" w:hAnsi="黑体" w:eastAsia="黑体" w:cs="黑体"/>
                <w:spacing w:val="-5"/>
                <w:sz w:val="24"/>
                <w:szCs w:val="24"/>
              </w:rPr>
              <w:t>（二）公司债券信用评级发生变化；</w:t>
            </w:r>
          </w:p>
          <w:p>
            <w:pPr>
              <w:spacing w:before="35" w:line="213" w:lineRule="auto"/>
              <w:ind w:left="526"/>
              <w:rPr>
                <w:rFonts w:ascii="黑体" w:hAnsi="黑体" w:eastAsia="黑体" w:cs="黑体"/>
                <w:sz w:val="24"/>
                <w:szCs w:val="24"/>
              </w:rPr>
            </w:pPr>
            <w:r>
              <w:rPr>
                <w:rFonts w:ascii="黑体" w:hAnsi="黑体" w:eastAsia="黑体" w:cs="黑体"/>
                <w:spacing w:val="-3"/>
                <w:sz w:val="24"/>
                <w:szCs w:val="24"/>
              </w:rPr>
              <w:t>（三）公司重大资产抵押、质押、出售、转让、报废；</w:t>
            </w:r>
          </w:p>
          <w:p>
            <w:pPr>
              <w:spacing w:before="35" w:line="213" w:lineRule="auto"/>
              <w:ind w:left="526"/>
              <w:rPr>
                <w:rFonts w:ascii="黑体" w:hAnsi="黑体" w:eastAsia="黑体" w:cs="黑体"/>
                <w:sz w:val="24"/>
                <w:szCs w:val="24"/>
              </w:rPr>
            </w:pPr>
            <w:r>
              <w:rPr>
                <w:rFonts w:ascii="黑体" w:hAnsi="黑体" w:eastAsia="黑体" w:cs="黑体"/>
                <w:spacing w:val="-4"/>
                <w:sz w:val="24"/>
                <w:szCs w:val="24"/>
              </w:rPr>
              <w:t>（四）公司发生未能清偿到期债务的情况；</w:t>
            </w:r>
          </w:p>
          <w:p>
            <w:pPr>
              <w:spacing w:before="35" w:line="226" w:lineRule="auto"/>
              <w:ind w:left="18" w:right="27" w:firstLine="508"/>
              <w:rPr>
                <w:rFonts w:ascii="黑体" w:hAnsi="黑体" w:eastAsia="黑体" w:cs="黑体"/>
                <w:sz w:val="24"/>
                <w:szCs w:val="24"/>
              </w:rPr>
            </w:pPr>
            <w:r>
              <w:rPr>
                <w:rFonts w:ascii="黑体" w:hAnsi="黑体" w:eastAsia="黑体" w:cs="黑体"/>
                <w:sz w:val="24"/>
                <w:szCs w:val="24"/>
              </w:rPr>
              <w:t>（五）公司新增借款或者对外提供担保超过上年末</w:t>
            </w:r>
            <w:r>
              <w:rPr>
                <w:rFonts w:ascii="黑体" w:hAnsi="黑体" w:eastAsia="黑体" w:cs="黑体"/>
                <w:spacing w:val="-1"/>
                <w:sz w:val="24"/>
                <w:szCs w:val="24"/>
              </w:rPr>
              <w:t>净资产的</w:t>
            </w:r>
            <w:r>
              <w:rPr>
                <w:rFonts w:ascii="黑体" w:hAnsi="黑体" w:eastAsia="黑体" w:cs="黑体"/>
                <w:sz w:val="24"/>
                <w:szCs w:val="24"/>
              </w:rPr>
              <w:t xml:space="preserve"> </w:t>
            </w:r>
            <w:r>
              <w:rPr>
                <w:rFonts w:ascii="黑体" w:hAnsi="黑体" w:eastAsia="黑体" w:cs="黑体"/>
                <w:spacing w:val="-9"/>
                <w:sz w:val="24"/>
                <w:szCs w:val="24"/>
              </w:rPr>
              <w:t>百分之二十；</w:t>
            </w:r>
          </w:p>
          <w:p>
            <w:pPr>
              <w:spacing w:before="36" w:line="226" w:lineRule="auto"/>
              <w:ind w:left="14" w:right="17" w:firstLine="512"/>
              <w:rPr>
                <w:rFonts w:ascii="黑体" w:hAnsi="黑体" w:eastAsia="黑体" w:cs="黑体"/>
                <w:sz w:val="24"/>
                <w:szCs w:val="24"/>
              </w:rPr>
            </w:pPr>
            <w:r>
              <w:rPr>
                <w:rFonts w:ascii="黑体" w:hAnsi="黑体" w:eastAsia="黑体" w:cs="黑体"/>
                <w:spacing w:val="10"/>
                <w:sz w:val="24"/>
                <w:szCs w:val="24"/>
              </w:rPr>
              <w:t>（六）公司放弃债权或者财产超过上年末净资产</w:t>
            </w:r>
            <w:r>
              <w:rPr>
                <w:rFonts w:ascii="黑体" w:hAnsi="黑体" w:eastAsia="黑体" w:cs="黑体"/>
                <w:spacing w:val="9"/>
                <w:sz w:val="24"/>
                <w:szCs w:val="24"/>
              </w:rPr>
              <w:t>的百分之</w:t>
            </w:r>
            <w:r>
              <w:rPr>
                <w:rFonts w:ascii="黑体" w:hAnsi="黑体" w:eastAsia="黑体" w:cs="黑体"/>
                <w:sz w:val="24"/>
                <w:szCs w:val="24"/>
              </w:rPr>
              <w:t xml:space="preserve"> </w:t>
            </w:r>
            <w:r>
              <w:rPr>
                <w:rFonts w:ascii="黑体" w:hAnsi="黑体" w:eastAsia="黑体" w:cs="黑体"/>
                <w:spacing w:val="-15"/>
                <w:sz w:val="24"/>
                <w:szCs w:val="24"/>
              </w:rPr>
              <w:t>十；</w:t>
            </w:r>
          </w:p>
          <w:p>
            <w:pPr>
              <w:spacing w:before="33" w:line="213" w:lineRule="auto"/>
              <w:ind w:left="526"/>
              <w:rPr>
                <w:rFonts w:ascii="黑体" w:hAnsi="黑体" w:eastAsia="黑体" w:cs="黑体"/>
                <w:sz w:val="24"/>
                <w:szCs w:val="24"/>
              </w:rPr>
            </w:pPr>
            <w:r>
              <w:rPr>
                <w:rFonts w:ascii="黑体" w:hAnsi="黑体" w:eastAsia="黑体" w:cs="黑体"/>
                <w:spacing w:val="-3"/>
                <w:sz w:val="24"/>
                <w:szCs w:val="24"/>
              </w:rPr>
              <w:t>（七）公司发生超过上年末净资产百分之十的重大损失；</w:t>
            </w:r>
          </w:p>
          <w:p>
            <w:pPr>
              <w:spacing w:before="36" w:line="226" w:lineRule="auto"/>
              <w:ind w:left="9" w:right="17" w:firstLine="516"/>
              <w:rPr>
                <w:rFonts w:ascii="黑体" w:hAnsi="黑体" w:eastAsia="黑体" w:cs="黑体"/>
                <w:sz w:val="24"/>
                <w:szCs w:val="24"/>
              </w:rPr>
            </w:pPr>
            <w:r>
              <w:rPr>
                <w:rFonts w:ascii="黑体" w:hAnsi="黑体" w:eastAsia="黑体" w:cs="黑体"/>
                <w:sz w:val="24"/>
                <w:szCs w:val="24"/>
              </w:rPr>
              <w:t>（八）公司分配股利，作出减资、合并、分立、解散、申请</w:t>
            </w:r>
            <w:r>
              <w:rPr>
                <w:rFonts w:ascii="黑体" w:hAnsi="黑体" w:eastAsia="黑体" w:cs="黑体"/>
                <w:spacing w:val="6"/>
                <w:sz w:val="24"/>
                <w:szCs w:val="24"/>
              </w:rPr>
              <w:t xml:space="preserve"> </w:t>
            </w:r>
            <w:r>
              <w:rPr>
                <w:rFonts w:ascii="黑体" w:hAnsi="黑体" w:eastAsia="黑体" w:cs="黑体"/>
                <w:spacing w:val="-3"/>
                <w:sz w:val="24"/>
                <w:szCs w:val="24"/>
              </w:rPr>
              <w:t>破产决定，或者依法进入破产程序、被责令关闭；</w:t>
            </w:r>
          </w:p>
          <w:p>
            <w:pPr>
              <w:spacing w:before="33" w:line="213" w:lineRule="auto"/>
              <w:ind w:left="526"/>
              <w:rPr>
                <w:rFonts w:ascii="黑体" w:hAnsi="黑体" w:eastAsia="黑体" w:cs="黑体"/>
                <w:sz w:val="24"/>
                <w:szCs w:val="24"/>
              </w:rPr>
            </w:pPr>
            <w:r>
              <w:rPr>
                <w:rFonts w:ascii="黑体" w:hAnsi="黑体" w:eastAsia="黑体" w:cs="黑体"/>
                <w:spacing w:val="-4"/>
                <w:sz w:val="24"/>
                <w:szCs w:val="24"/>
              </w:rPr>
              <w:t>（九）涉及公司的重大诉讼、仲裁；</w:t>
            </w:r>
          </w:p>
          <w:p>
            <w:pPr>
              <w:spacing w:before="37" w:line="230" w:lineRule="auto"/>
              <w:ind w:left="9" w:right="7" w:firstLine="516"/>
              <w:rPr>
                <w:rFonts w:ascii="黑体" w:hAnsi="黑体" w:eastAsia="黑体" w:cs="黑体"/>
                <w:sz w:val="24"/>
                <w:szCs w:val="24"/>
              </w:rPr>
            </w:pPr>
            <w:r>
              <w:rPr>
                <w:rFonts w:ascii="黑体" w:hAnsi="黑体" w:eastAsia="黑体" w:cs="黑体"/>
                <w:sz w:val="24"/>
                <w:szCs w:val="24"/>
              </w:rPr>
              <w:t>（十）公司涉嫌犯罪被依法立案调查，公司的控股股东、实</w:t>
            </w:r>
            <w:r>
              <w:rPr>
                <w:rFonts w:ascii="黑体" w:hAnsi="黑体" w:eastAsia="黑体" w:cs="黑体"/>
                <w:spacing w:val="1"/>
                <w:sz w:val="24"/>
                <w:szCs w:val="24"/>
              </w:rPr>
              <w:t xml:space="preserve"> </w:t>
            </w:r>
            <w:r>
              <w:rPr>
                <w:rFonts w:ascii="黑体" w:hAnsi="黑体" w:eastAsia="黑体" w:cs="黑体"/>
                <w:spacing w:val="2"/>
                <w:sz w:val="24"/>
                <w:szCs w:val="24"/>
              </w:rPr>
              <w:t>际控制人、董事、监事、高级管理人员涉嫌犯罪被依法采</w:t>
            </w:r>
            <w:r>
              <w:rPr>
                <w:rFonts w:ascii="黑体" w:hAnsi="黑体" w:eastAsia="黑体" w:cs="黑体"/>
                <w:spacing w:val="1"/>
                <w:sz w:val="24"/>
                <w:szCs w:val="24"/>
              </w:rPr>
              <w:t>取强制</w:t>
            </w:r>
            <w:r>
              <w:rPr>
                <w:rFonts w:ascii="黑体" w:hAnsi="黑体" w:eastAsia="黑体" w:cs="黑体"/>
                <w:sz w:val="24"/>
                <w:szCs w:val="24"/>
              </w:rPr>
              <w:t xml:space="preserve"> </w:t>
            </w:r>
            <w:r>
              <w:rPr>
                <w:rFonts w:ascii="黑体" w:hAnsi="黑体" w:eastAsia="黑体" w:cs="黑体"/>
                <w:spacing w:val="-12"/>
                <w:sz w:val="24"/>
                <w:szCs w:val="24"/>
              </w:rPr>
              <w:t>措施；</w:t>
            </w:r>
          </w:p>
          <w:p>
            <w:pPr>
              <w:spacing w:before="36" w:line="207" w:lineRule="auto"/>
              <w:ind w:left="526"/>
              <w:rPr>
                <w:rFonts w:ascii="黑体" w:hAnsi="黑体" w:eastAsia="黑体" w:cs="黑体"/>
                <w:sz w:val="24"/>
                <w:szCs w:val="24"/>
              </w:rPr>
            </w:pPr>
            <w:r>
              <w:rPr>
                <w:rFonts w:ascii="黑体" w:hAnsi="黑体" w:eastAsia="黑体" w:cs="黑体"/>
                <w:spacing w:val="-3"/>
                <w:sz w:val="24"/>
                <w:szCs w:val="24"/>
              </w:rPr>
              <w:t>（十一）国务院证券监督管理机构规定的其他事项。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976" w:type="dxa"/>
            <w:tcBorders>
              <w:bottom w:val="nil"/>
              <w:right w:val="single" w:color="000000" w:sz="2" w:space="0"/>
            </w:tcBorders>
            <w:vAlign w:val="top"/>
          </w:tcPr>
          <w:p>
            <w:pPr>
              <w:spacing w:before="48" w:line="192" w:lineRule="auto"/>
              <w:ind w:left="513"/>
              <w:rPr>
                <w:rFonts w:ascii="黑体" w:hAnsi="黑体" w:eastAsia="黑体" w:cs="黑体"/>
                <w:sz w:val="24"/>
                <w:szCs w:val="24"/>
              </w:rPr>
            </w:pPr>
            <w:r>
              <w:rPr>
                <w:rFonts w:ascii="黑体" w:hAnsi="黑体" w:eastAsia="黑体" w:cs="黑体"/>
                <w:spacing w:val="-1"/>
                <w:sz w:val="24"/>
                <w:szCs w:val="24"/>
              </w:rPr>
              <w:t>第六十八条</w:t>
            </w:r>
          </w:p>
        </w:tc>
        <w:tc>
          <w:tcPr>
            <w:tcW w:w="976" w:type="dxa"/>
            <w:tcBorders>
              <w:left w:val="single" w:color="000000" w:sz="2" w:space="0"/>
              <w:bottom w:val="single" w:color="000000" w:sz="2" w:space="0"/>
              <w:right w:val="single" w:color="000000" w:sz="2" w:space="0"/>
            </w:tcBorders>
            <w:shd w:val="clear" w:color="auto" w:fill="D9D9D9"/>
            <w:vAlign w:val="top"/>
          </w:tcPr>
          <w:p>
            <w:pPr>
              <w:pStyle w:val="8"/>
              <w:spacing w:before="49" w:line="191" w:lineRule="auto"/>
              <w:ind w:left="11"/>
            </w:pPr>
            <w:r>
              <w:rPr>
                <w:spacing w:val="-3"/>
              </w:rPr>
              <w:t>上市公司</w:t>
            </w:r>
          </w:p>
        </w:tc>
        <w:tc>
          <w:tcPr>
            <w:tcW w:w="2913" w:type="dxa"/>
            <w:gridSpan w:val="3"/>
            <w:tcBorders>
              <w:left w:val="single" w:color="000000" w:sz="2" w:space="0"/>
              <w:bottom w:val="nil"/>
              <w:right w:val="single" w:color="000000" w:sz="2" w:space="0"/>
            </w:tcBorders>
            <w:vAlign w:val="top"/>
          </w:tcPr>
          <w:p>
            <w:pPr>
              <w:pStyle w:val="8"/>
              <w:spacing w:before="49" w:line="191" w:lineRule="auto"/>
              <w:ind w:left="14"/>
            </w:pPr>
            <w:r>
              <w:t>董事、高级管理人员应当对</w:t>
            </w:r>
          </w:p>
        </w:tc>
        <w:tc>
          <w:tcPr>
            <w:tcW w:w="494" w:type="dxa"/>
            <w:tcBorders>
              <w:left w:val="single" w:color="000000" w:sz="2" w:space="0"/>
              <w:bottom w:val="single" w:color="000000" w:sz="2" w:space="0"/>
              <w:right w:val="single" w:color="000000" w:sz="2" w:space="0"/>
            </w:tcBorders>
            <w:shd w:val="clear" w:color="auto" w:fill="D9D9D9"/>
            <w:vAlign w:val="top"/>
          </w:tcPr>
          <w:p>
            <w:pPr>
              <w:pStyle w:val="8"/>
              <w:spacing w:before="49" w:line="191" w:lineRule="auto"/>
              <w:ind w:left="9"/>
            </w:pPr>
            <w:r>
              <w:rPr>
                <w:spacing w:val="-3"/>
              </w:rPr>
              <w:t>公司</w:t>
            </w:r>
          </w:p>
        </w:tc>
        <w:tc>
          <w:tcPr>
            <w:tcW w:w="741" w:type="dxa"/>
            <w:tcBorders>
              <w:left w:val="single" w:color="000000" w:sz="2" w:space="0"/>
              <w:bottom w:val="nil"/>
            </w:tcBorders>
            <w:vAlign w:val="top"/>
          </w:tcPr>
          <w:p>
            <w:pPr>
              <w:pStyle w:val="8"/>
              <w:spacing w:before="49" w:line="191" w:lineRule="auto"/>
              <w:ind w:left="13"/>
            </w:pPr>
            <w:r>
              <w:rPr>
                <w:spacing w:val="-3"/>
              </w:rPr>
              <w:t>定期报</w:t>
            </w:r>
          </w:p>
        </w:tc>
        <w:tc>
          <w:tcPr>
            <w:tcW w:w="6807" w:type="dxa"/>
            <w:vMerge w:val="restart"/>
            <w:tcBorders>
              <w:bottom w:val="nil"/>
            </w:tcBorders>
            <w:vAlign w:val="top"/>
          </w:tcPr>
          <w:p>
            <w:pPr>
              <w:pStyle w:val="8"/>
              <w:spacing w:before="34" w:line="230" w:lineRule="auto"/>
              <w:ind w:left="22" w:right="4" w:firstLine="488"/>
            </w:pPr>
            <w:r>
              <w:rPr>
                <w:rFonts w:ascii="黑体" w:hAnsi="黑体" w:eastAsia="黑体" w:cs="黑体"/>
                <w:spacing w:val="1"/>
              </w:rPr>
              <w:t>第八十二条  发行人</w:t>
            </w:r>
            <w:r>
              <w:rPr>
                <w:spacing w:val="1"/>
              </w:rPr>
              <w:t>的董事、高级管理人员应当对证券发行</w:t>
            </w:r>
            <w:r>
              <w:rPr>
                <w:spacing w:val="8"/>
              </w:rPr>
              <w:t xml:space="preserve"> </w:t>
            </w:r>
            <w:r>
              <w:rPr>
                <w:spacing w:val="-5"/>
              </w:rPr>
              <w:t>文件和定期报告签署书面确认意见。</w:t>
            </w:r>
          </w:p>
          <w:p>
            <w:pPr>
              <w:pStyle w:val="8"/>
              <w:spacing w:before="24" w:line="221" w:lineRule="auto"/>
              <w:ind w:right="4"/>
              <w:jc w:val="right"/>
            </w:pPr>
            <w:r>
              <w:rPr>
                <w:rFonts w:ascii="黑体" w:hAnsi="黑体" w:eastAsia="黑体" w:cs="黑体"/>
                <w:spacing w:val="1"/>
              </w:rPr>
              <w:t>发行人</w:t>
            </w:r>
            <w:r>
              <w:rPr>
                <w:spacing w:val="1"/>
              </w:rPr>
              <w:t>的监事会应当对董事会编制的证券发行文件和定期报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4415" w:type="dxa"/>
            <w:gridSpan w:val="3"/>
            <w:vMerge w:val="restart"/>
            <w:tcBorders>
              <w:top w:val="nil"/>
              <w:bottom w:val="nil"/>
              <w:right w:val="nil"/>
            </w:tcBorders>
            <w:vAlign w:val="top"/>
          </w:tcPr>
          <w:p>
            <w:pPr>
              <w:pStyle w:val="8"/>
              <w:spacing w:before="56" w:line="213" w:lineRule="auto"/>
              <w:ind w:left="20"/>
            </w:pPr>
            <w:r>
              <w:pict>
                <v:shape id="_x0000_s1064" o:spid="_x0000_s1064" style="position:absolute;left:0pt;margin-left:26.05pt;margin-top:16.9pt;height:0.5pt;width:48.5pt;mso-position-horizontal-relative:page;mso-position-vertical-relative:page;z-index:-251621376;mso-width-relative:page;mso-height-relative:page;" fillcolor="#000000" filled="t" stroked="f" coordsize="970,10" path="m0,0l969,0,969,9,0,9,0,0xe">
                  <v:path/>
                  <v:fill on="t" focussize="0,0"/>
                  <v:stroke on="f"/>
                  <v:imagedata o:title=""/>
                  <o:lock v:ext="edit"/>
                </v:shape>
              </w:pict>
            </w:r>
            <w:r>
              <w:rPr>
                <w:spacing w:val="-6"/>
              </w:rPr>
              <w:t>告签署书面确认意见。</w:t>
            </w:r>
          </w:p>
          <w:p>
            <w:pPr>
              <w:pStyle w:val="8"/>
              <w:spacing w:line="235" w:lineRule="auto"/>
              <w:ind w:right="11"/>
              <w:jc w:val="right"/>
            </w:pPr>
            <w:r>
              <w:rPr>
                <w:position w:val="-6"/>
              </w:rPr>
              <w:drawing>
                <wp:inline distT="0" distB="0" distL="0" distR="0">
                  <wp:extent cx="3810" cy="203835"/>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80"/>
                          <a:stretch>
                            <a:fillRect/>
                          </a:stretch>
                        </pic:blipFill>
                        <pic:spPr>
                          <a:xfrm>
                            <a:off x="0" y="0"/>
                            <a:ext cx="4064" cy="204215"/>
                          </a:xfrm>
                          <a:prstGeom prst="rect">
                            <a:avLst/>
                          </a:prstGeom>
                        </pic:spPr>
                      </pic:pic>
                    </a:graphicData>
                  </a:graphic>
                </wp:inline>
              </w:drawing>
            </w:r>
            <w:r>
              <w:rPr>
                <w:spacing w:val="1"/>
                <w:shd w:val="clear" w:fill="D9D9D9"/>
              </w:rPr>
              <w:t>上市公司</w:t>
            </w:r>
            <w:r>
              <w:rPr>
                <w:spacing w:val="-104"/>
                <w:shd w:val="clear" w:fill="D9D9D9"/>
              </w:rPr>
              <w:t xml:space="preserve"> </w:t>
            </w:r>
            <w:r>
              <w:rPr>
                <w:position w:val="24"/>
              </w:rPr>
              <w:drawing>
                <wp:inline distT="0" distB="0" distL="0" distR="0">
                  <wp:extent cx="3810" cy="5715"/>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99"/>
                          <a:stretch>
                            <a:fillRect/>
                          </a:stretch>
                        </pic:blipFill>
                        <pic:spPr>
                          <a:xfrm>
                            <a:off x="0" y="0"/>
                            <a:ext cx="4063" cy="6096"/>
                          </a:xfrm>
                          <a:prstGeom prst="rect">
                            <a:avLst/>
                          </a:prstGeom>
                        </pic:spPr>
                      </pic:pic>
                    </a:graphicData>
                  </a:graphic>
                </wp:inline>
              </w:drawing>
            </w:r>
            <w:r>
              <w:rPr>
                <w:position w:val="-6"/>
              </w:rPr>
              <w:drawing>
                <wp:inline distT="0" distB="0" distL="0" distR="0">
                  <wp:extent cx="3810" cy="197485"/>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05"/>
                          <a:stretch>
                            <a:fillRect/>
                          </a:stretch>
                        </pic:blipFill>
                        <pic:spPr>
                          <a:xfrm>
                            <a:off x="0" y="0"/>
                            <a:ext cx="4063" cy="198119"/>
                          </a:xfrm>
                          <a:prstGeom prst="rect">
                            <a:avLst/>
                          </a:prstGeom>
                        </pic:spPr>
                      </pic:pic>
                    </a:graphicData>
                  </a:graphic>
                </wp:inline>
              </w:drawing>
            </w:r>
            <w:r>
              <w:rPr>
                <w:spacing w:val="1"/>
              </w:rPr>
              <w:t>监事会应当对董事会编制的</w:t>
            </w:r>
          </w:p>
        </w:tc>
        <w:tc>
          <w:tcPr>
            <w:tcW w:w="494" w:type="dxa"/>
            <w:tcBorders>
              <w:top w:val="nil"/>
              <w:left w:val="nil"/>
              <w:bottom w:val="single" w:color="000000" w:sz="2" w:space="0"/>
              <w:right w:val="nil"/>
            </w:tcBorders>
            <w:vAlign w:val="top"/>
          </w:tcPr>
          <w:p>
            <w:pPr>
              <w:rPr>
                <w:rFonts w:ascii="Arial"/>
                <w:sz w:val="21"/>
              </w:rPr>
            </w:pPr>
          </w:p>
        </w:tc>
        <w:tc>
          <w:tcPr>
            <w:tcW w:w="2191" w:type="dxa"/>
            <w:gridSpan w:val="3"/>
            <w:vMerge w:val="restart"/>
            <w:tcBorders>
              <w:top w:val="nil"/>
              <w:left w:val="nil"/>
              <w:bottom w:val="nil"/>
            </w:tcBorders>
            <w:vAlign w:val="top"/>
          </w:tcPr>
          <w:p>
            <w:pPr>
              <w:spacing w:line="299" w:lineRule="auto"/>
              <w:rPr>
                <w:rFonts w:ascii="Arial"/>
                <w:sz w:val="21"/>
              </w:rPr>
            </w:pPr>
          </w:p>
          <w:p>
            <w:pPr>
              <w:pStyle w:val="8"/>
              <w:spacing w:before="78" w:line="214" w:lineRule="auto"/>
              <w:ind w:left="14"/>
            </w:pPr>
            <w:r>
              <w:t>定期报告进行审核并</w:t>
            </w:r>
          </w:p>
        </w:tc>
        <w:tc>
          <w:tcPr>
            <w:tcW w:w="680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415" w:type="dxa"/>
            <w:gridSpan w:val="3"/>
            <w:vMerge w:val="continue"/>
            <w:tcBorders>
              <w:top w:val="nil"/>
              <w:right w:val="nil"/>
            </w:tcBorders>
            <w:vAlign w:val="top"/>
          </w:tcPr>
          <w:p>
            <w:pPr>
              <w:rPr>
                <w:rFonts w:ascii="Arial"/>
                <w:sz w:val="21"/>
              </w:rPr>
            </w:pPr>
          </w:p>
        </w:tc>
        <w:tc>
          <w:tcPr>
            <w:tcW w:w="494" w:type="dxa"/>
            <w:tcBorders>
              <w:top w:val="single" w:color="000000" w:sz="2" w:space="0"/>
              <w:left w:val="single" w:color="000000" w:sz="2" w:space="0"/>
              <w:right w:val="single" w:color="000000" w:sz="2" w:space="0"/>
            </w:tcBorders>
            <w:shd w:val="clear" w:color="auto" w:fill="D9D9D9"/>
            <w:vAlign w:val="top"/>
          </w:tcPr>
          <w:p>
            <w:pPr>
              <w:pStyle w:val="8"/>
              <w:spacing w:before="24" w:line="214" w:lineRule="auto"/>
              <w:ind w:left="7"/>
            </w:pPr>
            <w:r>
              <w:rPr>
                <w:spacing w:val="-3"/>
              </w:rPr>
              <w:t>公司</w:t>
            </w:r>
          </w:p>
        </w:tc>
        <w:tc>
          <w:tcPr>
            <w:tcW w:w="2191" w:type="dxa"/>
            <w:gridSpan w:val="3"/>
            <w:vMerge w:val="continue"/>
            <w:tcBorders>
              <w:top w:val="nil"/>
              <w:left w:val="nil"/>
            </w:tcBorders>
            <w:vAlign w:val="top"/>
          </w:tcPr>
          <w:p>
            <w:pPr>
              <w:rPr>
                <w:rFonts w:ascii="Arial"/>
                <w:sz w:val="21"/>
              </w:rPr>
            </w:pPr>
          </w:p>
        </w:tc>
        <w:tc>
          <w:tcPr>
            <w:tcW w:w="6807" w:type="dxa"/>
            <w:vMerge w:val="continue"/>
            <w:tcBorders>
              <w:top w:val="nil"/>
            </w:tcBorders>
            <w:vAlign w:val="top"/>
          </w:tcPr>
          <w:p>
            <w:pPr>
              <w:rPr>
                <w:rFonts w:ascii="Arial"/>
                <w:sz w:val="21"/>
              </w:rPr>
            </w:pPr>
          </w:p>
        </w:tc>
      </w:tr>
    </w:tbl>
    <w:p>
      <w:pPr>
        <w:spacing w:line="149" w:lineRule="exact"/>
        <w:rPr>
          <w:rFonts w:ascii="Arial"/>
          <w:sz w:val="13"/>
        </w:rPr>
      </w:pPr>
    </w:p>
    <w:p>
      <w:pPr>
        <w:spacing w:line="149" w:lineRule="exact"/>
        <w:rPr>
          <w:rFonts w:ascii="Arial" w:hAnsi="Arial" w:eastAsia="Arial" w:cs="Arial"/>
          <w:sz w:val="13"/>
          <w:szCs w:val="13"/>
        </w:rPr>
        <w:sectPr>
          <w:footerReference r:id="rId29"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6"/>
        <w:gridCol w:w="267"/>
        <w:gridCol w:w="726"/>
        <w:gridCol w:w="818"/>
        <w:gridCol w:w="643"/>
        <w:gridCol w:w="482"/>
        <w:gridCol w:w="720"/>
        <w:gridCol w:w="190"/>
        <w:gridCol w:w="1276"/>
        <w:gridCol w:w="987"/>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7095" w:type="dxa"/>
            <w:gridSpan w:val="10"/>
            <w:vAlign w:val="top"/>
          </w:tcPr>
          <w:p>
            <w:pPr>
              <w:pStyle w:val="8"/>
              <w:spacing w:before="41" w:line="213" w:lineRule="auto"/>
              <w:ind w:left="11"/>
            </w:pPr>
            <w:r>
              <w:rPr>
                <w:spacing w:val="-11"/>
              </w:rPr>
              <w:t>提出</w:t>
            </w:r>
            <w:r>
              <w:rPr>
                <w:spacing w:val="-11"/>
                <w:u w:val="single" w:color="auto"/>
              </w:rPr>
              <w:t>书面审核</w:t>
            </w:r>
            <w:r>
              <w:rPr>
                <w:spacing w:val="-11"/>
              </w:rPr>
              <w:t>意见。</w:t>
            </w:r>
            <w:r>
              <w:rPr>
                <w:spacing w:val="4"/>
              </w:rPr>
              <w:t xml:space="preserve">     </w:t>
            </w:r>
            <w:r>
              <w:rPr>
                <w:position w:val="-8"/>
              </w:rPr>
              <w:drawing>
                <wp:inline distT="0" distB="0" distL="0" distR="0">
                  <wp:extent cx="5715" cy="5715"/>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99"/>
                          <a:stretch>
                            <a:fillRect/>
                          </a:stretch>
                        </pic:blipFill>
                        <pic:spPr>
                          <a:xfrm>
                            <a:off x="0" y="0"/>
                            <a:ext cx="6095" cy="6095"/>
                          </a:xfrm>
                          <a:prstGeom prst="rect">
                            <a:avLst/>
                          </a:prstGeom>
                        </pic:spPr>
                      </pic:pic>
                    </a:graphicData>
                  </a:graphic>
                </wp:inline>
              </w:drawing>
            </w:r>
            <w:r>
              <w:rPr>
                <w:spacing w:val="1"/>
                <w:u w:val="single" w:color="auto"/>
              </w:rPr>
              <w:t xml:space="preserve">  </w:t>
            </w:r>
            <w:r>
              <w:rPr>
                <w:position w:val="-8"/>
              </w:rPr>
              <w:drawing>
                <wp:inline distT="0" distB="0" distL="0" distR="0">
                  <wp:extent cx="5715" cy="5715"/>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95"/>
                          <a:stretch>
                            <a:fillRect/>
                          </a:stretch>
                        </pic:blipFill>
                        <pic:spPr>
                          <a:xfrm>
                            <a:off x="0" y="0"/>
                            <a:ext cx="6095" cy="6095"/>
                          </a:xfrm>
                          <a:prstGeom prst="rect">
                            <a:avLst/>
                          </a:prstGeom>
                        </pic:spPr>
                      </pic:pic>
                    </a:graphicData>
                  </a:graphic>
                </wp:inline>
              </w:drawing>
            </w:r>
            <w:r>
              <w:t xml:space="preserve">                    </w:t>
            </w:r>
            <w:r>
              <w:rPr>
                <w:position w:val="-8"/>
              </w:rPr>
              <w:drawing>
                <wp:inline distT="0" distB="0" distL="0" distR="0">
                  <wp:extent cx="5715" cy="5715"/>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04"/>
                          <a:stretch>
                            <a:fillRect/>
                          </a:stretch>
                        </pic:blipFill>
                        <pic:spPr>
                          <a:xfrm>
                            <a:off x="0" y="0"/>
                            <a:ext cx="6096" cy="6095"/>
                          </a:xfrm>
                          <a:prstGeom prst="rect">
                            <a:avLst/>
                          </a:prstGeom>
                        </pic:spPr>
                      </pic:pic>
                    </a:graphicData>
                  </a:graphic>
                </wp:inline>
              </w:drawing>
            </w:r>
            <w:r>
              <w:rPr>
                <w:spacing w:val="2"/>
                <w:u w:val="single" w:color="auto"/>
              </w:rPr>
              <w:t xml:space="preserve">        </w:t>
            </w:r>
            <w:r>
              <w:rPr>
                <w:position w:val="-8"/>
              </w:rPr>
              <w:drawing>
                <wp:inline distT="0" distB="0" distL="0" distR="0">
                  <wp:extent cx="5715" cy="5715"/>
                  <wp:effectExtent l="0" t="0" r="0" b="0"/>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04"/>
                          <a:stretch>
                            <a:fillRect/>
                          </a:stretch>
                        </pic:blipFill>
                        <pic:spPr>
                          <a:xfrm>
                            <a:off x="0" y="0"/>
                            <a:ext cx="6096" cy="6095"/>
                          </a:xfrm>
                          <a:prstGeom prst="rect">
                            <a:avLst/>
                          </a:prstGeom>
                        </pic:spPr>
                      </pic:pic>
                    </a:graphicData>
                  </a:graphic>
                </wp:inline>
              </w:drawing>
            </w:r>
          </w:p>
          <w:p>
            <w:pPr>
              <w:pStyle w:val="8"/>
              <w:spacing w:before="2"/>
              <w:ind w:left="34" w:firstLine="469"/>
            </w:pPr>
            <w:r>
              <w:rPr>
                <w:position w:val="-7"/>
              </w:rPr>
              <w:drawing>
                <wp:inline distT="0" distB="0" distL="0" distR="0">
                  <wp:extent cx="3175" cy="203835"/>
                  <wp:effectExtent l="0" t="0" r="0" b="0"/>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80"/>
                          <a:stretch>
                            <a:fillRect/>
                          </a:stretch>
                        </pic:blipFill>
                        <pic:spPr>
                          <a:xfrm>
                            <a:off x="0" y="0"/>
                            <a:ext cx="3797" cy="204215"/>
                          </a:xfrm>
                          <a:prstGeom prst="rect">
                            <a:avLst/>
                          </a:prstGeom>
                        </pic:spPr>
                      </pic:pic>
                    </a:graphicData>
                  </a:graphic>
                </wp:inline>
              </w:drawing>
            </w:r>
            <w:r>
              <w:rPr>
                <w:spacing w:val="-2"/>
                <w:u w:val="single" w:color="auto"/>
                <w:shd w:val="clear" w:fill="D9D9D9"/>
              </w:rPr>
              <w:t>上市公司</w:t>
            </w:r>
            <w:r>
              <w:rPr>
                <w:position w:val="-7"/>
              </w:rPr>
              <w:drawing>
                <wp:inline distT="0" distB="0" distL="0" distR="0">
                  <wp:extent cx="3175" cy="203835"/>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80"/>
                          <a:stretch>
                            <a:fillRect/>
                          </a:stretch>
                        </pic:blipFill>
                        <pic:spPr>
                          <a:xfrm>
                            <a:off x="0" y="0"/>
                            <a:ext cx="3797" cy="204215"/>
                          </a:xfrm>
                          <a:prstGeom prst="rect">
                            <a:avLst/>
                          </a:prstGeom>
                        </pic:spPr>
                      </pic:pic>
                    </a:graphicData>
                  </a:graphic>
                </wp:inline>
              </w:drawing>
            </w:r>
            <w:r>
              <w:rPr>
                <w:position w:val="-7"/>
              </w:rPr>
              <w:drawing>
                <wp:inline distT="0" distB="0" distL="0" distR="0">
                  <wp:extent cx="3175" cy="5715"/>
                  <wp:effectExtent l="0" t="0" r="0" b="0"/>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81"/>
                          <a:stretch>
                            <a:fillRect/>
                          </a:stretch>
                        </pic:blipFill>
                        <pic:spPr>
                          <a:xfrm>
                            <a:off x="0" y="0"/>
                            <a:ext cx="3797" cy="6096"/>
                          </a:xfrm>
                          <a:prstGeom prst="rect">
                            <a:avLst/>
                          </a:prstGeom>
                        </pic:spPr>
                      </pic:pic>
                    </a:graphicData>
                  </a:graphic>
                </wp:inline>
              </w:drawing>
            </w:r>
            <w:r>
              <w:rPr>
                <w:spacing w:val="-103"/>
              </w:rPr>
              <w:t xml:space="preserve"> </w:t>
            </w:r>
            <w:r>
              <w:rPr>
                <w:spacing w:val="-2"/>
              </w:rPr>
              <w:t>董事、监事</w:t>
            </w:r>
            <w:r>
              <w:rPr>
                <w:position w:val="-7"/>
              </w:rPr>
              <w:drawing>
                <wp:inline distT="0" distB="0" distL="0" distR="0">
                  <wp:extent cx="3175" cy="203835"/>
                  <wp:effectExtent l="0" t="0" r="0" b="0"/>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73"/>
                          <a:stretch>
                            <a:fillRect/>
                          </a:stretch>
                        </pic:blipFill>
                        <pic:spPr>
                          <a:xfrm>
                            <a:off x="0" y="0"/>
                            <a:ext cx="3797" cy="204215"/>
                          </a:xfrm>
                          <a:prstGeom prst="rect">
                            <a:avLst/>
                          </a:prstGeom>
                        </pic:spPr>
                      </pic:pic>
                    </a:graphicData>
                  </a:graphic>
                </wp:inline>
              </w:drawing>
            </w:r>
            <w:r>
              <w:rPr>
                <w:position w:val="-7"/>
              </w:rPr>
              <w:drawing>
                <wp:inline distT="0" distB="0" distL="0" distR="0">
                  <wp:extent cx="3175" cy="5715"/>
                  <wp:effectExtent l="0" t="0" r="0" b="0"/>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78"/>
                          <a:stretch>
                            <a:fillRect/>
                          </a:stretch>
                        </pic:blipFill>
                        <pic:spPr>
                          <a:xfrm>
                            <a:off x="0" y="0"/>
                            <a:ext cx="3797" cy="6096"/>
                          </a:xfrm>
                          <a:prstGeom prst="rect">
                            <a:avLst/>
                          </a:prstGeom>
                        </pic:spPr>
                      </pic:pic>
                    </a:graphicData>
                  </a:graphic>
                </wp:inline>
              </w:drawing>
            </w:r>
            <w:r>
              <w:rPr>
                <w:spacing w:val="-91"/>
                <w:u w:val="single" w:color="auto"/>
                <w:shd w:val="clear" w:fill="D9D9D9"/>
              </w:rPr>
              <w:t xml:space="preserve"> </w:t>
            </w:r>
            <w:r>
              <w:rPr>
                <w:spacing w:val="-2"/>
                <w:u w:val="single" w:color="auto"/>
                <w:shd w:val="clear" w:fill="D9D9D9"/>
              </w:rPr>
              <w:t>、</w:t>
            </w:r>
            <w:r>
              <w:rPr>
                <w:position w:val="-7"/>
              </w:rPr>
              <w:drawing>
                <wp:inline distT="0" distB="0" distL="0" distR="0">
                  <wp:extent cx="3175" cy="203835"/>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80"/>
                          <a:stretch>
                            <a:fillRect/>
                          </a:stretch>
                        </pic:blipFill>
                        <pic:spPr>
                          <a:xfrm>
                            <a:off x="0" y="0"/>
                            <a:ext cx="3797" cy="204215"/>
                          </a:xfrm>
                          <a:prstGeom prst="rect">
                            <a:avLst/>
                          </a:prstGeom>
                        </pic:spPr>
                      </pic:pic>
                    </a:graphicData>
                  </a:graphic>
                </wp:inline>
              </w:drawing>
            </w:r>
            <w:r>
              <w:rPr>
                <w:position w:val="-7"/>
              </w:rPr>
              <w:drawing>
                <wp:inline distT="0" distB="0" distL="0" distR="0">
                  <wp:extent cx="3175" cy="5715"/>
                  <wp:effectExtent l="0" t="0" r="0" b="0"/>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81"/>
                          <a:stretch>
                            <a:fillRect/>
                          </a:stretch>
                        </pic:blipFill>
                        <pic:spPr>
                          <a:xfrm>
                            <a:off x="0" y="0"/>
                            <a:ext cx="3797" cy="6096"/>
                          </a:xfrm>
                          <a:prstGeom prst="rect">
                            <a:avLst/>
                          </a:prstGeom>
                        </pic:spPr>
                      </pic:pic>
                    </a:graphicData>
                  </a:graphic>
                </wp:inline>
              </w:drawing>
            </w:r>
            <w:r>
              <w:rPr>
                <w:spacing w:val="-100"/>
              </w:rPr>
              <w:t xml:space="preserve"> </w:t>
            </w:r>
            <w:r>
              <w:rPr>
                <w:spacing w:val="-2"/>
              </w:rPr>
              <w:t>高级管理人员应当保</w:t>
            </w:r>
            <w:r>
              <w:rPr>
                <w:spacing w:val="-3"/>
              </w:rPr>
              <w:t>证</w:t>
            </w:r>
            <w:r>
              <w:rPr>
                <w:position w:val="-7"/>
              </w:rPr>
              <w:drawing>
                <wp:inline distT="0" distB="0" distL="0" distR="0">
                  <wp:extent cx="3175" cy="203835"/>
                  <wp:effectExtent l="0" t="0" r="0" b="0"/>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73"/>
                          <a:stretch>
                            <a:fillRect/>
                          </a:stretch>
                        </pic:blipFill>
                        <pic:spPr>
                          <a:xfrm>
                            <a:off x="0" y="0"/>
                            <a:ext cx="3797" cy="204215"/>
                          </a:xfrm>
                          <a:prstGeom prst="rect">
                            <a:avLst/>
                          </a:prstGeom>
                        </pic:spPr>
                      </pic:pic>
                    </a:graphicData>
                  </a:graphic>
                </wp:inline>
              </w:drawing>
            </w:r>
            <w:r>
              <w:rPr>
                <w:position w:val="-7"/>
              </w:rPr>
              <w:drawing>
                <wp:inline distT="0" distB="0" distL="0" distR="0">
                  <wp:extent cx="3175" cy="5715"/>
                  <wp:effectExtent l="0" t="0" r="0" b="0"/>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78"/>
                          <a:stretch>
                            <a:fillRect/>
                          </a:stretch>
                        </pic:blipFill>
                        <pic:spPr>
                          <a:xfrm>
                            <a:off x="0" y="0"/>
                            <a:ext cx="3797" cy="6096"/>
                          </a:xfrm>
                          <a:prstGeom prst="rect">
                            <a:avLst/>
                          </a:prstGeom>
                        </pic:spPr>
                      </pic:pic>
                    </a:graphicData>
                  </a:graphic>
                </wp:inline>
              </w:drawing>
            </w:r>
            <w:r>
              <w:rPr>
                <w:spacing w:val="-105"/>
                <w:u w:val="single" w:color="auto"/>
                <w:shd w:val="clear" w:fill="D9D9D9"/>
              </w:rPr>
              <w:t xml:space="preserve"> </w:t>
            </w:r>
            <w:r>
              <w:rPr>
                <w:spacing w:val="-3"/>
                <w:u w:val="single" w:color="auto"/>
                <w:shd w:val="clear" w:fill="D9D9D9"/>
              </w:rPr>
              <w:t>上市公司</w:t>
            </w:r>
            <w:r>
              <w:rPr>
                <w:position w:val="-7"/>
              </w:rPr>
              <w:drawing>
                <wp:inline distT="0" distB="0" distL="0" distR="0">
                  <wp:extent cx="3175" cy="203835"/>
                  <wp:effectExtent l="0" t="0" r="0" b="0"/>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77"/>
                          <a:stretch>
                            <a:fillRect/>
                          </a:stretch>
                        </pic:blipFill>
                        <pic:spPr>
                          <a:xfrm>
                            <a:off x="0" y="0"/>
                            <a:ext cx="3797" cy="204215"/>
                          </a:xfrm>
                          <a:prstGeom prst="rect">
                            <a:avLst/>
                          </a:prstGeom>
                        </pic:spPr>
                      </pic:pic>
                    </a:graphicData>
                  </a:graphic>
                </wp:inline>
              </w:drawing>
            </w:r>
            <w:r>
              <w:rPr>
                <w:position w:val="-7"/>
              </w:rPr>
              <w:drawing>
                <wp:inline distT="0" distB="0" distL="0" distR="0">
                  <wp:extent cx="3175" cy="5715"/>
                  <wp:effectExtent l="0" t="0" r="0"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82"/>
                          <a:stretch>
                            <a:fillRect/>
                          </a:stretch>
                        </pic:blipFill>
                        <pic:spPr>
                          <a:xfrm>
                            <a:off x="0" y="0"/>
                            <a:ext cx="3797" cy="6096"/>
                          </a:xfrm>
                          <a:prstGeom prst="rect">
                            <a:avLst/>
                          </a:prstGeom>
                        </pic:spPr>
                      </pic:pic>
                    </a:graphicData>
                  </a:graphic>
                </wp:inline>
              </w:drawing>
            </w:r>
            <w:r>
              <w:rPr>
                <w:spacing w:val="-110"/>
              </w:rPr>
              <w:t xml:space="preserve"> </w:t>
            </w:r>
            <w:r>
              <w:rPr>
                <w:spacing w:val="-3"/>
              </w:rPr>
              <w:t>所披露</w:t>
            </w:r>
            <w:r>
              <w:t xml:space="preserve"> </w:t>
            </w:r>
            <w:r>
              <w:rPr>
                <w:spacing w:val="-7"/>
              </w:rPr>
              <w:t>的信息真实、准确、完整。</w:t>
            </w:r>
          </w:p>
        </w:tc>
        <w:tc>
          <w:tcPr>
            <w:tcW w:w="6812" w:type="dxa"/>
            <w:vAlign w:val="top"/>
          </w:tcPr>
          <w:p>
            <w:pPr>
              <w:pStyle w:val="8"/>
              <w:spacing w:before="40" w:line="219" w:lineRule="auto"/>
              <w:ind w:left="24"/>
              <w:rPr>
                <w:rFonts w:ascii="黑体" w:hAnsi="黑体" w:eastAsia="黑体" w:cs="黑体"/>
              </w:rPr>
            </w:pPr>
            <w:r>
              <w:rPr>
                <w:spacing w:val="-8"/>
              </w:rPr>
              <w:t>告进行审核并提出书面审核意见。</w:t>
            </w:r>
            <w:r>
              <w:rPr>
                <w:spacing w:val="58"/>
              </w:rPr>
              <w:t xml:space="preserve"> </w:t>
            </w:r>
            <w:r>
              <w:rPr>
                <w:rFonts w:ascii="黑体" w:hAnsi="黑体" w:eastAsia="黑体" w:cs="黑体"/>
                <w:spacing w:val="-8"/>
              </w:rPr>
              <w:t>监事应当签署书面确认意见。</w:t>
            </w:r>
          </w:p>
          <w:p>
            <w:pPr>
              <w:pStyle w:val="8"/>
              <w:spacing w:before="26" w:line="226" w:lineRule="auto"/>
              <w:ind w:left="18" w:right="37" w:firstLine="499"/>
            </w:pPr>
            <w:r>
              <w:rPr>
                <w:rFonts w:ascii="黑体" w:hAnsi="黑体" w:eastAsia="黑体" w:cs="黑体"/>
              </w:rPr>
              <w:t>发行人</w:t>
            </w:r>
            <w:r>
              <w:t>的董事、监事和高级管理人员应当保证</w:t>
            </w:r>
            <w:r>
              <w:rPr>
                <w:rFonts w:ascii="黑体" w:hAnsi="黑体" w:eastAsia="黑体" w:cs="黑体"/>
              </w:rPr>
              <w:t xml:space="preserve">发行人及时、 </w:t>
            </w:r>
            <w:r>
              <w:rPr>
                <w:rFonts w:ascii="黑体" w:hAnsi="黑体" w:eastAsia="黑体" w:cs="黑体"/>
                <w:spacing w:val="-3"/>
              </w:rPr>
              <w:t>公平地披露信息，</w:t>
            </w:r>
            <w:r>
              <w:rPr>
                <w:spacing w:val="-3"/>
              </w:rPr>
              <w:t>所披露的信息真实、准确、完整。</w:t>
            </w:r>
          </w:p>
          <w:p>
            <w:pPr>
              <w:spacing w:before="34" w:line="233" w:lineRule="auto"/>
              <w:ind w:left="19" w:right="7" w:firstLine="502"/>
              <w:rPr>
                <w:rFonts w:ascii="黑体" w:hAnsi="黑体" w:eastAsia="黑体" w:cs="黑体"/>
                <w:sz w:val="24"/>
                <w:szCs w:val="24"/>
              </w:rPr>
            </w:pPr>
            <w:r>
              <w:rPr>
                <w:rFonts w:ascii="黑体" w:hAnsi="黑体" w:eastAsia="黑体" w:cs="黑体"/>
                <w:spacing w:val="1"/>
                <w:sz w:val="24"/>
                <w:szCs w:val="24"/>
              </w:rPr>
              <w:t>董事、监事和高级管理人员无法保证证券发行文件和定期报</w:t>
            </w:r>
            <w:r>
              <w:rPr>
                <w:rFonts w:ascii="黑体" w:hAnsi="黑体" w:eastAsia="黑体" w:cs="黑体"/>
                <w:sz w:val="24"/>
                <w:szCs w:val="24"/>
              </w:rPr>
              <w:t xml:space="preserve"> </w:t>
            </w:r>
            <w:r>
              <w:rPr>
                <w:rFonts w:ascii="黑体" w:hAnsi="黑体" w:eastAsia="黑体" w:cs="黑体"/>
                <w:spacing w:val="-3"/>
                <w:sz w:val="24"/>
                <w:szCs w:val="24"/>
              </w:rPr>
              <w:t>告内容的真实性、准确性、完整性或者有异议的， 应当在书面确</w:t>
            </w:r>
            <w:r>
              <w:rPr>
                <w:rFonts w:ascii="黑体" w:hAnsi="黑体" w:eastAsia="黑体" w:cs="黑体"/>
                <w:spacing w:val="15"/>
                <w:sz w:val="24"/>
                <w:szCs w:val="24"/>
              </w:rPr>
              <w:t xml:space="preserve"> </w:t>
            </w:r>
            <w:r>
              <w:rPr>
                <w:rFonts w:ascii="黑体" w:hAnsi="黑体" w:eastAsia="黑体" w:cs="黑体"/>
                <w:spacing w:val="-3"/>
                <w:sz w:val="24"/>
                <w:szCs w:val="24"/>
              </w:rPr>
              <w:t>认意见中发表意见并陈述理由， 发行人应当披露。发行人不予披</w:t>
            </w:r>
            <w:r>
              <w:rPr>
                <w:rFonts w:ascii="黑体" w:hAnsi="黑体" w:eastAsia="黑体" w:cs="黑体"/>
                <w:spacing w:val="15"/>
                <w:sz w:val="24"/>
                <w:szCs w:val="24"/>
              </w:rPr>
              <w:t xml:space="preserve"> </w:t>
            </w:r>
            <w:r>
              <w:rPr>
                <w:rFonts w:ascii="黑体" w:hAnsi="黑体" w:eastAsia="黑体" w:cs="黑体"/>
                <w:spacing w:val="-2"/>
                <w:sz w:val="24"/>
                <w:szCs w:val="24"/>
              </w:rPr>
              <w:t>露的，董事、监事和高级管理人员可以直接披露。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797" w:type="dxa"/>
            <w:gridSpan w:val="4"/>
            <w:tcBorders>
              <w:bottom w:val="single" w:color="000000" w:sz="2" w:space="0"/>
              <w:right w:val="single" w:color="000000" w:sz="2" w:space="0"/>
            </w:tcBorders>
            <w:vAlign w:val="top"/>
          </w:tcPr>
          <w:p>
            <w:pPr>
              <w:spacing w:before="35" w:line="202" w:lineRule="auto"/>
              <w:ind w:left="513"/>
              <w:rPr>
                <w:rFonts w:ascii="黑体" w:hAnsi="黑体" w:eastAsia="黑体" w:cs="黑体"/>
                <w:sz w:val="24"/>
                <w:szCs w:val="24"/>
              </w:rPr>
            </w:pPr>
            <w:r>
              <w:rPr>
                <w:rFonts w:ascii="黑体" w:hAnsi="黑体" w:eastAsia="黑体" w:cs="黑体"/>
                <w:spacing w:val="9"/>
                <w:sz w:val="24"/>
                <w:szCs w:val="24"/>
              </w:rPr>
              <w:t>第七十一条第二款</w:t>
            </w:r>
          </w:p>
        </w:tc>
        <w:tc>
          <w:tcPr>
            <w:tcW w:w="4298" w:type="dxa"/>
            <w:gridSpan w:val="6"/>
            <w:tcBorders>
              <w:left w:val="single" w:color="000000" w:sz="2" w:space="0"/>
              <w:bottom w:val="single" w:color="000000" w:sz="2" w:space="0"/>
            </w:tcBorders>
            <w:shd w:val="clear" w:color="auto" w:fill="D9D9D9"/>
            <w:vAlign w:val="top"/>
          </w:tcPr>
          <w:p>
            <w:pPr>
              <w:pStyle w:val="8"/>
              <w:spacing w:before="36" w:line="201" w:lineRule="auto"/>
              <w:ind w:left="13"/>
            </w:pPr>
            <w:r>
              <w:rPr>
                <w:spacing w:val="10"/>
              </w:rPr>
              <w:t>证券监督管理机构、证券交易所、保荐</w:t>
            </w:r>
          </w:p>
        </w:tc>
        <w:tc>
          <w:tcPr>
            <w:tcW w:w="6812" w:type="dxa"/>
            <w:vMerge w:val="restart"/>
            <w:tcBorders>
              <w:bottom w:val="nil"/>
            </w:tcBorders>
            <w:vAlign w:val="top"/>
          </w:tcPr>
          <w:p>
            <w:pPr>
              <w:spacing w:before="24" w:line="233" w:lineRule="auto"/>
              <w:ind w:left="18" w:right="4" w:firstLine="497"/>
              <w:rPr>
                <w:rFonts w:ascii="黑体" w:hAnsi="黑体" w:eastAsia="黑体" w:cs="黑体"/>
                <w:sz w:val="24"/>
                <w:szCs w:val="24"/>
              </w:rPr>
            </w:pPr>
            <w:r>
              <w:rPr>
                <w:rFonts w:ascii="黑体" w:hAnsi="黑体" w:eastAsia="黑体" w:cs="黑体"/>
                <w:spacing w:val="1"/>
                <w:sz w:val="24"/>
                <w:szCs w:val="24"/>
              </w:rPr>
              <w:t>第八十三条  信息披露义务人披露的信息应当同时向所有投</w:t>
            </w:r>
            <w:r>
              <w:rPr>
                <w:rFonts w:ascii="黑体" w:hAnsi="黑体" w:eastAsia="黑体" w:cs="黑体"/>
                <w:spacing w:val="8"/>
                <w:sz w:val="24"/>
                <w:szCs w:val="24"/>
              </w:rPr>
              <w:t xml:space="preserve"> </w:t>
            </w:r>
            <w:r>
              <w:rPr>
                <w:rFonts w:ascii="黑体" w:hAnsi="黑体" w:eastAsia="黑体" w:cs="黑体"/>
                <w:spacing w:val="-2"/>
                <w:sz w:val="24"/>
                <w:szCs w:val="24"/>
              </w:rPr>
              <w:t>资者披露，不得提前向任何单位和个人泄露。</w:t>
            </w:r>
            <w:r>
              <w:rPr>
                <w:rFonts w:ascii="黑体" w:hAnsi="黑体" w:eastAsia="黑体" w:cs="黑体"/>
                <w:spacing w:val="-12"/>
                <w:sz w:val="24"/>
                <w:szCs w:val="24"/>
              </w:rPr>
              <w:t xml:space="preserve"> </w:t>
            </w:r>
            <w:r>
              <w:rPr>
                <w:rFonts w:ascii="黑体" w:hAnsi="黑体" w:eastAsia="黑体" w:cs="黑体"/>
                <w:spacing w:val="-2"/>
                <w:sz w:val="24"/>
                <w:szCs w:val="24"/>
              </w:rPr>
              <w:t>但是，法律、行政</w:t>
            </w:r>
            <w:r>
              <w:rPr>
                <w:rFonts w:ascii="黑体" w:hAnsi="黑体" w:eastAsia="黑体" w:cs="黑体"/>
                <w:sz w:val="24"/>
                <w:szCs w:val="24"/>
              </w:rPr>
              <w:t xml:space="preserve"> </w:t>
            </w:r>
            <w:r>
              <w:rPr>
                <w:rFonts w:ascii="黑体" w:hAnsi="黑体" w:eastAsia="黑体" w:cs="黑体"/>
                <w:spacing w:val="-4"/>
                <w:sz w:val="24"/>
                <w:szCs w:val="24"/>
              </w:rPr>
              <w:t>法规另有规定的除外。</w:t>
            </w:r>
          </w:p>
          <w:p>
            <w:pPr>
              <w:spacing w:before="23" w:line="230" w:lineRule="auto"/>
              <w:ind w:left="14" w:right="7" w:firstLine="500"/>
              <w:rPr>
                <w:rFonts w:ascii="黑体" w:hAnsi="黑体" w:eastAsia="黑体" w:cs="黑体"/>
                <w:sz w:val="24"/>
                <w:szCs w:val="24"/>
              </w:rPr>
            </w:pPr>
            <w:r>
              <w:rPr>
                <w:rFonts w:ascii="黑体" w:hAnsi="黑体" w:eastAsia="黑体" w:cs="黑体"/>
                <w:spacing w:val="1"/>
                <w:sz w:val="24"/>
                <w:szCs w:val="24"/>
              </w:rPr>
              <w:t>任何单位和个人不得非法要求信息披露义务人提供依法需要</w:t>
            </w:r>
            <w:r>
              <w:rPr>
                <w:rFonts w:ascii="黑体" w:hAnsi="黑体" w:eastAsia="黑体" w:cs="黑体"/>
                <w:spacing w:val="7"/>
                <w:sz w:val="24"/>
                <w:szCs w:val="24"/>
              </w:rPr>
              <w:t xml:space="preserve"> </w:t>
            </w:r>
            <w:r>
              <w:rPr>
                <w:rFonts w:ascii="黑体" w:hAnsi="黑体" w:eastAsia="黑体" w:cs="黑体"/>
                <w:sz w:val="24"/>
                <w:szCs w:val="24"/>
              </w:rPr>
              <w:t xml:space="preserve">披露但尚未披露的信息。任何单位和个人提前获知的前述信息， </w:t>
            </w:r>
            <w:r>
              <w:rPr>
                <w:rFonts w:ascii="黑体" w:hAnsi="黑体" w:eastAsia="黑体" w:cs="黑体"/>
                <w:spacing w:val="-4"/>
                <w:sz w:val="24"/>
                <w:szCs w:val="24"/>
              </w:rPr>
              <w:t>在依法披露前应当保密。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5" w:type="dxa"/>
            <w:gridSpan w:val="10"/>
            <w:tcBorders>
              <w:top w:val="single" w:color="000000" w:sz="2" w:space="0"/>
              <w:bottom w:val="single" w:color="000000" w:sz="2" w:space="0"/>
            </w:tcBorders>
            <w:shd w:val="clear" w:color="auto" w:fill="D9D9D9"/>
            <w:vAlign w:val="top"/>
          </w:tcPr>
          <w:p>
            <w:pPr>
              <w:pStyle w:val="8"/>
              <w:spacing w:before="54" w:line="202" w:lineRule="auto"/>
              <w:ind w:left="25"/>
            </w:pPr>
            <w:r>
              <w:rPr>
                <w:spacing w:val="-1"/>
              </w:rPr>
              <w:t>人、承销的证券公司及有关人员， 对公司依照法律</w:t>
            </w:r>
            <w:r>
              <w:rPr>
                <w:spacing w:val="-2"/>
              </w:rPr>
              <w:t>、行政法规规定</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4832" w:type="dxa"/>
            <w:gridSpan w:val="8"/>
            <w:tcBorders>
              <w:top w:val="single" w:color="000000" w:sz="2" w:space="0"/>
              <w:bottom w:val="single" w:color="000000" w:sz="2" w:space="0"/>
              <w:right w:val="single" w:color="000000" w:sz="2" w:space="0"/>
            </w:tcBorders>
            <w:shd w:val="clear" w:color="auto" w:fill="D9D9D9"/>
            <w:vAlign w:val="top"/>
          </w:tcPr>
          <w:p>
            <w:pPr>
              <w:pStyle w:val="8"/>
              <w:spacing w:before="54" w:line="202" w:lineRule="auto"/>
              <w:ind w:left="37"/>
            </w:pPr>
            <w:r>
              <w:rPr>
                <w:spacing w:val="-4"/>
              </w:rPr>
              <w:t>必须作出的公告，在公告前不得泄露其内容。</w:t>
            </w:r>
          </w:p>
        </w:tc>
        <w:tc>
          <w:tcPr>
            <w:tcW w:w="2263" w:type="dxa"/>
            <w:gridSpan w:val="2"/>
            <w:vMerge w:val="restart"/>
            <w:tcBorders>
              <w:top w:val="single" w:color="000000" w:sz="2" w:space="0"/>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4832" w:type="dxa"/>
            <w:gridSpan w:val="8"/>
            <w:tcBorders>
              <w:top w:val="single" w:color="000000" w:sz="2" w:space="0"/>
              <w:right w:val="nil"/>
            </w:tcBorders>
            <w:vAlign w:val="top"/>
          </w:tcPr>
          <w:p>
            <w:pPr>
              <w:rPr>
                <w:rFonts w:ascii="Arial"/>
                <w:sz w:val="21"/>
              </w:rPr>
            </w:pPr>
          </w:p>
        </w:tc>
        <w:tc>
          <w:tcPr>
            <w:tcW w:w="2263" w:type="dxa"/>
            <w:gridSpan w:val="2"/>
            <w:vMerge w:val="continue"/>
            <w:tcBorders>
              <w:top w:val="nil"/>
              <w:left w:val="nil"/>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5" w:hRule="atLeast"/>
        </w:trPr>
        <w:tc>
          <w:tcPr>
            <w:tcW w:w="7095" w:type="dxa"/>
            <w:gridSpan w:val="10"/>
            <w:vAlign w:val="top"/>
          </w:tcPr>
          <w:p>
            <w:pPr>
              <w:rPr>
                <w:rFonts w:ascii="Arial"/>
                <w:sz w:val="21"/>
              </w:rPr>
            </w:pPr>
          </w:p>
        </w:tc>
        <w:tc>
          <w:tcPr>
            <w:tcW w:w="6812" w:type="dxa"/>
            <w:vAlign w:val="top"/>
          </w:tcPr>
          <w:p>
            <w:pPr>
              <w:spacing w:before="31" w:line="231" w:lineRule="auto"/>
              <w:ind w:left="19" w:right="5" w:firstLine="496"/>
              <w:jc w:val="both"/>
              <w:rPr>
                <w:rFonts w:ascii="黑体" w:hAnsi="黑体" w:eastAsia="黑体" w:cs="黑体"/>
                <w:sz w:val="24"/>
                <w:szCs w:val="24"/>
              </w:rPr>
            </w:pPr>
            <w:r>
              <w:rPr>
                <w:rFonts w:ascii="黑体" w:hAnsi="黑体" w:eastAsia="黑体" w:cs="黑体"/>
                <w:spacing w:val="1"/>
                <w:sz w:val="24"/>
                <w:szCs w:val="24"/>
              </w:rPr>
              <w:t>第八十四条  除依法需要披露的信息之外，信息披露义务人</w:t>
            </w:r>
            <w:r>
              <w:rPr>
                <w:rFonts w:ascii="黑体" w:hAnsi="黑体" w:eastAsia="黑体" w:cs="黑体"/>
                <w:spacing w:val="8"/>
                <w:sz w:val="24"/>
                <w:szCs w:val="24"/>
              </w:rPr>
              <w:t xml:space="preserve"> </w:t>
            </w:r>
            <w:r>
              <w:rPr>
                <w:rFonts w:ascii="黑体" w:hAnsi="黑体" w:eastAsia="黑体" w:cs="黑体"/>
                <w:spacing w:val="1"/>
                <w:sz w:val="24"/>
                <w:szCs w:val="24"/>
              </w:rPr>
              <w:t>可以自愿披露与投资者作出价值判断和投资决策有关的信息，但</w:t>
            </w:r>
            <w:r>
              <w:rPr>
                <w:rFonts w:ascii="黑体" w:hAnsi="黑体" w:eastAsia="黑体" w:cs="黑体"/>
                <w:spacing w:val="10"/>
                <w:sz w:val="24"/>
                <w:szCs w:val="24"/>
              </w:rPr>
              <w:t xml:space="preserve"> </w:t>
            </w:r>
            <w:r>
              <w:rPr>
                <w:rFonts w:ascii="黑体" w:hAnsi="黑体" w:eastAsia="黑体" w:cs="黑体"/>
                <w:spacing w:val="-2"/>
                <w:sz w:val="24"/>
                <w:szCs w:val="24"/>
              </w:rPr>
              <w:t>不得与依法披露的信息相冲突，不得误导投资者。</w:t>
            </w:r>
          </w:p>
          <w:p>
            <w:pPr>
              <w:spacing w:before="32" w:line="231" w:lineRule="auto"/>
              <w:ind w:left="20" w:right="7" w:firstLine="497"/>
              <w:jc w:val="both"/>
              <w:rPr>
                <w:rFonts w:ascii="黑体" w:hAnsi="黑体" w:eastAsia="黑体" w:cs="黑体"/>
                <w:sz w:val="24"/>
                <w:szCs w:val="24"/>
              </w:rPr>
            </w:pPr>
            <w:r>
              <w:rPr>
                <w:rFonts w:ascii="黑体" w:hAnsi="黑体" w:eastAsia="黑体" w:cs="黑体"/>
                <w:spacing w:val="1"/>
                <w:sz w:val="24"/>
                <w:szCs w:val="24"/>
              </w:rPr>
              <w:t>发行人及其控股股东、实际控制人、董事、监事、高级管理</w:t>
            </w:r>
            <w:r>
              <w:rPr>
                <w:rFonts w:ascii="黑体" w:hAnsi="黑体" w:eastAsia="黑体" w:cs="黑体"/>
                <w:spacing w:val="4"/>
                <w:sz w:val="24"/>
                <w:szCs w:val="24"/>
              </w:rPr>
              <w:t xml:space="preserve"> </w:t>
            </w:r>
            <w:r>
              <w:rPr>
                <w:rFonts w:ascii="黑体" w:hAnsi="黑体" w:eastAsia="黑体" w:cs="黑体"/>
                <w:spacing w:val="2"/>
                <w:sz w:val="24"/>
                <w:szCs w:val="24"/>
              </w:rPr>
              <w:t>人员等作出公开承诺的，应当披露。不履行</w:t>
            </w:r>
            <w:r>
              <w:rPr>
                <w:rFonts w:ascii="黑体" w:hAnsi="黑体" w:eastAsia="黑体" w:cs="黑体"/>
                <w:spacing w:val="1"/>
                <w:sz w:val="24"/>
                <w:szCs w:val="24"/>
              </w:rPr>
              <w:t>承诺给投资者造成损</w:t>
            </w:r>
            <w:r>
              <w:rPr>
                <w:rFonts w:ascii="黑体" w:hAnsi="黑体" w:eastAsia="黑体" w:cs="黑体"/>
                <w:sz w:val="24"/>
                <w:szCs w:val="24"/>
              </w:rPr>
              <w:t xml:space="preserve"> </w:t>
            </w:r>
            <w:r>
              <w:rPr>
                <w:rFonts w:ascii="黑体" w:hAnsi="黑体" w:eastAsia="黑体" w:cs="黑体"/>
                <w:spacing w:val="-3"/>
                <w:sz w:val="24"/>
                <w:szCs w:val="24"/>
              </w:rPr>
              <w:t>失的，应当依法承担赔偿责任。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979" w:type="dxa"/>
            <w:gridSpan w:val="3"/>
            <w:tcBorders>
              <w:bottom w:val="single" w:color="000000" w:sz="2" w:space="0"/>
              <w:right w:val="single" w:color="000000" w:sz="2" w:space="0"/>
            </w:tcBorders>
            <w:vAlign w:val="top"/>
          </w:tcPr>
          <w:p>
            <w:pPr>
              <w:spacing w:before="33" w:line="203" w:lineRule="auto"/>
              <w:ind w:left="513"/>
              <w:rPr>
                <w:rFonts w:ascii="黑体" w:hAnsi="黑体" w:eastAsia="黑体" w:cs="黑体"/>
                <w:sz w:val="24"/>
                <w:szCs w:val="24"/>
              </w:rPr>
            </w:pPr>
            <w:r>
              <w:rPr>
                <w:rFonts w:ascii="黑体" w:hAnsi="黑体" w:eastAsia="黑体" w:cs="黑体"/>
                <w:spacing w:val="-1"/>
                <w:sz w:val="24"/>
                <w:szCs w:val="24"/>
              </w:rPr>
              <w:t>第六十九条</w:t>
            </w:r>
          </w:p>
        </w:tc>
        <w:tc>
          <w:tcPr>
            <w:tcW w:w="5116" w:type="dxa"/>
            <w:gridSpan w:val="7"/>
            <w:tcBorders>
              <w:left w:val="single" w:color="000000" w:sz="2" w:space="0"/>
              <w:bottom w:val="single" w:color="000000" w:sz="2" w:space="0"/>
            </w:tcBorders>
            <w:shd w:val="clear" w:color="auto" w:fill="D9D9D9"/>
            <w:vAlign w:val="top"/>
          </w:tcPr>
          <w:p>
            <w:pPr>
              <w:pStyle w:val="8"/>
              <w:spacing w:before="34" w:line="202" w:lineRule="auto"/>
              <w:ind w:left="5"/>
            </w:pPr>
            <w:r>
              <w:rPr>
                <w:spacing w:val="2"/>
              </w:rPr>
              <w:t>发行人、上市公司公告的招股说明书、公司债券</w:t>
            </w:r>
          </w:p>
        </w:tc>
        <w:tc>
          <w:tcPr>
            <w:tcW w:w="6812" w:type="dxa"/>
            <w:vMerge w:val="restart"/>
            <w:tcBorders>
              <w:bottom w:val="nil"/>
            </w:tcBorders>
            <w:vAlign w:val="top"/>
          </w:tcPr>
          <w:p>
            <w:pPr>
              <w:pStyle w:val="8"/>
              <w:spacing w:before="19" w:line="232" w:lineRule="auto"/>
              <w:ind w:left="19" w:right="3" w:firstLine="496"/>
              <w:jc w:val="both"/>
              <w:rPr>
                <w:rFonts w:ascii="黑体" w:hAnsi="黑体" w:eastAsia="黑体" w:cs="黑体"/>
              </w:rPr>
            </w:pPr>
            <w:r>
              <w:rPr>
                <w:rFonts w:ascii="黑体" w:hAnsi="黑体" w:eastAsia="黑体" w:cs="黑体"/>
                <w:spacing w:val="-3"/>
              </w:rPr>
              <w:t>第八十五条  信息披露义务人未按照规定披露信息， 或者公</w:t>
            </w:r>
            <w:r>
              <w:rPr>
                <w:rFonts w:ascii="黑体" w:hAnsi="黑体" w:eastAsia="黑体" w:cs="黑体"/>
              </w:rPr>
              <w:t xml:space="preserve"> </w:t>
            </w:r>
            <w:r>
              <w:rPr>
                <w:rFonts w:ascii="黑体" w:hAnsi="黑体" w:eastAsia="黑体" w:cs="黑体"/>
                <w:spacing w:val="2"/>
              </w:rPr>
              <w:t>告的证券发行文件、定期报告、临时报告及其他</w:t>
            </w:r>
            <w:r>
              <w:rPr>
                <w:spacing w:val="2"/>
              </w:rPr>
              <w:t>信息披</w:t>
            </w:r>
            <w:r>
              <w:rPr>
                <w:spacing w:val="1"/>
              </w:rPr>
              <w:t>露资料存</w:t>
            </w:r>
            <w:r>
              <w:t xml:space="preserve"> </w:t>
            </w:r>
            <w:r>
              <w:rPr>
                <w:spacing w:val="-3"/>
              </w:rPr>
              <w:t>在虚假记载、误导性陈述或者重大遗漏， 致使投资者在证券交易</w:t>
            </w:r>
            <w:r>
              <w:rPr>
                <w:spacing w:val="15"/>
              </w:rPr>
              <w:t xml:space="preserve"> </w:t>
            </w:r>
            <w:r>
              <w:rPr>
                <w:spacing w:val="2"/>
              </w:rPr>
              <w:t>中遭受损失的，信息披露义务人应当承担赔偿责任；发</w:t>
            </w:r>
            <w:r>
              <w:rPr>
                <w:spacing w:val="1"/>
              </w:rPr>
              <w:t>行人的</w:t>
            </w:r>
            <w:r>
              <w:rPr>
                <w:rFonts w:ascii="黑体" w:hAnsi="黑体" w:eastAsia="黑体" w:cs="黑体"/>
                <w:spacing w:val="1"/>
              </w:rPr>
              <w:t>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922" w:type="dxa"/>
            <w:gridSpan w:val="6"/>
            <w:tcBorders>
              <w:top w:val="single" w:color="000000" w:sz="2" w:space="0"/>
              <w:bottom w:val="single" w:color="000000" w:sz="2" w:space="0"/>
              <w:right w:val="single" w:color="000000" w:sz="2" w:space="0"/>
            </w:tcBorders>
            <w:shd w:val="clear" w:color="auto" w:fill="D9D9D9"/>
            <w:vAlign w:val="top"/>
          </w:tcPr>
          <w:p>
            <w:pPr>
              <w:pStyle w:val="8"/>
              <w:spacing w:before="53" w:line="196" w:lineRule="auto"/>
              <w:ind w:left="23"/>
            </w:pPr>
            <w:r>
              <w:rPr>
                <w:spacing w:val="1"/>
              </w:rPr>
              <w:t>募集办法、财务会计报告、上市报告</w:t>
            </w:r>
          </w:p>
        </w:tc>
        <w:tc>
          <w:tcPr>
            <w:tcW w:w="720" w:type="dxa"/>
            <w:tcBorders>
              <w:top w:val="single" w:color="000000" w:sz="2" w:space="0"/>
              <w:left w:val="single" w:color="000000" w:sz="2" w:space="0"/>
              <w:bottom w:val="nil"/>
              <w:right w:val="single" w:color="000000" w:sz="2" w:space="0"/>
            </w:tcBorders>
            <w:vAlign w:val="top"/>
          </w:tcPr>
          <w:p>
            <w:pPr>
              <w:pStyle w:val="8"/>
              <w:spacing w:before="53" w:line="196" w:lineRule="auto"/>
              <w:ind w:left="10"/>
            </w:pPr>
            <w:r>
              <w:rPr>
                <w:spacing w:val="-7"/>
              </w:rPr>
              <w:t>文件、</w:t>
            </w:r>
          </w:p>
        </w:tc>
        <w:tc>
          <w:tcPr>
            <w:tcW w:w="1466"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3" w:line="196" w:lineRule="auto"/>
              <w:jc w:val="right"/>
            </w:pPr>
            <w:r>
              <w:rPr>
                <w:spacing w:val="-1"/>
              </w:rPr>
              <w:t>年度报告、中</w:t>
            </w:r>
          </w:p>
        </w:tc>
        <w:tc>
          <w:tcPr>
            <w:tcW w:w="987" w:type="dxa"/>
            <w:tcBorders>
              <w:top w:val="single" w:color="000000" w:sz="2" w:space="0"/>
              <w:left w:val="single" w:color="000000" w:sz="2" w:space="0"/>
              <w:bottom w:val="nil"/>
            </w:tcBorders>
            <w:vAlign w:val="top"/>
          </w:tcPr>
          <w:p>
            <w:pPr>
              <w:pStyle w:val="8"/>
              <w:spacing w:before="53" w:line="196" w:lineRule="auto"/>
              <w:ind w:left="23"/>
            </w:pPr>
            <w:r>
              <w:rPr>
                <w:spacing w:val="-9"/>
              </w:rPr>
              <w:t>期报告、</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986" w:type="dxa"/>
            <w:vMerge w:val="restart"/>
            <w:tcBorders>
              <w:top w:val="single" w:color="000000" w:sz="2" w:space="0"/>
              <w:bottom w:val="nil"/>
              <w:right w:val="nil"/>
            </w:tcBorders>
            <w:vAlign w:val="top"/>
          </w:tcPr>
          <w:p>
            <w:pPr>
              <w:pStyle w:val="8"/>
              <w:spacing w:before="61" w:line="217" w:lineRule="auto"/>
              <w:ind w:left="27"/>
            </w:pPr>
            <w:r>
              <w:rPr>
                <w:spacing w:val="-5"/>
              </w:rPr>
              <w:t>临时报告</w:t>
            </w:r>
          </w:p>
        </w:tc>
        <w:tc>
          <w:tcPr>
            <w:tcW w:w="267" w:type="dxa"/>
            <w:vMerge w:val="restart"/>
            <w:tcBorders>
              <w:top w:val="single" w:color="000000" w:sz="2" w:space="0"/>
              <w:left w:val="nil"/>
              <w:bottom w:val="nil"/>
              <w:right w:val="nil"/>
            </w:tcBorders>
            <w:vAlign w:val="top"/>
          </w:tcPr>
          <w:p>
            <w:pPr>
              <w:pStyle w:val="8"/>
              <w:spacing w:before="24"/>
            </w:pPr>
            <w:r>
              <w:rPr>
                <w:position w:val="-7"/>
                <w:shd w:val="clear" w:fill="D9D9D9"/>
              </w:rPr>
              <w:drawing>
                <wp:inline distT="0" distB="0" distL="0" distR="0">
                  <wp:extent cx="6350" cy="203835"/>
                  <wp:effectExtent l="0" t="0" r="0"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76"/>
                          <a:stretch>
                            <a:fillRect/>
                          </a:stretch>
                        </pic:blipFill>
                        <pic:spPr>
                          <a:xfrm>
                            <a:off x="0" y="0"/>
                            <a:ext cx="6745" cy="204216"/>
                          </a:xfrm>
                          <a:prstGeom prst="rect">
                            <a:avLst/>
                          </a:prstGeom>
                        </pic:spPr>
                      </pic:pic>
                    </a:graphicData>
                  </a:graphic>
                </wp:inline>
              </w:drawing>
            </w:r>
            <w:r>
              <w:rPr>
                <w:spacing w:val="-4"/>
                <w:u w:val="single" w:color="auto"/>
                <w:shd w:val="clear" w:fill="D9D9D9"/>
              </w:rPr>
              <w:t>以</w:t>
            </w:r>
            <w:r>
              <w:rPr>
                <w:position w:val="-7"/>
                <w:shd w:val="clear" w:fill="D9D9D9"/>
              </w:rPr>
              <w:drawing>
                <wp:inline distT="0" distB="0" distL="0" distR="0">
                  <wp:extent cx="6350" cy="203835"/>
                  <wp:effectExtent l="0" t="0" r="0" b="0"/>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05"/>
                          <a:stretch>
                            <a:fillRect/>
                          </a:stretch>
                        </pic:blipFill>
                        <pic:spPr>
                          <a:xfrm>
                            <a:off x="0" y="0"/>
                            <a:ext cx="6745" cy="204216"/>
                          </a:xfrm>
                          <a:prstGeom prst="rect">
                            <a:avLst/>
                          </a:prstGeom>
                        </pic:spPr>
                      </pic:pic>
                    </a:graphicData>
                  </a:graphic>
                </wp:inline>
              </w:drawing>
            </w:r>
          </w:p>
        </w:tc>
        <w:tc>
          <w:tcPr>
            <w:tcW w:w="2187" w:type="dxa"/>
            <w:gridSpan w:val="3"/>
            <w:vMerge w:val="restart"/>
            <w:tcBorders>
              <w:top w:val="single" w:color="000000" w:sz="2" w:space="0"/>
              <w:left w:val="nil"/>
              <w:bottom w:val="nil"/>
              <w:right w:val="single" w:color="000000" w:sz="2" w:space="0"/>
            </w:tcBorders>
            <w:vAlign w:val="top"/>
          </w:tcPr>
          <w:p>
            <w:pPr>
              <w:pStyle w:val="8"/>
              <w:spacing w:before="61" w:line="215" w:lineRule="auto"/>
            </w:pPr>
            <w:r>
              <w:rPr>
                <w:spacing w:val="1"/>
              </w:rPr>
              <w:t>及其他信息披露资料</w:t>
            </w:r>
          </w:p>
        </w:tc>
        <w:tc>
          <w:tcPr>
            <w:tcW w:w="482"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60" w:line="197" w:lineRule="auto"/>
              <w:ind w:left="29"/>
            </w:pPr>
            <w:r>
              <w:rPr>
                <w:spacing w:val="33"/>
              </w:rPr>
              <w:t>,有</w:t>
            </w:r>
          </w:p>
        </w:tc>
        <w:tc>
          <w:tcPr>
            <w:tcW w:w="3173" w:type="dxa"/>
            <w:gridSpan w:val="4"/>
            <w:vMerge w:val="restart"/>
            <w:tcBorders>
              <w:top w:val="nil"/>
              <w:left w:val="single" w:color="000000" w:sz="2" w:space="0"/>
              <w:bottom w:val="nil"/>
            </w:tcBorders>
            <w:vAlign w:val="top"/>
          </w:tcPr>
          <w:p>
            <w:pPr>
              <w:pStyle w:val="8"/>
              <w:spacing w:before="61" w:line="215" w:lineRule="auto"/>
              <w:jc w:val="right"/>
            </w:pPr>
            <w:r>
              <w:rPr>
                <w:spacing w:val="2"/>
              </w:rPr>
              <w:t>虚假记载、误导性陈述或者重</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86" w:type="dxa"/>
            <w:vMerge w:val="continue"/>
            <w:tcBorders>
              <w:top w:val="nil"/>
              <w:right w:val="nil"/>
            </w:tcBorders>
            <w:vAlign w:val="top"/>
          </w:tcPr>
          <w:p>
            <w:pPr>
              <w:rPr>
                <w:rFonts w:ascii="Arial"/>
                <w:sz w:val="21"/>
              </w:rPr>
            </w:pPr>
          </w:p>
        </w:tc>
        <w:tc>
          <w:tcPr>
            <w:tcW w:w="267" w:type="dxa"/>
            <w:vMerge w:val="continue"/>
            <w:tcBorders>
              <w:top w:val="nil"/>
              <w:left w:val="nil"/>
              <w:right w:val="nil"/>
            </w:tcBorders>
            <w:vAlign w:val="top"/>
          </w:tcPr>
          <w:p>
            <w:pPr>
              <w:rPr>
                <w:rFonts w:ascii="Arial"/>
                <w:sz w:val="21"/>
              </w:rPr>
            </w:pPr>
          </w:p>
        </w:tc>
        <w:tc>
          <w:tcPr>
            <w:tcW w:w="2187" w:type="dxa"/>
            <w:gridSpan w:val="3"/>
            <w:vMerge w:val="continue"/>
            <w:tcBorders>
              <w:top w:val="nil"/>
              <w:left w:val="nil"/>
              <w:right w:val="single" w:color="000000" w:sz="2" w:space="0"/>
            </w:tcBorders>
            <w:vAlign w:val="top"/>
          </w:tcPr>
          <w:p>
            <w:pPr>
              <w:rPr>
                <w:rFonts w:ascii="Arial"/>
                <w:sz w:val="21"/>
              </w:rPr>
            </w:pPr>
          </w:p>
        </w:tc>
        <w:tc>
          <w:tcPr>
            <w:tcW w:w="482" w:type="dxa"/>
            <w:tcBorders>
              <w:top w:val="single" w:color="000000" w:sz="2" w:space="0"/>
              <w:left w:val="nil"/>
              <w:right w:val="nil"/>
            </w:tcBorders>
            <w:vAlign w:val="top"/>
          </w:tcPr>
          <w:p>
            <w:pPr>
              <w:rPr>
                <w:rFonts w:ascii="Arial"/>
                <w:sz w:val="21"/>
              </w:rPr>
            </w:pPr>
          </w:p>
        </w:tc>
        <w:tc>
          <w:tcPr>
            <w:tcW w:w="3173" w:type="dxa"/>
            <w:gridSpan w:val="4"/>
            <w:vMerge w:val="continue"/>
            <w:tcBorders>
              <w:top w:val="nil"/>
              <w:left w:val="single" w:color="000000" w:sz="2" w:space="0"/>
            </w:tcBorders>
            <w:vAlign w:val="top"/>
          </w:tcPr>
          <w:p>
            <w:pPr>
              <w:rPr>
                <w:rFonts w:ascii="Arial"/>
                <w:sz w:val="21"/>
              </w:rPr>
            </w:pPr>
          </w:p>
        </w:tc>
        <w:tc>
          <w:tcPr>
            <w:tcW w:w="6812" w:type="dxa"/>
            <w:vMerge w:val="continue"/>
            <w:tcBorders>
              <w:top w:val="nil"/>
            </w:tcBorders>
            <w:vAlign w:val="top"/>
          </w:tcPr>
          <w:p>
            <w:pPr>
              <w:rPr>
                <w:rFonts w:ascii="Arial"/>
                <w:sz w:val="21"/>
              </w:rPr>
            </w:pPr>
          </w:p>
        </w:tc>
      </w:tr>
    </w:tbl>
    <w:p>
      <w:pPr>
        <w:spacing w:before="78" w:line="186"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p>
      <w:pPr>
        <w:spacing w:line="186" w:lineRule="auto"/>
        <w:rPr>
          <w:rFonts w:ascii="Times New Roman" w:hAnsi="Times New Roman" w:eastAsia="Times New Roman" w:cs="Times New Roman"/>
          <w:sz w:val="18"/>
          <w:szCs w:val="18"/>
        </w:rPr>
        <w:sectPr>
          <w:footerReference r:id="rId30"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9"/>
        <w:gridCol w:w="4386"/>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7095" w:type="dxa"/>
            <w:gridSpan w:val="2"/>
            <w:tcBorders>
              <w:bottom w:val="nil"/>
            </w:tcBorders>
            <w:vAlign w:val="top"/>
          </w:tcPr>
          <w:p>
            <w:pPr>
              <w:pStyle w:val="8"/>
              <w:spacing w:before="54" w:line="214" w:lineRule="auto"/>
              <w:ind w:left="23"/>
            </w:pPr>
            <w:r>
              <w:pict>
                <v:shape id="_x0000_s1065" o:spid="_x0000_s1065" o:spt="202" type="#_x0000_t202" style="position:absolute;left:0pt;margin-left:254.95pt;margin-top:-0.15pt;height:18.15pt;width:99.6pt;z-index:251701248;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shd w:val="clear" w:fill="D9D9D9"/>
                          </w:rPr>
                          <w:drawing>
                            <wp:inline distT="0" distB="0" distL="0" distR="0">
                              <wp:extent cx="5715" cy="204470"/>
                              <wp:effectExtent l="0" t="0" r="0" b="0"/>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80"/>
                                      <a:stretch>
                                        <a:fillRect/>
                                      </a:stretch>
                                    </pic:blipFill>
                                    <pic:spPr>
                                      <a:xfrm>
                                        <a:off x="0" y="0"/>
                                        <a:ext cx="6096" cy="204520"/>
                                      </a:xfrm>
                                      <a:prstGeom prst="rect">
                                        <a:avLst/>
                                      </a:prstGeom>
                                    </pic:spPr>
                                  </pic:pic>
                                </a:graphicData>
                              </a:graphic>
                            </wp:inline>
                          </w:drawing>
                        </w:r>
                        <w:r>
                          <w:rPr>
                            <w:spacing w:val="2"/>
                            <w:shd w:val="clear" w:fill="D9D9D9"/>
                          </w:rPr>
                          <w:t>发行人、上市公司</w:t>
                        </w:r>
                      </w:p>
                    </w:txbxContent>
                  </v:textbox>
                </v:shape>
              </w:pict>
            </w:r>
            <w:r>
              <w:rPr>
                <w:spacing w:val="2"/>
              </w:rPr>
              <w:t>大遗漏，致使投资者在证券交易中遭受损失的，</w:t>
            </w:r>
          </w:p>
          <w:p>
            <w:pPr>
              <w:pStyle w:val="8"/>
              <w:spacing w:before="52" w:line="227" w:lineRule="auto"/>
              <w:ind w:left="30" w:hanging="11"/>
            </w:pPr>
            <w:r>
              <w:pict>
                <v:shape id="_x0000_s1066" o:spid="_x0000_s1066" o:spt="202" type="#_x0000_t202" style="position:absolute;left:0pt;margin-left:145.25pt;margin-top:-0.7pt;height:18.6pt;width:64pt;z-index:2516992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23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1234" w:type="dxa"/>
                              <w:vAlign w:val="top"/>
                            </w:tcPr>
                            <w:p>
                              <w:pPr>
                                <w:pStyle w:val="8"/>
                                <w:spacing w:before="41" w:line="207" w:lineRule="auto"/>
                                <w:ind w:left="33"/>
                              </w:pPr>
                              <w:r>
                                <w:rPr>
                                  <w:spacing w:val="-9"/>
                                  <w:shd w:val="clear" w:fill="D9D9D9"/>
                                </w:rPr>
                                <w:t>、上市公司</w:t>
                              </w:r>
                            </w:p>
                          </w:tc>
                        </w:tr>
                      </w:tbl>
                      <w:p>
                        <w:pPr>
                          <w:rPr>
                            <w:rFonts w:ascii="Arial"/>
                            <w:sz w:val="21"/>
                          </w:rPr>
                        </w:pPr>
                      </w:p>
                    </w:txbxContent>
                  </v:textbox>
                </v:shape>
              </w:pict>
            </w:r>
            <w:r>
              <w:rPr>
                <w:spacing w:val="-4"/>
              </w:rPr>
              <w:t>应当承担赔偿责任； 发行人</w:t>
            </w:r>
            <w:r>
              <w:rPr>
                <w:spacing w:val="7"/>
              </w:rPr>
              <w:t xml:space="preserve">          </w:t>
            </w:r>
            <w:r>
              <w:rPr>
                <w:spacing w:val="-4"/>
              </w:rPr>
              <w:t>的董事、监事、高级管理人</w:t>
            </w:r>
            <w:r>
              <w:rPr>
                <w:spacing w:val="3"/>
              </w:rPr>
              <w:t xml:space="preserve"> 员和其他直接责任人员以及保荐人、承销的证券公司，应当与发行</w:t>
            </w:r>
          </w:p>
        </w:tc>
        <w:tc>
          <w:tcPr>
            <w:tcW w:w="6812" w:type="dxa"/>
            <w:vMerge w:val="restart"/>
            <w:tcBorders>
              <w:bottom w:val="nil"/>
            </w:tcBorders>
            <w:vAlign w:val="top"/>
          </w:tcPr>
          <w:p>
            <w:pPr>
              <w:pStyle w:val="8"/>
              <w:spacing w:before="42" w:line="231" w:lineRule="auto"/>
              <w:ind w:left="15" w:right="7"/>
              <w:jc w:val="both"/>
            </w:pPr>
            <w:r>
              <w:rPr>
                <w:rFonts w:ascii="黑体" w:hAnsi="黑体" w:eastAsia="黑体" w:cs="黑体"/>
                <w:spacing w:val="2"/>
              </w:rPr>
              <w:t>股股东、实际控制人</w:t>
            </w:r>
            <w:r>
              <w:rPr>
                <w:spacing w:val="2"/>
              </w:rPr>
              <w:t>、董事、监事、高级管理人员和其</w:t>
            </w:r>
            <w:r>
              <w:rPr>
                <w:spacing w:val="1"/>
              </w:rPr>
              <w:t>他直接责</w:t>
            </w:r>
            <w:r>
              <w:t xml:space="preserve"> </w:t>
            </w:r>
            <w:r>
              <w:rPr>
                <w:spacing w:val="2"/>
              </w:rPr>
              <w:t>任人员以及保荐人、承销的证券公司及其直接责任人</w:t>
            </w:r>
            <w:r>
              <w:rPr>
                <w:spacing w:val="1"/>
              </w:rPr>
              <w:t>员，应当与</w:t>
            </w:r>
            <w:r>
              <w:t xml:space="preserve"> </w:t>
            </w:r>
            <w:r>
              <w:rPr>
                <w:spacing w:val="-2"/>
              </w:rPr>
              <w:t>发行人承担连带赔偿责任，但是能够证明自己没有过错的除</w:t>
            </w:r>
            <w:r>
              <w:rPr>
                <w:spacing w:val="-3"/>
              </w:rPr>
              <w:t>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095" w:type="dxa"/>
            <w:gridSpan w:val="2"/>
            <w:tcBorders>
              <w:top w:val="nil"/>
            </w:tcBorders>
            <w:vAlign w:val="top"/>
          </w:tcPr>
          <w:p>
            <w:pPr>
              <w:pStyle w:val="8"/>
              <w:spacing w:before="7" w:line="237" w:lineRule="auto"/>
              <w:ind w:left="22" w:hanging="7"/>
              <w:jc w:val="both"/>
            </w:pPr>
            <w:r>
              <w:pict>
                <v:shape id="_x0000_s1067" o:spid="_x0000_s1067" style="position:absolute;left:0pt;margin-left:13.25pt;margin-top:15.9pt;height:1pt;width:109.6pt;mso-position-horizontal-relative:page;mso-position-vertical-relative:page;z-index:-251620352;mso-width-relative:page;mso-height-relative:page;" fillcolor="#000000" filled="t" stroked="f" coordsize="2191,20" path="m0,0l1216,0,1216,9,0,9,0,0xem0,9l242,9,242,19,0,19,0,9xem983,9l2191,9,2191,19,983,19,983,9xe">
                  <v:path/>
                  <v:fill on="t" focussize="0,0"/>
                  <v:stroke on="f"/>
                  <v:imagedata o:title=""/>
                  <o:lock v:ext="edit"/>
                </v:shape>
              </w:pict>
            </w:r>
            <w:r>
              <w:pict>
                <v:shape id="_x0000_s1068" o:spid="_x0000_s1068" style="position:absolute;left:0pt;margin-left:256.65pt;margin-top:16.35pt;height:0.5pt;width:60.4pt;mso-position-horizontal-relative:page;mso-position-vertical-relative:page;z-index:-251619328;mso-width-relative:page;mso-height-relative:page;" fillcolor="#000000" filled="t" stroked="f" coordsize="1208,10" path="m0,0l1207,0,1207,9,0,9,0,0xe">
                  <v:path/>
                  <v:fill on="t" focussize="0,0"/>
                  <v:stroke on="f"/>
                  <v:imagedata o:title=""/>
                  <o:lock v:ext="edit"/>
                </v:shape>
              </w:pict>
            </w:r>
            <w:r>
              <w:rPr>
                <w:spacing w:val="-2"/>
              </w:rPr>
              <w:t>人</w:t>
            </w:r>
            <w:r>
              <w:rPr>
                <w:position w:val="-6"/>
              </w:rPr>
              <w:drawing>
                <wp:inline distT="0" distB="0" distL="0" distR="0">
                  <wp:extent cx="6985" cy="197485"/>
                  <wp:effectExtent l="0" t="0" r="0" b="0"/>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71"/>
                          <a:stretch>
                            <a:fillRect/>
                          </a:stretch>
                        </pic:blipFill>
                        <pic:spPr>
                          <a:xfrm>
                            <a:off x="0" y="0"/>
                            <a:ext cx="7010" cy="197632"/>
                          </a:xfrm>
                          <a:prstGeom prst="rect">
                            <a:avLst/>
                          </a:prstGeom>
                        </pic:spPr>
                      </pic:pic>
                    </a:graphicData>
                  </a:graphic>
                </wp:inline>
              </w:drawing>
            </w:r>
            <w:r>
              <w:rPr>
                <w:spacing w:val="-2"/>
                <w:shd w:val="clear" w:fill="D9D9D9"/>
              </w:rPr>
              <w:t>、上市公司</w:t>
            </w:r>
            <w:r>
              <w:rPr>
                <w:spacing w:val="-99"/>
                <w:shd w:val="clear" w:fill="D9D9D9"/>
              </w:rPr>
              <w:t xml:space="preserve"> </w:t>
            </w:r>
            <w:r>
              <w:rPr>
                <w:position w:val="-6"/>
              </w:rPr>
              <w:drawing>
                <wp:inline distT="0" distB="0" distL="0" distR="0">
                  <wp:extent cx="6985" cy="197485"/>
                  <wp:effectExtent l="0" t="0" r="0" b="0"/>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94"/>
                          <a:stretch>
                            <a:fillRect/>
                          </a:stretch>
                        </pic:blipFill>
                        <pic:spPr>
                          <a:xfrm>
                            <a:off x="0" y="0"/>
                            <a:ext cx="7010" cy="197632"/>
                          </a:xfrm>
                          <a:prstGeom prst="rect">
                            <a:avLst/>
                          </a:prstGeom>
                        </pic:spPr>
                      </pic:pic>
                    </a:graphicData>
                  </a:graphic>
                </wp:inline>
              </w:drawing>
            </w:r>
            <w:r>
              <w:rPr>
                <w:spacing w:val="-2"/>
              </w:rPr>
              <w:t>承担连带赔偿责任， 但是能够证明自己没有过错的</w:t>
            </w:r>
            <w:r>
              <w:rPr>
                <w:spacing w:val="-2"/>
                <w:u w:val="single" w:color="auto"/>
              </w:rPr>
              <w:t>除</w:t>
            </w:r>
            <w:r>
              <w:t xml:space="preserve"> </w:t>
            </w:r>
            <w:r>
              <w:rPr>
                <w:spacing w:val="-6"/>
                <w:position w:val="7"/>
                <w:u w:val="single" w:color="auto"/>
              </w:rPr>
              <w:t>外</w:t>
            </w:r>
            <w:r>
              <w:drawing>
                <wp:inline distT="0" distB="0" distL="0" distR="0">
                  <wp:extent cx="2540" cy="215265"/>
                  <wp:effectExtent l="0" t="0" r="0" b="0"/>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106"/>
                          <a:stretch>
                            <a:fillRect/>
                          </a:stretch>
                        </pic:blipFill>
                        <pic:spPr>
                          <a:xfrm>
                            <a:off x="0" y="0"/>
                            <a:ext cx="2782" cy="215875"/>
                          </a:xfrm>
                          <a:prstGeom prst="rect">
                            <a:avLst/>
                          </a:prstGeom>
                        </pic:spPr>
                      </pic:pic>
                    </a:graphicData>
                  </a:graphic>
                </wp:inline>
              </w:drawing>
            </w:r>
            <w:r>
              <w:drawing>
                <wp:inline distT="0" distB="0" distL="0" distR="0">
                  <wp:extent cx="2540" cy="203200"/>
                  <wp:effectExtent l="0" t="0" r="0" b="0"/>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70"/>
                          <a:stretch>
                            <a:fillRect/>
                          </a:stretch>
                        </pic:blipFill>
                        <pic:spPr>
                          <a:xfrm>
                            <a:off x="0" y="0"/>
                            <a:ext cx="2782" cy="203713"/>
                          </a:xfrm>
                          <a:prstGeom prst="rect">
                            <a:avLst/>
                          </a:prstGeom>
                        </pic:spPr>
                      </pic:pic>
                    </a:graphicData>
                  </a:graphic>
                </wp:inline>
              </w:drawing>
            </w:r>
            <w:r>
              <w:drawing>
                <wp:inline distT="0" distB="0" distL="0" distR="0">
                  <wp:extent cx="2540" cy="5715"/>
                  <wp:effectExtent l="0" t="0" r="0" b="0"/>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104"/>
                          <a:stretch>
                            <a:fillRect/>
                          </a:stretch>
                        </pic:blipFill>
                        <pic:spPr>
                          <a:xfrm>
                            <a:off x="0" y="0"/>
                            <a:ext cx="2782" cy="6081"/>
                          </a:xfrm>
                          <a:prstGeom prst="rect">
                            <a:avLst/>
                          </a:prstGeom>
                        </pic:spPr>
                      </pic:pic>
                    </a:graphicData>
                  </a:graphic>
                </wp:inline>
              </w:drawing>
            </w:r>
            <w:r>
              <w:rPr>
                <w:spacing w:val="-97"/>
                <w:position w:val="7"/>
                <w:u w:val="single" w:color="auto"/>
                <w:shd w:val="clear" w:fill="D9D9D9"/>
              </w:rPr>
              <w:t xml:space="preserve"> </w:t>
            </w:r>
            <w:r>
              <w:rPr>
                <w:spacing w:val="-6"/>
                <w:position w:val="7"/>
                <w:u w:val="single" w:color="auto"/>
                <w:shd w:val="clear" w:fill="D9D9D9"/>
              </w:rPr>
              <w:t>；</w:t>
            </w:r>
            <w:r>
              <w:rPr>
                <w:position w:val="31"/>
              </w:rPr>
              <w:drawing>
                <wp:inline distT="0" distB="0" distL="0" distR="0">
                  <wp:extent cx="2540" cy="5715"/>
                  <wp:effectExtent l="0" t="0" r="0" b="0"/>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78"/>
                          <a:stretch>
                            <a:fillRect/>
                          </a:stretch>
                        </pic:blipFill>
                        <pic:spPr>
                          <a:xfrm>
                            <a:off x="0" y="0"/>
                            <a:ext cx="2782" cy="6081"/>
                          </a:xfrm>
                          <a:prstGeom prst="rect">
                            <a:avLst/>
                          </a:prstGeom>
                        </pic:spPr>
                      </pic:pic>
                    </a:graphicData>
                  </a:graphic>
                </wp:inline>
              </w:drawing>
            </w:r>
            <w:r>
              <w:drawing>
                <wp:inline distT="0" distB="0" distL="0" distR="0">
                  <wp:extent cx="2540" cy="203200"/>
                  <wp:effectExtent l="0" t="0" r="0" b="0"/>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83"/>
                          <a:stretch>
                            <a:fillRect/>
                          </a:stretch>
                        </pic:blipFill>
                        <pic:spPr>
                          <a:xfrm>
                            <a:off x="0" y="0"/>
                            <a:ext cx="2782" cy="203713"/>
                          </a:xfrm>
                          <a:prstGeom prst="rect">
                            <a:avLst/>
                          </a:prstGeom>
                        </pic:spPr>
                      </pic:pic>
                    </a:graphicData>
                  </a:graphic>
                </wp:inline>
              </w:drawing>
            </w:r>
            <w:r>
              <w:rPr>
                <w:spacing w:val="-6"/>
                <w:position w:val="7"/>
                <w:u w:val="single" w:color="auto"/>
              </w:rPr>
              <w:t>发行人</w:t>
            </w:r>
            <w:r>
              <w:drawing>
                <wp:inline distT="0" distB="0" distL="0" distR="0">
                  <wp:extent cx="2540" cy="5715"/>
                  <wp:effectExtent l="0" t="0" r="0" b="0"/>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95"/>
                          <a:stretch>
                            <a:fillRect/>
                          </a:stretch>
                        </pic:blipFill>
                        <pic:spPr>
                          <a:xfrm>
                            <a:off x="0" y="0"/>
                            <a:ext cx="2782" cy="6081"/>
                          </a:xfrm>
                          <a:prstGeom prst="rect">
                            <a:avLst/>
                          </a:prstGeom>
                        </pic:spPr>
                      </pic:pic>
                    </a:graphicData>
                  </a:graphic>
                </wp:inline>
              </w:drawing>
            </w:r>
            <w:r>
              <w:drawing>
                <wp:inline distT="0" distB="0" distL="0" distR="0">
                  <wp:extent cx="2540" cy="203200"/>
                  <wp:effectExtent l="0" t="0" r="0" b="0"/>
                  <wp:docPr id="370" name="IM 370"/>
                  <wp:cNvGraphicFramePr/>
                  <a:graphic xmlns:a="http://schemas.openxmlformats.org/drawingml/2006/main">
                    <a:graphicData uri="http://schemas.openxmlformats.org/drawingml/2006/picture">
                      <pic:pic xmlns:pic="http://schemas.openxmlformats.org/drawingml/2006/picture">
                        <pic:nvPicPr>
                          <pic:cNvPr id="370" name="IM 370"/>
                          <pic:cNvPicPr/>
                        </pic:nvPicPr>
                        <pic:blipFill>
                          <a:blip r:embed="rId76"/>
                          <a:stretch>
                            <a:fillRect/>
                          </a:stretch>
                        </pic:blipFill>
                        <pic:spPr>
                          <a:xfrm>
                            <a:off x="0" y="0"/>
                            <a:ext cx="2782" cy="203713"/>
                          </a:xfrm>
                          <a:prstGeom prst="rect">
                            <a:avLst/>
                          </a:prstGeom>
                        </pic:spPr>
                      </pic:pic>
                    </a:graphicData>
                  </a:graphic>
                </wp:inline>
              </w:drawing>
            </w:r>
            <w:r>
              <w:rPr>
                <w:position w:val="31"/>
              </w:rPr>
              <w:drawing>
                <wp:inline distT="0" distB="0" distL="0" distR="0">
                  <wp:extent cx="2540" cy="5715"/>
                  <wp:effectExtent l="0" t="0" r="0" b="0"/>
                  <wp:docPr id="372" name="IM 372"/>
                  <wp:cNvGraphicFramePr/>
                  <a:graphic xmlns:a="http://schemas.openxmlformats.org/drawingml/2006/main">
                    <a:graphicData uri="http://schemas.openxmlformats.org/drawingml/2006/picture">
                      <pic:pic xmlns:pic="http://schemas.openxmlformats.org/drawingml/2006/picture">
                        <pic:nvPicPr>
                          <pic:cNvPr id="372" name="IM 372"/>
                          <pic:cNvPicPr/>
                        </pic:nvPicPr>
                        <pic:blipFill>
                          <a:blip r:embed="rId81"/>
                          <a:stretch>
                            <a:fillRect/>
                          </a:stretch>
                        </pic:blipFill>
                        <pic:spPr>
                          <a:xfrm>
                            <a:off x="0" y="0"/>
                            <a:ext cx="2782" cy="6081"/>
                          </a:xfrm>
                          <a:prstGeom prst="rect">
                            <a:avLst/>
                          </a:prstGeom>
                        </pic:spPr>
                      </pic:pic>
                    </a:graphicData>
                  </a:graphic>
                </wp:inline>
              </w:drawing>
            </w:r>
            <w:r>
              <w:rPr>
                <w:spacing w:val="-6"/>
                <w:position w:val="7"/>
                <w:u w:val="single" w:color="auto"/>
                <w:shd w:val="clear" w:fill="D9D9D9"/>
              </w:rPr>
              <w:t>、</w:t>
            </w:r>
            <w:r>
              <w:rPr>
                <w:position w:val="32"/>
              </w:rPr>
              <w:drawing>
                <wp:inline distT="0" distB="0" distL="0" distR="0">
                  <wp:extent cx="2540" cy="5715"/>
                  <wp:effectExtent l="0" t="0" r="0" b="0"/>
                  <wp:docPr id="374" name="IM 374"/>
                  <wp:cNvGraphicFramePr/>
                  <a:graphic xmlns:a="http://schemas.openxmlformats.org/drawingml/2006/main">
                    <a:graphicData uri="http://schemas.openxmlformats.org/drawingml/2006/picture">
                      <pic:pic xmlns:pic="http://schemas.openxmlformats.org/drawingml/2006/picture">
                        <pic:nvPicPr>
                          <pic:cNvPr id="374" name="IM 374"/>
                          <pic:cNvPicPr/>
                        </pic:nvPicPr>
                        <pic:blipFill>
                          <a:blip r:embed="rId99"/>
                          <a:stretch>
                            <a:fillRect/>
                          </a:stretch>
                        </pic:blipFill>
                        <pic:spPr>
                          <a:xfrm>
                            <a:off x="0" y="0"/>
                            <a:ext cx="2782" cy="6081"/>
                          </a:xfrm>
                          <a:prstGeom prst="rect">
                            <a:avLst/>
                          </a:prstGeom>
                        </pic:spPr>
                      </pic:pic>
                    </a:graphicData>
                  </a:graphic>
                </wp:inline>
              </w:drawing>
            </w:r>
            <w:r>
              <w:rPr>
                <w:spacing w:val="-108"/>
                <w:position w:val="7"/>
                <w:u w:val="single" w:color="auto"/>
                <w:shd w:val="clear" w:fill="D9D9D9"/>
              </w:rPr>
              <w:t xml:space="preserve"> </w:t>
            </w:r>
            <w:r>
              <w:rPr>
                <w:spacing w:val="-6"/>
                <w:position w:val="7"/>
                <w:u w:val="single" w:color="auto"/>
                <w:shd w:val="clear" w:fill="D9D9D9"/>
              </w:rPr>
              <w:t>上市公司</w:t>
            </w:r>
            <w:r>
              <w:drawing>
                <wp:inline distT="0" distB="0" distL="0" distR="0">
                  <wp:extent cx="2540" cy="5715"/>
                  <wp:effectExtent l="0" t="0" r="0" b="0"/>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95"/>
                          <a:stretch>
                            <a:fillRect/>
                          </a:stretch>
                        </pic:blipFill>
                        <pic:spPr>
                          <a:xfrm>
                            <a:off x="0" y="0"/>
                            <a:ext cx="2782" cy="6081"/>
                          </a:xfrm>
                          <a:prstGeom prst="rect">
                            <a:avLst/>
                          </a:prstGeom>
                        </pic:spPr>
                      </pic:pic>
                    </a:graphicData>
                  </a:graphic>
                </wp:inline>
              </w:drawing>
            </w:r>
            <w:r>
              <w:drawing>
                <wp:inline distT="0" distB="0" distL="0" distR="0">
                  <wp:extent cx="2540" cy="203200"/>
                  <wp:effectExtent l="0" t="0" r="0" b="0"/>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76"/>
                          <a:stretch>
                            <a:fillRect/>
                          </a:stretch>
                        </pic:blipFill>
                        <pic:spPr>
                          <a:xfrm>
                            <a:off x="0" y="0"/>
                            <a:ext cx="2782" cy="203713"/>
                          </a:xfrm>
                          <a:prstGeom prst="rect">
                            <a:avLst/>
                          </a:prstGeom>
                        </pic:spPr>
                      </pic:pic>
                    </a:graphicData>
                  </a:graphic>
                </wp:inline>
              </w:drawing>
            </w:r>
            <w:r>
              <w:rPr>
                <w:position w:val="31"/>
              </w:rPr>
              <w:drawing>
                <wp:inline distT="0" distB="0" distL="0" distR="0">
                  <wp:extent cx="2540" cy="5715"/>
                  <wp:effectExtent l="0" t="0" r="0" b="0"/>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81"/>
                          <a:stretch>
                            <a:fillRect/>
                          </a:stretch>
                        </pic:blipFill>
                        <pic:spPr>
                          <a:xfrm>
                            <a:off x="0" y="0"/>
                            <a:ext cx="2782" cy="6081"/>
                          </a:xfrm>
                          <a:prstGeom prst="rect">
                            <a:avLst/>
                          </a:prstGeom>
                        </pic:spPr>
                      </pic:pic>
                    </a:graphicData>
                  </a:graphic>
                </wp:inline>
              </w:drawing>
            </w:r>
            <w:r>
              <w:rPr>
                <w:spacing w:val="-90"/>
                <w:position w:val="7"/>
              </w:rPr>
              <w:t xml:space="preserve"> </w:t>
            </w:r>
            <w:r>
              <w:rPr>
                <w:spacing w:val="-6"/>
                <w:position w:val="7"/>
              </w:rPr>
              <w:t>的控股股东、实际控制人</w:t>
            </w:r>
            <w:r>
              <w:drawing>
                <wp:inline distT="0" distB="0" distL="0" distR="0">
                  <wp:extent cx="2540" cy="203200"/>
                  <wp:effectExtent l="0" t="0" r="0" b="0"/>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83"/>
                          <a:stretch>
                            <a:fillRect/>
                          </a:stretch>
                        </pic:blipFill>
                        <pic:spPr>
                          <a:xfrm>
                            <a:off x="0" y="0"/>
                            <a:ext cx="2782" cy="203713"/>
                          </a:xfrm>
                          <a:prstGeom prst="rect">
                            <a:avLst/>
                          </a:prstGeom>
                        </pic:spPr>
                      </pic:pic>
                    </a:graphicData>
                  </a:graphic>
                </wp:inline>
              </w:drawing>
            </w:r>
            <w:r>
              <w:drawing>
                <wp:inline distT="0" distB="0" distL="0" distR="0">
                  <wp:extent cx="2540" cy="5715"/>
                  <wp:effectExtent l="0" t="0" r="0" b="0"/>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99"/>
                          <a:stretch>
                            <a:fillRect/>
                          </a:stretch>
                        </pic:blipFill>
                        <pic:spPr>
                          <a:xfrm>
                            <a:off x="0" y="0"/>
                            <a:ext cx="2782" cy="6081"/>
                          </a:xfrm>
                          <a:prstGeom prst="rect">
                            <a:avLst/>
                          </a:prstGeom>
                        </pic:spPr>
                      </pic:pic>
                    </a:graphicData>
                  </a:graphic>
                </wp:inline>
              </w:drawing>
            </w:r>
            <w:r>
              <w:rPr>
                <w:position w:val="31"/>
              </w:rPr>
              <w:drawing>
                <wp:inline distT="0" distB="0" distL="0" distR="0">
                  <wp:extent cx="2540" cy="5715"/>
                  <wp:effectExtent l="0" t="0" r="0" b="0"/>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78"/>
                          <a:stretch>
                            <a:fillRect/>
                          </a:stretch>
                        </pic:blipFill>
                        <pic:spPr>
                          <a:xfrm>
                            <a:off x="0" y="0"/>
                            <a:ext cx="2782" cy="6081"/>
                          </a:xfrm>
                          <a:prstGeom prst="rect">
                            <a:avLst/>
                          </a:prstGeom>
                        </pic:spPr>
                      </pic:pic>
                    </a:graphicData>
                  </a:graphic>
                </wp:inline>
              </w:drawing>
            </w:r>
            <w:r>
              <w:rPr>
                <w:spacing w:val="-105"/>
                <w:position w:val="7"/>
                <w:u w:val="single" w:color="auto"/>
                <w:shd w:val="clear" w:fill="D9D9D9"/>
              </w:rPr>
              <w:t xml:space="preserve"> </w:t>
            </w:r>
            <w:r>
              <w:rPr>
                <w:spacing w:val="-6"/>
                <w:position w:val="7"/>
                <w:u w:val="single" w:color="auto"/>
                <w:shd w:val="clear" w:fill="D9D9D9"/>
              </w:rPr>
              <w:t>有过错的，</w:t>
            </w:r>
            <w:r>
              <w:rPr>
                <w:spacing w:val="-28"/>
                <w:position w:val="7"/>
                <w:u w:val="single" w:color="auto"/>
                <w:shd w:val="clear" w:fill="D9D9D9"/>
              </w:rPr>
              <w:t xml:space="preserve"> </w:t>
            </w:r>
            <w:r>
              <w:rPr>
                <w:position w:val="31"/>
              </w:rPr>
              <w:drawing>
                <wp:inline distT="0" distB="0" distL="0" distR="0">
                  <wp:extent cx="2540" cy="5715"/>
                  <wp:effectExtent l="0" t="0" r="0" b="0"/>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78"/>
                          <a:stretch>
                            <a:fillRect/>
                          </a:stretch>
                        </pic:blipFill>
                        <pic:spPr>
                          <a:xfrm>
                            <a:off x="0" y="0"/>
                            <a:ext cx="2782" cy="6081"/>
                          </a:xfrm>
                          <a:prstGeom prst="rect">
                            <a:avLst/>
                          </a:prstGeom>
                        </pic:spPr>
                      </pic:pic>
                    </a:graphicData>
                  </a:graphic>
                </wp:inline>
              </w:drawing>
            </w:r>
            <w:r>
              <w:drawing>
                <wp:inline distT="0" distB="0" distL="0" distR="0">
                  <wp:extent cx="2540" cy="5715"/>
                  <wp:effectExtent l="0" t="0" r="0" b="0"/>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99"/>
                          <a:stretch>
                            <a:fillRect/>
                          </a:stretch>
                        </pic:blipFill>
                        <pic:spPr>
                          <a:xfrm>
                            <a:off x="0" y="0"/>
                            <a:ext cx="2782" cy="6081"/>
                          </a:xfrm>
                          <a:prstGeom prst="rect">
                            <a:avLst/>
                          </a:prstGeom>
                        </pic:spPr>
                      </pic:pic>
                    </a:graphicData>
                  </a:graphic>
                </wp:inline>
              </w:drawing>
            </w:r>
            <w:r>
              <w:drawing>
                <wp:inline distT="0" distB="0" distL="0" distR="0">
                  <wp:extent cx="2540" cy="197485"/>
                  <wp:effectExtent l="0" t="0" r="0" b="0"/>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94"/>
                          <a:stretch>
                            <a:fillRect/>
                          </a:stretch>
                        </pic:blipFill>
                        <pic:spPr>
                          <a:xfrm>
                            <a:off x="0" y="0"/>
                            <a:ext cx="2782" cy="197632"/>
                          </a:xfrm>
                          <a:prstGeom prst="rect">
                            <a:avLst/>
                          </a:prstGeom>
                        </pic:spPr>
                      </pic:pic>
                    </a:graphicData>
                  </a:graphic>
                </wp:inline>
              </w:drawing>
            </w:r>
            <w:r>
              <w:rPr>
                <w:spacing w:val="-6"/>
                <w:position w:val="7"/>
              </w:rPr>
              <w:t>应当</w:t>
            </w:r>
            <w:r>
              <w:rPr>
                <w:spacing w:val="-115"/>
                <w:position w:val="7"/>
              </w:rPr>
              <w:t xml:space="preserve"> </w:t>
            </w:r>
            <w:r>
              <w:drawing>
                <wp:inline distT="0" distB="0" distL="0" distR="0">
                  <wp:extent cx="2540" cy="571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99"/>
                          <a:stretch>
                            <a:fillRect/>
                          </a:stretch>
                        </pic:blipFill>
                        <pic:spPr>
                          <a:xfrm>
                            <a:off x="0" y="0"/>
                            <a:ext cx="2782" cy="6081"/>
                          </a:xfrm>
                          <a:prstGeom prst="rect">
                            <a:avLst/>
                          </a:prstGeom>
                        </pic:spPr>
                      </pic:pic>
                    </a:graphicData>
                  </a:graphic>
                </wp:inline>
              </w:drawing>
            </w:r>
            <w:r>
              <w:drawing>
                <wp:inline distT="0" distB="0" distL="0" distR="0">
                  <wp:extent cx="2540" cy="1974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94"/>
                          <a:stretch>
                            <a:fillRect/>
                          </a:stretch>
                        </pic:blipFill>
                        <pic:spPr>
                          <a:xfrm>
                            <a:off x="0" y="0"/>
                            <a:ext cx="2782" cy="197632"/>
                          </a:xfrm>
                          <a:prstGeom prst="rect">
                            <a:avLst/>
                          </a:prstGeom>
                        </pic:spPr>
                      </pic:pic>
                    </a:graphicData>
                  </a:graphic>
                </wp:inline>
              </w:drawing>
            </w:r>
            <w:r>
              <w:rPr>
                <w:spacing w:val="-6"/>
                <w:position w:val="7"/>
                <w:u w:val="single" w:color="auto"/>
                <w:shd w:val="clear" w:fill="D9D9D9"/>
              </w:rPr>
              <w:t>与</w:t>
            </w:r>
            <w:r>
              <w:rPr>
                <w:position w:val="7"/>
              </w:rPr>
              <w:t xml:space="preserve"> </w:t>
            </w:r>
            <w:r>
              <w:rPr>
                <w:spacing w:val="-4"/>
                <w:shd w:val="clear" w:fill="D9D9D9"/>
              </w:rPr>
              <w:t>发行人、上市公司</w:t>
            </w:r>
            <w:r>
              <w:rPr>
                <w:position w:val="-6"/>
              </w:rPr>
              <w:drawing>
                <wp:inline distT="0" distB="0" distL="0" distR="0">
                  <wp:extent cx="5715" cy="1974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84"/>
                          <a:stretch>
                            <a:fillRect/>
                          </a:stretch>
                        </pic:blipFill>
                        <pic:spPr>
                          <a:xfrm>
                            <a:off x="0" y="0"/>
                            <a:ext cx="6349" cy="197632"/>
                          </a:xfrm>
                          <a:prstGeom prst="rect">
                            <a:avLst/>
                          </a:prstGeom>
                        </pic:spPr>
                      </pic:pic>
                    </a:graphicData>
                  </a:graphic>
                </wp:inline>
              </w:drawing>
            </w:r>
            <w:r>
              <w:rPr>
                <w:spacing w:val="-4"/>
              </w:rPr>
              <w:t>承担连带赔偿责任。</w:t>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7095" w:type="dxa"/>
            <w:gridSpan w:val="2"/>
            <w:vAlign w:val="top"/>
          </w:tcPr>
          <w:p>
            <w:pPr>
              <w:pStyle w:val="8"/>
              <w:spacing w:before="14" w:line="237" w:lineRule="auto"/>
              <w:ind w:left="11" w:firstLine="477"/>
              <w:jc w:val="both"/>
            </w:pPr>
            <w:r>
              <w:rPr>
                <w:rFonts w:ascii="黑体" w:hAnsi="黑体" w:eastAsia="黑体" w:cs="黑体"/>
                <w:position w:val="-8"/>
              </w:rPr>
              <w:drawing>
                <wp:inline distT="0" distB="0" distL="0" distR="0">
                  <wp:extent cx="8255" cy="571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81"/>
                          <a:stretch>
                            <a:fillRect/>
                          </a:stretch>
                        </pic:blipFill>
                        <pic:spPr>
                          <a:xfrm>
                            <a:off x="0" y="0"/>
                            <a:ext cx="8369" cy="6096"/>
                          </a:xfrm>
                          <a:prstGeom prst="rect">
                            <a:avLst/>
                          </a:prstGeom>
                        </pic:spPr>
                      </pic:pic>
                    </a:graphicData>
                  </a:graphic>
                </wp:inline>
              </w:drawing>
            </w:r>
            <w:r>
              <w:rPr>
                <w:rFonts w:ascii="黑体" w:hAnsi="黑体" w:eastAsia="黑体" w:cs="黑体"/>
                <w:spacing w:val="-97"/>
                <w:u w:val="single" w:color="auto"/>
              </w:rPr>
              <w:t xml:space="preserve"> </w:t>
            </w:r>
            <w:r>
              <w:rPr>
                <w:rFonts w:ascii="黑体" w:hAnsi="黑体" w:eastAsia="黑体" w:cs="黑体"/>
                <w:spacing w:val="1"/>
                <w:u w:val="single" w:color="auto"/>
              </w:rPr>
              <w:t>第七</w:t>
            </w:r>
            <w:r>
              <w:rPr>
                <w:position w:val="-8"/>
              </w:rPr>
              <w:drawing>
                <wp:inline distT="0" distB="0" distL="0" distR="0">
                  <wp:extent cx="8255" cy="571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78"/>
                          <a:stretch>
                            <a:fillRect/>
                          </a:stretch>
                        </pic:blipFill>
                        <pic:spPr>
                          <a:xfrm>
                            <a:off x="0" y="0"/>
                            <a:ext cx="8369" cy="6096"/>
                          </a:xfrm>
                          <a:prstGeom prst="rect">
                            <a:avLst/>
                          </a:prstGeom>
                        </pic:spPr>
                      </pic:pic>
                    </a:graphicData>
                  </a:graphic>
                </wp:inline>
              </w:drawing>
            </w:r>
            <w:r>
              <w:rPr>
                <w:rFonts w:ascii="黑体" w:hAnsi="黑体" w:eastAsia="黑体" w:cs="黑体"/>
                <w:spacing w:val="-115"/>
              </w:rPr>
              <w:t xml:space="preserve"> </w:t>
            </w:r>
            <w:r>
              <w:rPr>
                <w:rFonts w:ascii="黑体" w:hAnsi="黑体" w:eastAsia="黑体" w:cs="黑体"/>
                <w:spacing w:val="1"/>
              </w:rPr>
              <w:t xml:space="preserve">十条  </w:t>
            </w:r>
            <w:r>
              <w:rPr>
                <w:spacing w:val="1"/>
              </w:rPr>
              <w:t>依法</w:t>
            </w:r>
            <w:r>
              <w:rPr>
                <w:position w:val="-7"/>
              </w:rPr>
              <w:drawing>
                <wp:inline distT="0" distB="0" distL="0" distR="0">
                  <wp:extent cx="8255" cy="20383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83"/>
                          <a:stretch>
                            <a:fillRect/>
                          </a:stretch>
                        </pic:blipFill>
                        <pic:spPr>
                          <a:xfrm>
                            <a:off x="0" y="0"/>
                            <a:ext cx="8369" cy="204216"/>
                          </a:xfrm>
                          <a:prstGeom prst="rect">
                            <a:avLst/>
                          </a:prstGeom>
                        </pic:spPr>
                      </pic:pic>
                    </a:graphicData>
                  </a:graphic>
                </wp:inline>
              </w:drawing>
            </w:r>
            <w:r>
              <w:rPr>
                <w:spacing w:val="1"/>
                <w:u w:val="single" w:color="auto"/>
                <w:shd w:val="clear" w:fill="D9D9D9"/>
              </w:rPr>
              <w:t>必须</w:t>
            </w:r>
            <w:r>
              <w:rPr>
                <w:position w:val="-7"/>
              </w:rPr>
              <w:drawing>
                <wp:inline distT="0" distB="0" distL="0" distR="0">
                  <wp:extent cx="8255" cy="20383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70"/>
                          <a:stretch>
                            <a:fillRect/>
                          </a:stretch>
                        </pic:blipFill>
                        <pic:spPr>
                          <a:xfrm>
                            <a:off x="0" y="0"/>
                            <a:ext cx="8369" cy="204216"/>
                          </a:xfrm>
                          <a:prstGeom prst="rect">
                            <a:avLst/>
                          </a:prstGeom>
                        </pic:spPr>
                      </pic:pic>
                    </a:graphicData>
                  </a:graphic>
                </wp:inline>
              </w:drawing>
            </w:r>
            <w:r>
              <w:rPr>
                <w:spacing w:val="1"/>
              </w:rPr>
              <w:t>披露的信息，应当在国务院证券监督管理</w:t>
            </w:r>
            <w:r>
              <w:t xml:space="preserve"> 机构</w:t>
            </w:r>
            <w:r>
              <w:rPr>
                <w:position w:val="-7"/>
              </w:rPr>
              <w:drawing>
                <wp:inline distT="0" distB="0" distL="0" distR="0">
                  <wp:extent cx="3810" cy="204470"/>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76"/>
                          <a:stretch>
                            <a:fillRect/>
                          </a:stretch>
                        </pic:blipFill>
                        <pic:spPr>
                          <a:xfrm>
                            <a:off x="0" y="0"/>
                            <a:ext cx="4292" cy="204596"/>
                          </a:xfrm>
                          <a:prstGeom prst="rect">
                            <a:avLst/>
                          </a:prstGeom>
                        </pic:spPr>
                      </pic:pic>
                    </a:graphicData>
                  </a:graphic>
                </wp:inline>
              </w:drawing>
            </w:r>
            <w:r>
              <w:rPr>
                <w:position w:val="-7"/>
              </w:rPr>
              <w:drawing>
                <wp:inline distT="0" distB="0" distL="0" distR="0">
                  <wp:extent cx="3810" cy="571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74"/>
                          <a:stretch>
                            <a:fillRect/>
                          </a:stretch>
                        </pic:blipFill>
                        <pic:spPr>
                          <a:xfrm>
                            <a:off x="0" y="0"/>
                            <a:ext cx="4292" cy="6096"/>
                          </a:xfrm>
                          <a:prstGeom prst="rect">
                            <a:avLst/>
                          </a:prstGeom>
                        </pic:spPr>
                      </pic:pic>
                    </a:graphicData>
                  </a:graphic>
                </wp:inline>
              </w:drawing>
            </w:r>
            <w:r>
              <w:rPr>
                <w:spacing w:val="-91"/>
                <w:u w:val="single" w:color="auto"/>
                <w:shd w:val="clear" w:fill="D9D9D9"/>
              </w:rPr>
              <w:t xml:space="preserve"> </w:t>
            </w:r>
            <w:r>
              <w:rPr>
                <w:u w:val="single" w:color="auto"/>
                <w:shd w:val="clear" w:fill="D9D9D9"/>
              </w:rPr>
              <w:t>指定</w:t>
            </w:r>
            <w:r>
              <w:rPr>
                <w:position w:val="-7"/>
              </w:rPr>
              <w:drawing>
                <wp:inline distT="0" distB="0" distL="0" distR="0">
                  <wp:extent cx="3810" cy="204470"/>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83"/>
                          <a:stretch>
                            <a:fillRect/>
                          </a:stretch>
                        </pic:blipFill>
                        <pic:spPr>
                          <a:xfrm>
                            <a:off x="0" y="0"/>
                            <a:ext cx="4292" cy="204596"/>
                          </a:xfrm>
                          <a:prstGeom prst="rect">
                            <a:avLst/>
                          </a:prstGeom>
                        </pic:spPr>
                      </pic:pic>
                    </a:graphicData>
                  </a:graphic>
                </wp:inline>
              </w:drawing>
            </w:r>
            <w:r>
              <w:rPr>
                <w:position w:val="-7"/>
              </w:rPr>
              <w:drawing>
                <wp:inline distT="0" distB="0" distL="0" distR="0">
                  <wp:extent cx="3810" cy="571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72"/>
                          <a:stretch>
                            <a:fillRect/>
                          </a:stretch>
                        </pic:blipFill>
                        <pic:spPr>
                          <a:xfrm>
                            <a:off x="0" y="0"/>
                            <a:ext cx="4292" cy="6096"/>
                          </a:xfrm>
                          <a:prstGeom prst="rect">
                            <a:avLst/>
                          </a:prstGeom>
                        </pic:spPr>
                      </pic:pic>
                    </a:graphicData>
                  </a:graphic>
                </wp:inline>
              </w:drawing>
            </w:r>
            <w:r>
              <w:rPr>
                <w:spacing w:val="-90"/>
              </w:rPr>
              <w:t xml:space="preserve"> </w:t>
            </w:r>
            <w:r>
              <w:t xml:space="preserve">的媒体发布，同时将其置备于公司住所、证券交易所，供 </w:t>
            </w:r>
            <w:r>
              <w:rPr>
                <w:spacing w:val="-7"/>
              </w:rPr>
              <w:t>社会公众查阅。</w:t>
            </w:r>
          </w:p>
        </w:tc>
        <w:tc>
          <w:tcPr>
            <w:tcW w:w="6812" w:type="dxa"/>
            <w:vAlign w:val="top"/>
          </w:tcPr>
          <w:p>
            <w:pPr>
              <w:pStyle w:val="8"/>
              <w:spacing w:before="39" w:line="233" w:lineRule="auto"/>
              <w:ind w:left="17" w:right="4" w:firstLine="498"/>
              <w:jc w:val="both"/>
            </w:pPr>
            <w:r>
              <w:rPr>
                <w:rFonts w:ascii="黑体" w:hAnsi="黑体" w:eastAsia="黑体" w:cs="黑体"/>
                <w:spacing w:val="-3"/>
              </w:rPr>
              <w:t xml:space="preserve">第八十六条  </w:t>
            </w:r>
            <w:r>
              <w:rPr>
                <w:spacing w:val="-3"/>
              </w:rPr>
              <w:t>依法披露的信息， 应当在</w:t>
            </w:r>
            <w:r>
              <w:rPr>
                <w:rFonts w:ascii="黑体" w:hAnsi="黑体" w:eastAsia="黑体" w:cs="黑体"/>
                <w:spacing w:val="-3"/>
              </w:rPr>
              <w:t>证券交易场所的网站</w:t>
            </w:r>
            <w:r>
              <w:rPr>
                <w:rFonts w:ascii="黑体" w:hAnsi="黑体" w:eastAsia="黑体" w:cs="黑体"/>
              </w:rPr>
              <w:t xml:space="preserve"> </w:t>
            </w:r>
            <w:r>
              <w:rPr>
                <w:rFonts w:ascii="黑体" w:hAnsi="黑体" w:eastAsia="黑体" w:cs="黑体"/>
                <w:spacing w:val="-3"/>
              </w:rPr>
              <w:t>和符合国务院证券监督管理机构规定条件</w:t>
            </w:r>
            <w:r>
              <w:rPr>
                <w:spacing w:val="-3"/>
              </w:rPr>
              <w:t>的媒体发布， 同时将其</w:t>
            </w:r>
            <w:r>
              <w:rPr>
                <w:spacing w:val="18"/>
              </w:rPr>
              <w:t xml:space="preserve"> </w:t>
            </w:r>
            <w:r>
              <w:rPr>
                <w:spacing w:val="-3"/>
              </w:rPr>
              <w:t>置备于公司住所、证券交易</w:t>
            </w:r>
            <w:r>
              <w:rPr>
                <w:rFonts w:ascii="黑体" w:hAnsi="黑体" w:eastAsia="黑体" w:cs="黑体"/>
                <w:spacing w:val="-3"/>
              </w:rPr>
              <w:t>场</w:t>
            </w:r>
            <w:r>
              <w:rPr>
                <w:spacing w:val="-3"/>
              </w:rPr>
              <w:t>所，供社会公众查阅。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2709" w:type="dxa"/>
            <w:tcBorders>
              <w:bottom w:val="single" w:color="000000" w:sz="2" w:space="0"/>
              <w:right w:val="single" w:color="000000" w:sz="2" w:space="0"/>
            </w:tcBorders>
            <w:vAlign w:val="top"/>
          </w:tcPr>
          <w:p>
            <w:pPr>
              <w:spacing w:before="52" w:line="199" w:lineRule="auto"/>
              <w:ind w:left="513"/>
              <w:rPr>
                <w:rFonts w:ascii="黑体" w:hAnsi="黑体" w:eastAsia="黑体" w:cs="黑体"/>
                <w:sz w:val="24"/>
                <w:szCs w:val="24"/>
              </w:rPr>
            </w:pPr>
            <w:r>
              <w:rPr>
                <w:rFonts w:ascii="黑体" w:hAnsi="黑体" w:eastAsia="黑体" w:cs="黑体"/>
                <w:spacing w:val="1"/>
                <w:sz w:val="24"/>
                <w:szCs w:val="24"/>
              </w:rPr>
              <w:t>第七十一条第一款</w:t>
            </w:r>
          </w:p>
        </w:tc>
        <w:tc>
          <w:tcPr>
            <w:tcW w:w="4386" w:type="dxa"/>
            <w:tcBorders>
              <w:left w:val="single" w:color="000000" w:sz="2" w:space="0"/>
              <w:bottom w:val="single" w:color="000000" w:sz="2" w:space="0"/>
            </w:tcBorders>
            <w:shd w:val="clear" w:color="auto" w:fill="D9D9D9"/>
            <w:vAlign w:val="top"/>
          </w:tcPr>
          <w:p>
            <w:pPr>
              <w:pStyle w:val="8"/>
              <w:spacing w:before="53" w:line="198" w:lineRule="auto"/>
              <w:ind w:left="25"/>
            </w:pPr>
            <w:r>
              <w:rPr>
                <w:spacing w:val="1"/>
              </w:rPr>
              <w:t>国务院证券监督管理机构对上市公司年度</w:t>
            </w:r>
          </w:p>
        </w:tc>
        <w:tc>
          <w:tcPr>
            <w:tcW w:w="6812" w:type="dxa"/>
            <w:vMerge w:val="restart"/>
            <w:tcBorders>
              <w:bottom w:val="nil"/>
            </w:tcBorders>
            <w:vAlign w:val="top"/>
          </w:tcPr>
          <w:p>
            <w:pPr>
              <w:pStyle w:val="8"/>
              <w:spacing w:before="38" w:line="229" w:lineRule="auto"/>
              <w:ind w:left="9" w:right="5" w:firstLine="506"/>
            </w:pPr>
            <w:r>
              <w:rPr>
                <w:rFonts w:ascii="黑体" w:hAnsi="黑体" w:eastAsia="黑体" w:cs="黑体"/>
                <w:spacing w:val="1"/>
              </w:rPr>
              <w:t xml:space="preserve">第八十七条  </w:t>
            </w:r>
            <w:r>
              <w:rPr>
                <w:spacing w:val="1"/>
              </w:rPr>
              <w:t>国务院证券监督管理机构对信息披露义务人的</w:t>
            </w:r>
            <w:r>
              <w:rPr>
                <w:spacing w:val="8"/>
              </w:rPr>
              <w:t xml:space="preserve"> </w:t>
            </w:r>
            <w:r>
              <w:rPr>
                <w:spacing w:val="-4"/>
              </w:rPr>
              <w:t>信息披露行为进行监督管理。</w:t>
            </w:r>
          </w:p>
          <w:p>
            <w:pPr>
              <w:pStyle w:val="8"/>
              <w:spacing w:before="26" w:line="229" w:lineRule="auto"/>
              <w:ind w:left="9" w:right="6" w:firstLine="514"/>
            </w:pPr>
            <w:r>
              <w:rPr>
                <w:spacing w:val="1"/>
              </w:rPr>
              <w:t>证券交易场所应当对其组织交易的证券的信息披露义务人的</w:t>
            </w:r>
            <w:r>
              <w:t xml:space="preserve"> </w:t>
            </w:r>
            <w:r>
              <w:rPr>
                <w:spacing w:val="-2"/>
              </w:rPr>
              <w:t>信息披露行为进行监督，督促其依法及时、准确地披露信息。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2"/>
            <w:tcBorders>
              <w:top w:val="single" w:color="000000" w:sz="2" w:space="0"/>
              <w:bottom w:val="single" w:color="000000" w:sz="2" w:space="0"/>
            </w:tcBorders>
            <w:shd w:val="clear" w:color="auto" w:fill="D9D9D9"/>
            <w:vAlign w:val="top"/>
          </w:tcPr>
          <w:p>
            <w:pPr>
              <w:pStyle w:val="8"/>
              <w:spacing w:before="58" w:line="198" w:lineRule="auto"/>
              <w:ind w:left="30"/>
            </w:pPr>
            <w:r>
              <w:rPr>
                <w:spacing w:val="3"/>
              </w:rPr>
              <w:t>报告、中期报告、临时报告以及公告的情况</w:t>
            </w:r>
            <w:r>
              <w:rPr>
                <w:spacing w:val="2"/>
              </w:rPr>
              <w:t>进行监督，对上市公司</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2"/>
            <w:tcBorders>
              <w:top w:val="single" w:color="000000" w:sz="2" w:space="0"/>
              <w:bottom w:val="single" w:color="000000" w:sz="2" w:space="0"/>
            </w:tcBorders>
            <w:shd w:val="clear" w:color="auto" w:fill="D9D9D9"/>
            <w:vAlign w:val="top"/>
          </w:tcPr>
          <w:p>
            <w:pPr>
              <w:pStyle w:val="8"/>
              <w:spacing w:before="58" w:line="198" w:lineRule="auto"/>
              <w:ind w:left="25"/>
            </w:pPr>
            <w:r>
              <w:rPr>
                <w:spacing w:val="3"/>
              </w:rPr>
              <w:t>分派或者配售新股的情况进行监督，对上市公司控股股东</w:t>
            </w:r>
            <w:r>
              <w:rPr>
                <w:spacing w:val="2"/>
              </w:rPr>
              <w:t>和信息披</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5" w:hRule="atLeast"/>
        </w:trPr>
        <w:tc>
          <w:tcPr>
            <w:tcW w:w="7095" w:type="dxa"/>
            <w:gridSpan w:val="2"/>
            <w:tcBorders>
              <w:top w:val="single" w:color="000000" w:sz="2" w:space="0"/>
            </w:tcBorders>
            <w:vAlign w:val="top"/>
          </w:tcPr>
          <w:p>
            <w:pPr>
              <w:pStyle w:val="8"/>
              <w:spacing w:before="21"/>
              <w:ind w:left="33"/>
            </w:pPr>
            <w:r>
              <w:pict>
                <v:rect id="_x0000_s1069" o:spid="_x0000_s1069" o:spt="1" style="position:absolute;left:0pt;margin-left:1.1pt;margin-top:16.9pt;height:0.5pt;width:144.5pt;mso-position-horizontal-relative:page;mso-position-vertical-relative:page;z-index:251698176;mso-width-relative:page;mso-height-relative:page;" fillcolor="#000000" filled="t" stroked="f" coordsize="21600,21600">
                  <v:path/>
                  <v:fill on="t" focussize="0,0"/>
                  <v:stroke on="f"/>
                  <v:imagedata o:title=""/>
                  <o:lock v:ext="edit"/>
                </v:rect>
              </w:pict>
            </w:r>
            <w:r>
              <w:rPr>
                <w:spacing w:val="-16"/>
                <w:shd w:val="clear" w:fill="D9D9D9"/>
              </w:rPr>
              <w:t>露义务人的行为进行监督。</w:t>
            </w:r>
            <w:r>
              <w:rPr>
                <w:spacing w:val="51"/>
                <w:shd w:val="clear" w:fill="D9D9D9"/>
              </w:rPr>
              <w:t xml:space="preserve"> </w:t>
            </w:r>
            <w:r>
              <w:rPr>
                <w:position w:val="-6"/>
              </w:rPr>
              <w:drawing>
                <wp:inline distT="0" distB="0" distL="0" distR="0">
                  <wp:extent cx="5715" cy="198120"/>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88"/>
                          <a:stretch>
                            <a:fillRect/>
                          </a:stretch>
                        </pic:blipFill>
                        <pic:spPr>
                          <a:xfrm>
                            <a:off x="0" y="0"/>
                            <a:ext cx="6095" cy="198120"/>
                          </a:xfrm>
                          <a:prstGeom prst="rect">
                            <a:avLst/>
                          </a:prstGeom>
                        </pic:spPr>
                      </pic:pic>
                    </a:graphicData>
                  </a:graphic>
                </wp:inline>
              </w:drawing>
            </w:r>
          </w:p>
          <w:p>
            <w:pPr>
              <w:pStyle w:val="8"/>
              <w:spacing w:before="45" w:line="220" w:lineRule="auto"/>
              <w:jc w:val="right"/>
            </w:pPr>
            <w:r>
              <w:pict>
                <v:shape id="_x0000_s1070" o:spid="_x0000_s1070" o:spt="202" type="#_x0000_t202" style="position:absolute;left:0pt;margin-left:255.1pt;margin-top:-0.95pt;height:18.6pt;width:88.05pt;z-index:25170022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71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1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21" w:hRule="atLeast"/>
                          </w:trPr>
                          <w:tc>
                            <w:tcPr>
                              <w:tcW w:w="1715" w:type="dxa"/>
                              <w:vAlign w:val="top"/>
                            </w:tcPr>
                            <w:p>
                              <w:pPr>
                                <w:pStyle w:val="8"/>
                                <w:spacing w:before="41" w:line="207" w:lineRule="auto"/>
                                <w:ind w:left="19"/>
                              </w:pPr>
                              <w:r>
                                <w:rPr>
                                  <w:shd w:val="clear" w:fill="D9D9D9"/>
                                </w:rPr>
                                <w:t>上市公司及相关</w:t>
                              </w:r>
                            </w:p>
                          </w:tc>
                        </w:tr>
                      </w:tbl>
                      <w:p>
                        <w:pPr>
                          <w:rPr>
                            <w:rFonts w:ascii="Arial"/>
                            <w:sz w:val="21"/>
                          </w:rPr>
                        </w:pPr>
                      </w:p>
                    </w:txbxContent>
                  </v:textbox>
                </v:shape>
              </w:pict>
            </w:r>
            <w:r>
              <w:rPr>
                <w:rFonts w:ascii="黑体" w:hAnsi="黑体" w:eastAsia="黑体" w:cs="黑体"/>
                <w:spacing w:val="1"/>
              </w:rPr>
              <w:t xml:space="preserve">第一百一十五条第二款  </w:t>
            </w:r>
            <w:r>
              <w:rPr>
                <w:spacing w:val="1"/>
              </w:rPr>
              <w:t>证券交易所应当对</w:t>
            </w:r>
            <w:r>
              <w:rPr>
                <w:spacing w:val="4"/>
              </w:rPr>
              <w:t xml:space="preserve">              </w:t>
            </w:r>
            <w:r>
              <w:rPr>
                <w:spacing w:val="1"/>
              </w:rPr>
              <w:t>信</w:t>
            </w:r>
          </w:p>
          <w:p>
            <w:pPr>
              <w:pStyle w:val="8"/>
              <w:spacing w:before="46" w:line="216" w:lineRule="auto"/>
              <w:jc w:val="right"/>
            </w:pPr>
            <w:r>
              <w:pict>
                <v:shape id="_x0000_s1071" o:spid="_x0000_s1071" o:spt="202" type="#_x0000_t202" style="position:absolute;left:0pt;margin-left:72.15pt;margin-top:-1pt;height:18.6pt;width:51.85pt;z-index:2517022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9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991" w:type="dxa"/>
                              <w:vAlign w:val="top"/>
                            </w:tcPr>
                            <w:p>
                              <w:pPr>
                                <w:pStyle w:val="8"/>
                                <w:spacing w:before="41" w:line="207" w:lineRule="auto"/>
                                <w:ind w:left="13"/>
                              </w:pPr>
                              <w:r>
                                <w:rPr>
                                  <w:shd w:val="clear" w:fill="D9D9D9"/>
                                </w:rPr>
                                <w:t>披露信息</w:t>
                              </w:r>
                            </w:p>
                          </w:tc>
                        </w:tr>
                      </w:tbl>
                      <w:p>
                        <w:pPr>
                          <w:rPr>
                            <w:rFonts w:ascii="Arial"/>
                            <w:sz w:val="21"/>
                          </w:rPr>
                        </w:pPr>
                      </w:p>
                    </w:txbxContent>
                  </v:textbox>
                </v:shape>
              </w:pict>
            </w:r>
            <w:r>
              <w:rPr>
                <w:spacing w:val="-1"/>
              </w:rPr>
              <w:t>息披露义务人        进行监督， 督促其依法及时、准确地披露信</w:t>
            </w:r>
          </w:p>
          <w:p>
            <w:pPr>
              <w:pStyle w:val="8"/>
              <w:spacing w:before="38" w:line="203" w:lineRule="auto"/>
              <w:ind w:left="30"/>
            </w:pPr>
            <w:r>
              <w:rPr>
                <w:spacing w:val="-19"/>
              </w:rPr>
              <w:t>息。</w:t>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095" w:type="dxa"/>
            <w:gridSpan w:val="2"/>
            <w:vAlign w:val="top"/>
          </w:tcPr>
          <w:p>
            <w:pPr>
              <w:rPr>
                <w:rFonts w:ascii="Arial"/>
                <w:sz w:val="21"/>
              </w:rPr>
            </w:pPr>
          </w:p>
        </w:tc>
        <w:tc>
          <w:tcPr>
            <w:tcW w:w="6812" w:type="dxa"/>
            <w:vAlign w:val="top"/>
          </w:tcPr>
          <w:p>
            <w:pPr>
              <w:spacing w:before="40" w:line="222" w:lineRule="auto"/>
              <w:ind w:left="2327"/>
              <w:rPr>
                <w:rFonts w:ascii="黑体" w:hAnsi="黑体" w:eastAsia="黑体" w:cs="黑体"/>
                <w:sz w:val="24"/>
                <w:szCs w:val="24"/>
              </w:rPr>
            </w:pPr>
            <w:r>
              <w:rPr>
                <w:rFonts w:ascii="黑体" w:hAnsi="黑体" w:eastAsia="黑体" w:cs="黑体"/>
                <w:spacing w:val="-1"/>
                <w:sz w:val="24"/>
                <w:szCs w:val="24"/>
              </w:rPr>
              <w:t>第六章  投资者保护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7" w:hRule="atLeast"/>
        </w:trPr>
        <w:tc>
          <w:tcPr>
            <w:tcW w:w="7095" w:type="dxa"/>
            <w:gridSpan w:val="2"/>
            <w:vAlign w:val="top"/>
          </w:tcPr>
          <w:p>
            <w:pPr>
              <w:rPr>
                <w:rFonts w:ascii="Arial"/>
                <w:sz w:val="21"/>
              </w:rPr>
            </w:pPr>
          </w:p>
        </w:tc>
        <w:tc>
          <w:tcPr>
            <w:tcW w:w="6812" w:type="dxa"/>
            <w:vAlign w:val="top"/>
          </w:tcPr>
          <w:p>
            <w:pPr>
              <w:spacing w:before="39" w:line="222" w:lineRule="auto"/>
              <w:ind w:left="18" w:right="7" w:firstLine="497"/>
              <w:jc w:val="both"/>
              <w:rPr>
                <w:rFonts w:ascii="黑体" w:hAnsi="黑体" w:eastAsia="黑体" w:cs="黑体"/>
                <w:sz w:val="24"/>
                <w:szCs w:val="24"/>
              </w:rPr>
            </w:pPr>
            <w:r>
              <w:rPr>
                <w:rFonts w:ascii="黑体" w:hAnsi="黑体" w:eastAsia="黑体" w:cs="黑体"/>
                <w:sz w:val="24"/>
                <w:szCs w:val="24"/>
              </w:rPr>
              <w:t>第八十八条</w:t>
            </w:r>
            <w:r>
              <w:rPr>
                <w:rFonts w:ascii="黑体" w:hAnsi="黑体" w:eastAsia="黑体" w:cs="黑体"/>
                <w:spacing w:val="136"/>
                <w:sz w:val="24"/>
                <w:szCs w:val="24"/>
              </w:rPr>
              <w:t xml:space="preserve"> </w:t>
            </w:r>
            <w:r>
              <w:rPr>
                <w:rFonts w:ascii="微软雅黑" w:hAnsi="微软雅黑" w:eastAsia="微软雅黑" w:cs="微软雅黑"/>
                <w:sz w:val="24"/>
                <w:szCs w:val="24"/>
              </w:rPr>
              <w:t xml:space="preserve">证券公司向投资者销售证券、提供服务时，应 </w:t>
            </w:r>
            <w:r>
              <w:rPr>
                <w:rFonts w:ascii="黑体" w:hAnsi="黑体" w:eastAsia="黑体" w:cs="黑体"/>
                <w:spacing w:val="2"/>
                <w:sz w:val="24"/>
                <w:szCs w:val="24"/>
              </w:rPr>
              <w:t>当按照规定充分了解投资者的基本情况、财产状</w:t>
            </w:r>
            <w:r>
              <w:rPr>
                <w:rFonts w:ascii="黑体" w:hAnsi="黑体" w:eastAsia="黑体" w:cs="黑体"/>
                <w:spacing w:val="1"/>
                <w:sz w:val="24"/>
                <w:szCs w:val="24"/>
              </w:rPr>
              <w:t>况、金融资产状</w:t>
            </w:r>
            <w:r>
              <w:rPr>
                <w:rFonts w:ascii="黑体" w:hAnsi="黑体" w:eastAsia="黑体" w:cs="黑体"/>
                <w:sz w:val="24"/>
                <w:szCs w:val="24"/>
              </w:rPr>
              <w:t xml:space="preserve"> </w:t>
            </w:r>
            <w:r>
              <w:rPr>
                <w:rFonts w:ascii="黑体" w:hAnsi="黑体" w:eastAsia="黑体" w:cs="黑体"/>
                <w:spacing w:val="-2"/>
                <w:sz w:val="24"/>
                <w:szCs w:val="24"/>
              </w:rPr>
              <w:t>况、投资知识和经验、专业能力等相关信息；</w:t>
            </w:r>
            <w:r>
              <w:rPr>
                <w:rFonts w:ascii="黑体" w:hAnsi="黑体" w:eastAsia="黑体" w:cs="黑体"/>
                <w:spacing w:val="-23"/>
                <w:sz w:val="24"/>
                <w:szCs w:val="24"/>
              </w:rPr>
              <w:t xml:space="preserve"> </w:t>
            </w:r>
            <w:r>
              <w:rPr>
                <w:rFonts w:ascii="黑体" w:hAnsi="黑体" w:eastAsia="黑体" w:cs="黑体"/>
                <w:spacing w:val="-2"/>
                <w:sz w:val="24"/>
                <w:szCs w:val="24"/>
              </w:rPr>
              <w:t>如实说明证</w:t>
            </w:r>
            <w:r>
              <w:rPr>
                <w:rFonts w:ascii="黑体" w:hAnsi="黑体" w:eastAsia="黑体" w:cs="黑体"/>
                <w:spacing w:val="-3"/>
                <w:sz w:val="24"/>
                <w:szCs w:val="24"/>
              </w:rPr>
              <w:t>券、服</w:t>
            </w:r>
            <w:r>
              <w:rPr>
                <w:rFonts w:ascii="黑体" w:hAnsi="黑体" w:eastAsia="黑体" w:cs="黑体"/>
                <w:sz w:val="24"/>
                <w:szCs w:val="24"/>
              </w:rPr>
              <w:t xml:space="preserve"> </w:t>
            </w:r>
            <w:r>
              <w:rPr>
                <w:rFonts w:ascii="黑体" w:hAnsi="黑体" w:eastAsia="黑体" w:cs="黑体"/>
                <w:spacing w:val="-2"/>
                <w:sz w:val="24"/>
                <w:szCs w:val="24"/>
              </w:rPr>
              <w:t>务的重要内容，充分揭示投资风险；</w:t>
            </w:r>
            <w:r>
              <w:rPr>
                <w:rFonts w:ascii="黑体" w:hAnsi="黑体" w:eastAsia="黑体" w:cs="黑体"/>
                <w:spacing w:val="-15"/>
                <w:sz w:val="24"/>
                <w:szCs w:val="24"/>
              </w:rPr>
              <w:t xml:space="preserve"> </w:t>
            </w:r>
            <w:r>
              <w:rPr>
                <w:rFonts w:ascii="黑体" w:hAnsi="黑体" w:eastAsia="黑体" w:cs="黑体"/>
                <w:spacing w:val="-2"/>
                <w:sz w:val="24"/>
                <w:szCs w:val="24"/>
              </w:rPr>
              <w:t>销售、提供与投资者上述状</w:t>
            </w:r>
            <w:r>
              <w:rPr>
                <w:rFonts w:ascii="黑体" w:hAnsi="黑体" w:eastAsia="黑体" w:cs="黑体"/>
                <w:sz w:val="24"/>
                <w:szCs w:val="24"/>
              </w:rPr>
              <w:t xml:space="preserve"> </w:t>
            </w:r>
            <w:r>
              <w:rPr>
                <w:rFonts w:ascii="黑体" w:hAnsi="黑体" w:eastAsia="黑体" w:cs="黑体"/>
                <w:spacing w:val="-4"/>
                <w:sz w:val="24"/>
                <w:szCs w:val="24"/>
              </w:rPr>
              <w:t>况相匹配的证券、服务。</w:t>
            </w:r>
          </w:p>
          <w:p>
            <w:pPr>
              <w:spacing w:before="23" w:line="235" w:lineRule="auto"/>
              <w:ind w:left="18" w:right="2" w:firstLine="495"/>
              <w:jc w:val="both"/>
              <w:rPr>
                <w:rFonts w:ascii="黑体" w:hAnsi="黑体" w:eastAsia="黑体" w:cs="黑体"/>
                <w:sz w:val="24"/>
                <w:szCs w:val="24"/>
              </w:rPr>
            </w:pPr>
            <w:r>
              <w:rPr>
                <w:rFonts w:ascii="黑体" w:hAnsi="黑体" w:eastAsia="黑体" w:cs="黑体"/>
                <w:spacing w:val="-3"/>
                <w:sz w:val="24"/>
                <w:szCs w:val="24"/>
              </w:rPr>
              <w:t>投资者在购买证券或者接受服务时， 应当按照证</w:t>
            </w:r>
            <w:r>
              <w:rPr>
                <w:rFonts w:ascii="黑体" w:hAnsi="黑体" w:eastAsia="黑体" w:cs="黑体"/>
                <w:spacing w:val="-4"/>
                <w:sz w:val="24"/>
                <w:szCs w:val="24"/>
              </w:rPr>
              <w:t>券公司明示</w:t>
            </w:r>
            <w:r>
              <w:rPr>
                <w:rFonts w:ascii="黑体" w:hAnsi="黑体" w:eastAsia="黑体" w:cs="黑体"/>
                <w:sz w:val="24"/>
                <w:szCs w:val="24"/>
              </w:rPr>
              <w:t xml:space="preserve"> </w:t>
            </w:r>
            <w:r>
              <w:rPr>
                <w:rFonts w:ascii="黑体" w:hAnsi="黑体" w:eastAsia="黑体" w:cs="黑体"/>
                <w:spacing w:val="2"/>
                <w:sz w:val="24"/>
                <w:szCs w:val="24"/>
              </w:rPr>
              <w:t>的要求提供前款所列真实信息。拒绝提供或者未</w:t>
            </w:r>
            <w:r>
              <w:rPr>
                <w:rFonts w:ascii="黑体" w:hAnsi="黑体" w:eastAsia="黑体" w:cs="黑体"/>
                <w:spacing w:val="1"/>
                <w:sz w:val="24"/>
                <w:szCs w:val="24"/>
              </w:rPr>
              <w:t>按照要求提供信</w:t>
            </w:r>
            <w:r>
              <w:rPr>
                <w:rFonts w:ascii="黑体" w:hAnsi="黑体" w:eastAsia="黑体" w:cs="黑体"/>
                <w:sz w:val="24"/>
                <w:szCs w:val="24"/>
              </w:rPr>
              <w:t xml:space="preserve"> </w:t>
            </w:r>
            <w:r>
              <w:rPr>
                <w:rFonts w:ascii="黑体" w:hAnsi="黑体" w:eastAsia="黑体" w:cs="黑体"/>
                <w:spacing w:val="11"/>
                <w:sz w:val="24"/>
                <w:szCs w:val="24"/>
              </w:rPr>
              <w:t>息的，证券公司应当告知其后果，并按照规定拒绝向其</w:t>
            </w:r>
            <w:r>
              <w:rPr>
                <w:rFonts w:ascii="黑体" w:hAnsi="黑体" w:eastAsia="黑体" w:cs="黑体"/>
                <w:spacing w:val="10"/>
                <w:sz w:val="24"/>
                <w:szCs w:val="24"/>
              </w:rPr>
              <w:t>销售证</w:t>
            </w:r>
            <w:r>
              <w:rPr>
                <w:rFonts w:ascii="黑体" w:hAnsi="黑体" w:eastAsia="黑体" w:cs="黑体"/>
                <w:sz w:val="24"/>
                <w:szCs w:val="24"/>
              </w:rPr>
              <w:t xml:space="preserve"> </w:t>
            </w:r>
            <w:r>
              <w:rPr>
                <w:rFonts w:ascii="黑体" w:hAnsi="黑体" w:eastAsia="黑体" w:cs="黑体"/>
                <w:spacing w:val="-6"/>
                <w:sz w:val="24"/>
                <w:szCs w:val="24"/>
              </w:rPr>
              <w:t>券、提供服务。</w:t>
            </w:r>
          </w:p>
          <w:p>
            <w:pPr>
              <w:spacing w:before="24" w:line="224" w:lineRule="auto"/>
              <w:ind w:left="29" w:right="7" w:firstLine="485"/>
              <w:jc w:val="both"/>
              <w:rPr>
                <w:rFonts w:ascii="黑体" w:hAnsi="黑体" w:eastAsia="黑体" w:cs="黑体"/>
                <w:sz w:val="24"/>
                <w:szCs w:val="24"/>
              </w:rPr>
            </w:pPr>
            <w:r>
              <w:rPr>
                <w:rFonts w:ascii="黑体" w:hAnsi="黑体" w:eastAsia="黑体" w:cs="黑体"/>
                <w:spacing w:val="1"/>
                <w:sz w:val="24"/>
                <w:szCs w:val="24"/>
              </w:rPr>
              <w:t>证券公司违反第一款规定导致投资者损失的，应当承担相应</w:t>
            </w:r>
            <w:r>
              <w:rPr>
                <w:rFonts w:ascii="黑体" w:hAnsi="黑体" w:eastAsia="黑体" w:cs="黑体"/>
                <w:spacing w:val="7"/>
                <w:sz w:val="24"/>
                <w:szCs w:val="24"/>
              </w:rPr>
              <w:t xml:space="preserve"> </w:t>
            </w:r>
            <w:r>
              <w:rPr>
                <w:rFonts w:ascii="黑体" w:hAnsi="黑体" w:eastAsia="黑体" w:cs="黑体"/>
                <w:spacing w:val="-8"/>
                <w:sz w:val="24"/>
                <w:szCs w:val="24"/>
              </w:rPr>
              <w:t>的赔偿责任。</w:t>
            </w:r>
          </w:p>
        </w:tc>
      </w:tr>
    </w:tbl>
    <w:p>
      <w:pPr>
        <w:rPr>
          <w:rFonts w:ascii="Arial"/>
          <w:sz w:val="21"/>
        </w:rPr>
      </w:pPr>
    </w:p>
    <w:p>
      <w:pPr>
        <w:rPr>
          <w:rFonts w:ascii="Arial" w:hAnsi="Arial" w:eastAsia="Arial" w:cs="Arial"/>
          <w:sz w:val="21"/>
          <w:szCs w:val="21"/>
        </w:rPr>
        <w:sectPr>
          <w:footerReference r:id="rId31"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2" w:hRule="atLeast"/>
        </w:trPr>
        <w:tc>
          <w:tcPr>
            <w:tcW w:w="7100" w:type="dxa"/>
            <w:vAlign w:val="top"/>
          </w:tcPr>
          <w:p>
            <w:pPr>
              <w:rPr>
                <w:rFonts w:ascii="Arial"/>
                <w:sz w:val="21"/>
              </w:rPr>
            </w:pPr>
          </w:p>
        </w:tc>
        <w:tc>
          <w:tcPr>
            <w:tcW w:w="6807" w:type="dxa"/>
            <w:vAlign w:val="top"/>
          </w:tcPr>
          <w:p>
            <w:pPr>
              <w:spacing w:before="38" w:line="211" w:lineRule="auto"/>
              <w:ind w:left="9" w:right="2" w:firstLine="501"/>
              <w:jc w:val="both"/>
              <w:rPr>
                <w:rFonts w:ascii="黑体" w:hAnsi="黑体" w:eastAsia="黑体" w:cs="黑体"/>
                <w:sz w:val="24"/>
                <w:szCs w:val="24"/>
              </w:rPr>
            </w:pPr>
            <w:r>
              <w:rPr>
                <w:rFonts w:ascii="黑体" w:hAnsi="黑体" w:eastAsia="黑体" w:cs="黑体"/>
                <w:spacing w:val="1"/>
                <w:sz w:val="24"/>
                <w:szCs w:val="24"/>
              </w:rPr>
              <w:t>第八十九条</w:t>
            </w:r>
            <w:r>
              <w:rPr>
                <w:rFonts w:ascii="黑体" w:hAnsi="黑体" w:eastAsia="黑体" w:cs="黑体"/>
                <w:spacing w:val="128"/>
                <w:sz w:val="24"/>
                <w:szCs w:val="24"/>
              </w:rPr>
              <w:t xml:space="preserve"> </w:t>
            </w:r>
            <w:r>
              <w:rPr>
                <w:rFonts w:ascii="微软雅黑" w:hAnsi="微软雅黑" w:eastAsia="微软雅黑" w:cs="微软雅黑"/>
                <w:spacing w:val="1"/>
                <w:sz w:val="24"/>
                <w:szCs w:val="24"/>
              </w:rPr>
              <w:t>根据财产状况、金融资产状况、投资知识和经</w:t>
            </w:r>
            <w:r>
              <w:rPr>
                <w:rFonts w:ascii="微软雅黑" w:hAnsi="微软雅黑" w:eastAsia="微软雅黑" w:cs="微软雅黑"/>
                <w:sz w:val="24"/>
                <w:szCs w:val="24"/>
              </w:rPr>
              <w:t xml:space="preserve"> </w:t>
            </w:r>
            <w:r>
              <w:rPr>
                <w:rFonts w:ascii="黑体" w:hAnsi="黑体" w:eastAsia="黑体" w:cs="黑体"/>
                <w:spacing w:val="11"/>
                <w:sz w:val="24"/>
                <w:szCs w:val="24"/>
              </w:rPr>
              <w:t>验、专业能力等因素，投资者可以分为普通投资者和专业投资</w:t>
            </w:r>
            <w:r>
              <w:rPr>
                <w:rFonts w:ascii="黑体" w:hAnsi="黑体" w:eastAsia="黑体" w:cs="黑体"/>
                <w:spacing w:val="1"/>
                <w:sz w:val="24"/>
                <w:szCs w:val="24"/>
              </w:rPr>
              <w:t xml:space="preserve"> </w:t>
            </w:r>
            <w:r>
              <w:rPr>
                <w:rFonts w:ascii="黑体" w:hAnsi="黑体" w:eastAsia="黑体" w:cs="黑体"/>
                <w:spacing w:val="-2"/>
                <w:sz w:val="24"/>
                <w:szCs w:val="24"/>
              </w:rPr>
              <w:t>者。专业投资者的标准由国务院证券监督管理机构规定。</w:t>
            </w:r>
          </w:p>
          <w:p>
            <w:pPr>
              <w:spacing w:before="26" w:line="232" w:lineRule="auto"/>
              <w:ind w:left="11" w:right="7" w:firstLine="502"/>
              <w:jc w:val="both"/>
              <w:rPr>
                <w:rFonts w:ascii="黑体" w:hAnsi="黑体" w:eastAsia="黑体" w:cs="黑体"/>
                <w:sz w:val="24"/>
                <w:szCs w:val="24"/>
              </w:rPr>
            </w:pPr>
            <w:r>
              <w:rPr>
                <w:rFonts w:ascii="黑体" w:hAnsi="黑体" w:eastAsia="黑体" w:cs="黑体"/>
                <w:spacing w:val="-4"/>
                <w:sz w:val="24"/>
                <w:szCs w:val="24"/>
              </w:rPr>
              <w:t>普通投资者与证券公司发生纠纷的， 证券公司应当证明其行</w:t>
            </w:r>
            <w:r>
              <w:rPr>
                <w:rFonts w:ascii="黑体" w:hAnsi="黑体" w:eastAsia="黑体" w:cs="黑体"/>
                <w:spacing w:val="17"/>
                <w:sz w:val="24"/>
                <w:szCs w:val="24"/>
              </w:rPr>
              <w:t xml:space="preserve"> </w:t>
            </w:r>
            <w:r>
              <w:rPr>
                <w:rFonts w:ascii="黑体" w:hAnsi="黑体" w:eastAsia="黑体" w:cs="黑体"/>
                <w:spacing w:val="1"/>
                <w:sz w:val="24"/>
                <w:szCs w:val="24"/>
              </w:rPr>
              <w:t>为符合法律、行政法规以及国务院证券监督管理机构的规定，不</w:t>
            </w:r>
            <w:r>
              <w:rPr>
                <w:rFonts w:ascii="黑体" w:hAnsi="黑体" w:eastAsia="黑体" w:cs="黑体"/>
                <w:spacing w:val="7"/>
                <w:sz w:val="24"/>
                <w:szCs w:val="24"/>
              </w:rPr>
              <w:t xml:space="preserve"> </w:t>
            </w:r>
            <w:r>
              <w:rPr>
                <w:rFonts w:ascii="黑体" w:hAnsi="黑体" w:eastAsia="黑体" w:cs="黑体"/>
                <w:spacing w:val="2"/>
                <w:sz w:val="24"/>
                <w:szCs w:val="24"/>
              </w:rPr>
              <w:t>存在误导、欺诈等情形。证券公司不能证明的，应当</w:t>
            </w:r>
            <w:r>
              <w:rPr>
                <w:rFonts w:ascii="黑体" w:hAnsi="黑体" w:eastAsia="黑体" w:cs="黑体"/>
                <w:spacing w:val="1"/>
                <w:sz w:val="24"/>
                <w:szCs w:val="24"/>
              </w:rPr>
              <w:t>承担相应的</w:t>
            </w:r>
            <w:r>
              <w:rPr>
                <w:rFonts w:ascii="黑体" w:hAnsi="黑体" w:eastAsia="黑体" w:cs="黑体"/>
                <w:sz w:val="24"/>
                <w:szCs w:val="24"/>
              </w:rPr>
              <w:t xml:space="preserve"> </w:t>
            </w:r>
            <w:r>
              <w:rPr>
                <w:rFonts w:ascii="黑体" w:hAnsi="黑体" w:eastAsia="黑体" w:cs="黑体"/>
                <w:spacing w:val="-7"/>
                <w:sz w:val="24"/>
                <w:szCs w:val="24"/>
              </w:rPr>
              <w:t>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7100" w:type="dxa"/>
            <w:vAlign w:val="top"/>
          </w:tcPr>
          <w:p>
            <w:pPr>
              <w:rPr>
                <w:rFonts w:ascii="Arial"/>
                <w:sz w:val="21"/>
              </w:rPr>
            </w:pPr>
          </w:p>
        </w:tc>
        <w:tc>
          <w:tcPr>
            <w:tcW w:w="6807" w:type="dxa"/>
            <w:vAlign w:val="top"/>
          </w:tcPr>
          <w:p>
            <w:pPr>
              <w:spacing w:before="34" w:line="224" w:lineRule="auto"/>
              <w:ind w:left="8" w:right="4" w:firstLine="502"/>
              <w:rPr>
                <w:rFonts w:ascii="黑体" w:hAnsi="黑体" w:eastAsia="黑体" w:cs="黑体"/>
                <w:sz w:val="24"/>
                <w:szCs w:val="24"/>
              </w:rPr>
            </w:pPr>
            <w:r>
              <w:rPr>
                <w:rFonts w:ascii="黑体" w:hAnsi="黑体" w:eastAsia="黑体" w:cs="黑体"/>
                <w:spacing w:val="1"/>
                <w:sz w:val="24"/>
                <w:szCs w:val="24"/>
              </w:rPr>
              <w:t xml:space="preserve">第九十条  </w:t>
            </w:r>
            <w:r>
              <w:rPr>
                <w:rFonts w:ascii="微软雅黑" w:hAnsi="微软雅黑" w:eastAsia="微软雅黑" w:cs="微软雅黑"/>
                <w:spacing w:val="1"/>
                <w:sz w:val="24"/>
                <w:szCs w:val="24"/>
              </w:rPr>
              <w:t>上市公司董事会、独立董事、持有百分之一以上</w:t>
            </w:r>
            <w:r>
              <w:rPr>
                <w:rFonts w:ascii="微软雅黑" w:hAnsi="微软雅黑" w:eastAsia="微软雅黑" w:cs="微软雅黑"/>
                <w:spacing w:val="6"/>
                <w:sz w:val="24"/>
                <w:szCs w:val="24"/>
              </w:rPr>
              <w:t xml:space="preserve"> </w:t>
            </w:r>
            <w:r>
              <w:rPr>
                <w:rFonts w:ascii="黑体" w:hAnsi="黑体" w:eastAsia="黑体" w:cs="黑体"/>
                <w:spacing w:val="2"/>
                <w:sz w:val="24"/>
                <w:szCs w:val="24"/>
              </w:rPr>
              <w:t>有表决权股份的股东或者依照法律、行政法规或者国务院证券监</w:t>
            </w:r>
            <w:r>
              <w:rPr>
                <w:rFonts w:ascii="黑体" w:hAnsi="黑体" w:eastAsia="黑体" w:cs="黑体"/>
                <w:spacing w:val="1"/>
                <w:sz w:val="24"/>
                <w:szCs w:val="24"/>
              </w:rPr>
              <w:t xml:space="preserve"> </w:t>
            </w:r>
            <w:r>
              <w:rPr>
                <w:rFonts w:ascii="黑体" w:hAnsi="黑体" w:eastAsia="黑体" w:cs="黑体"/>
                <w:spacing w:val="2"/>
                <w:sz w:val="24"/>
                <w:szCs w:val="24"/>
              </w:rPr>
              <w:t>督管理机构的规定设立的投资者保护机构（以下简称投资者</w:t>
            </w:r>
            <w:r>
              <w:rPr>
                <w:rFonts w:ascii="黑体" w:hAnsi="黑体" w:eastAsia="黑体" w:cs="黑体"/>
                <w:spacing w:val="1"/>
                <w:sz w:val="24"/>
                <w:szCs w:val="24"/>
              </w:rPr>
              <w:t>保护</w:t>
            </w:r>
            <w:r>
              <w:rPr>
                <w:rFonts w:ascii="黑体" w:hAnsi="黑体" w:eastAsia="黑体" w:cs="黑体"/>
                <w:sz w:val="24"/>
                <w:szCs w:val="24"/>
              </w:rPr>
              <w:t xml:space="preserve"> </w:t>
            </w:r>
            <w:r>
              <w:rPr>
                <w:rFonts w:ascii="黑体" w:hAnsi="黑体" w:eastAsia="黑体" w:cs="黑体"/>
                <w:spacing w:val="-3"/>
                <w:sz w:val="24"/>
                <w:szCs w:val="24"/>
              </w:rPr>
              <w:t>机构</w:t>
            </w:r>
            <w:r>
              <w:rPr>
                <w:rFonts w:ascii="黑体" w:hAnsi="黑体" w:eastAsia="黑体" w:cs="黑体"/>
                <w:spacing w:val="-43"/>
                <w:sz w:val="24"/>
                <w:szCs w:val="24"/>
              </w:rPr>
              <w:t>），</w:t>
            </w:r>
            <w:r>
              <w:rPr>
                <w:rFonts w:ascii="黑体" w:hAnsi="黑体" w:eastAsia="黑体" w:cs="黑体"/>
                <w:spacing w:val="-12"/>
                <w:sz w:val="24"/>
                <w:szCs w:val="24"/>
              </w:rPr>
              <w:t xml:space="preserve"> </w:t>
            </w:r>
            <w:r>
              <w:rPr>
                <w:rFonts w:ascii="黑体" w:hAnsi="黑体" w:eastAsia="黑体" w:cs="黑体"/>
                <w:spacing w:val="-3"/>
                <w:sz w:val="24"/>
                <w:szCs w:val="24"/>
              </w:rPr>
              <w:t>可以作为征集人， 自行或者委托证券公</w:t>
            </w:r>
            <w:r>
              <w:rPr>
                <w:rFonts w:ascii="黑体" w:hAnsi="黑体" w:eastAsia="黑体" w:cs="黑体"/>
                <w:spacing w:val="-4"/>
                <w:sz w:val="24"/>
                <w:szCs w:val="24"/>
              </w:rPr>
              <w:t>司、证券服务机</w:t>
            </w:r>
            <w:r>
              <w:rPr>
                <w:rFonts w:ascii="黑体" w:hAnsi="黑体" w:eastAsia="黑体" w:cs="黑体"/>
                <w:sz w:val="24"/>
                <w:szCs w:val="24"/>
              </w:rPr>
              <w:t xml:space="preserve"> </w:t>
            </w:r>
            <w:r>
              <w:rPr>
                <w:rFonts w:ascii="黑体" w:hAnsi="黑体" w:eastAsia="黑体" w:cs="黑体"/>
                <w:spacing w:val="-6"/>
                <w:sz w:val="24"/>
                <w:szCs w:val="24"/>
              </w:rPr>
              <w:t>构， 公开请求上市公司股东委托其代为出席股东大会</w:t>
            </w:r>
            <w:r>
              <w:rPr>
                <w:rFonts w:ascii="黑体" w:hAnsi="黑体" w:eastAsia="黑体" w:cs="黑体"/>
                <w:spacing w:val="-7"/>
                <w:sz w:val="24"/>
                <w:szCs w:val="24"/>
              </w:rPr>
              <w:t>， 并代为行</w:t>
            </w:r>
            <w:r>
              <w:rPr>
                <w:rFonts w:ascii="黑体" w:hAnsi="黑体" w:eastAsia="黑体" w:cs="黑体"/>
                <w:sz w:val="24"/>
                <w:szCs w:val="24"/>
              </w:rPr>
              <w:t xml:space="preserve"> </w:t>
            </w:r>
            <w:r>
              <w:rPr>
                <w:rFonts w:ascii="黑体" w:hAnsi="黑体" w:eastAsia="黑体" w:cs="黑体"/>
                <w:spacing w:val="-3"/>
                <w:sz w:val="24"/>
                <w:szCs w:val="24"/>
              </w:rPr>
              <w:t>使提案权、表决权等股东权利。</w:t>
            </w:r>
          </w:p>
          <w:p>
            <w:pPr>
              <w:spacing w:before="26" w:line="230" w:lineRule="auto"/>
              <w:ind w:left="15" w:right="60" w:firstLine="494"/>
              <w:rPr>
                <w:rFonts w:ascii="黑体" w:hAnsi="黑体" w:eastAsia="黑体" w:cs="黑体"/>
                <w:sz w:val="24"/>
                <w:szCs w:val="24"/>
              </w:rPr>
            </w:pPr>
            <w:r>
              <w:rPr>
                <w:rFonts w:ascii="黑体" w:hAnsi="黑体" w:eastAsia="黑体" w:cs="黑体"/>
                <w:spacing w:val="-1"/>
                <w:sz w:val="24"/>
                <w:szCs w:val="24"/>
              </w:rPr>
              <w:t>依照前款规定征集股东权利的，征集人应当披露征集文件，</w:t>
            </w:r>
            <w:r>
              <w:rPr>
                <w:rFonts w:ascii="黑体" w:hAnsi="黑体" w:eastAsia="黑体" w:cs="黑体"/>
                <w:spacing w:val="6"/>
                <w:sz w:val="24"/>
                <w:szCs w:val="24"/>
              </w:rPr>
              <w:t xml:space="preserve"> </w:t>
            </w:r>
            <w:r>
              <w:rPr>
                <w:rFonts w:ascii="黑体" w:hAnsi="黑体" w:eastAsia="黑体" w:cs="黑体"/>
                <w:spacing w:val="-4"/>
                <w:sz w:val="24"/>
                <w:szCs w:val="24"/>
              </w:rPr>
              <w:t>上市公司应当予以配合。</w:t>
            </w:r>
          </w:p>
          <w:p>
            <w:pPr>
              <w:spacing w:before="22" w:line="221" w:lineRule="auto"/>
              <w:ind w:left="513"/>
              <w:rPr>
                <w:rFonts w:ascii="黑体" w:hAnsi="黑体" w:eastAsia="黑体" w:cs="黑体"/>
                <w:sz w:val="24"/>
                <w:szCs w:val="24"/>
              </w:rPr>
            </w:pPr>
            <w:r>
              <w:rPr>
                <w:rFonts w:ascii="黑体" w:hAnsi="黑体" w:eastAsia="黑体" w:cs="黑体"/>
                <w:spacing w:val="-2"/>
                <w:sz w:val="24"/>
                <w:szCs w:val="24"/>
              </w:rPr>
              <w:t>禁止以有偿或者变相有偿的方式公开征集股东权利。</w:t>
            </w:r>
          </w:p>
          <w:p>
            <w:pPr>
              <w:spacing w:before="25" w:line="228" w:lineRule="auto"/>
              <w:ind w:left="10" w:right="7" w:firstLine="502"/>
              <w:rPr>
                <w:rFonts w:ascii="黑体" w:hAnsi="黑体" w:eastAsia="黑体" w:cs="黑体"/>
                <w:sz w:val="24"/>
                <w:szCs w:val="24"/>
              </w:rPr>
            </w:pPr>
            <w:r>
              <w:rPr>
                <w:rFonts w:ascii="黑体" w:hAnsi="黑体" w:eastAsia="黑体" w:cs="黑体"/>
                <w:spacing w:val="1"/>
                <w:sz w:val="24"/>
                <w:szCs w:val="24"/>
              </w:rPr>
              <w:t>公开征集股东权利违反法律、行政法规或者国务院证券监督</w:t>
            </w:r>
            <w:r>
              <w:rPr>
                <w:rFonts w:ascii="黑体" w:hAnsi="黑体" w:eastAsia="黑体" w:cs="黑体"/>
                <w:spacing w:val="4"/>
                <w:sz w:val="24"/>
                <w:szCs w:val="24"/>
              </w:rPr>
              <w:t xml:space="preserve"> </w:t>
            </w:r>
            <w:r>
              <w:rPr>
                <w:rFonts w:ascii="黑体" w:hAnsi="黑体" w:eastAsia="黑体" w:cs="黑体"/>
                <w:spacing w:val="-2"/>
                <w:sz w:val="24"/>
                <w:szCs w:val="24"/>
              </w:rPr>
              <w:t>管理机构有关规定，导致上市公司或者其股</w:t>
            </w:r>
            <w:r>
              <w:rPr>
                <w:rFonts w:ascii="黑体" w:hAnsi="黑体" w:eastAsia="黑体" w:cs="黑体"/>
                <w:spacing w:val="-3"/>
                <w:sz w:val="24"/>
                <w:szCs w:val="24"/>
              </w:rPr>
              <w:t>东遭受损失的， 应当</w:t>
            </w:r>
            <w:r>
              <w:rPr>
                <w:rFonts w:ascii="黑体" w:hAnsi="黑体" w:eastAsia="黑体" w:cs="黑体"/>
                <w:sz w:val="24"/>
                <w:szCs w:val="24"/>
              </w:rPr>
              <w:t xml:space="preserve"> </w:t>
            </w:r>
            <w:r>
              <w:rPr>
                <w:rFonts w:ascii="黑体" w:hAnsi="黑体" w:eastAsia="黑体" w:cs="黑体"/>
                <w:spacing w:val="-4"/>
                <w:sz w:val="24"/>
                <w:szCs w:val="24"/>
              </w:rPr>
              <w:t>依法承担损害赔偿责任。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7100" w:type="dxa"/>
            <w:vAlign w:val="top"/>
          </w:tcPr>
          <w:p>
            <w:pPr>
              <w:rPr>
                <w:rFonts w:ascii="Arial"/>
                <w:sz w:val="21"/>
              </w:rPr>
            </w:pPr>
          </w:p>
        </w:tc>
        <w:tc>
          <w:tcPr>
            <w:tcW w:w="6807" w:type="dxa"/>
            <w:vAlign w:val="top"/>
          </w:tcPr>
          <w:p>
            <w:pPr>
              <w:spacing w:before="38" w:line="195" w:lineRule="auto"/>
              <w:ind w:left="10" w:right="6" w:firstLine="500"/>
              <w:rPr>
                <w:rFonts w:ascii="黑体" w:hAnsi="黑体" w:eastAsia="黑体" w:cs="黑体"/>
                <w:sz w:val="24"/>
                <w:szCs w:val="24"/>
              </w:rPr>
            </w:pPr>
            <w:r>
              <w:rPr>
                <w:rFonts w:ascii="黑体" w:hAnsi="黑体" w:eastAsia="黑体" w:cs="黑体"/>
                <w:spacing w:val="1"/>
                <w:sz w:val="24"/>
                <w:szCs w:val="24"/>
              </w:rPr>
              <w:t>第九十一条</w:t>
            </w:r>
            <w:r>
              <w:rPr>
                <w:rFonts w:ascii="黑体" w:hAnsi="黑体" w:eastAsia="黑体" w:cs="黑体"/>
                <w:spacing w:val="128"/>
                <w:sz w:val="24"/>
                <w:szCs w:val="24"/>
              </w:rPr>
              <w:t xml:space="preserve"> </w:t>
            </w:r>
            <w:r>
              <w:rPr>
                <w:rFonts w:ascii="微软雅黑" w:hAnsi="微软雅黑" w:eastAsia="微软雅黑" w:cs="微软雅黑"/>
                <w:spacing w:val="1"/>
                <w:sz w:val="24"/>
                <w:szCs w:val="24"/>
              </w:rPr>
              <w:t>上市公司应当在章程中明确</w:t>
            </w:r>
            <w:r>
              <w:rPr>
                <w:rFonts w:ascii="黑体" w:hAnsi="黑体" w:eastAsia="黑体" w:cs="黑体"/>
                <w:spacing w:val="1"/>
                <w:sz w:val="24"/>
                <w:szCs w:val="24"/>
              </w:rPr>
              <w:t>分配现金股利的具</w:t>
            </w:r>
            <w:r>
              <w:rPr>
                <w:rFonts w:ascii="黑体" w:hAnsi="黑体" w:eastAsia="黑体" w:cs="黑体"/>
                <w:sz w:val="24"/>
                <w:szCs w:val="24"/>
              </w:rPr>
              <w:t xml:space="preserve"> </w:t>
            </w:r>
            <w:r>
              <w:rPr>
                <w:rFonts w:ascii="黑体" w:hAnsi="黑体" w:eastAsia="黑体" w:cs="黑体"/>
                <w:spacing w:val="-2"/>
                <w:sz w:val="24"/>
                <w:szCs w:val="24"/>
              </w:rPr>
              <w:t>体安排和决策程序，依法保障股东的资产收益权。</w:t>
            </w:r>
          </w:p>
          <w:p>
            <w:pPr>
              <w:spacing w:before="34" w:line="222" w:lineRule="auto"/>
              <w:ind w:left="9" w:right="7" w:firstLine="504"/>
              <w:rPr>
                <w:rFonts w:ascii="黑体" w:hAnsi="黑体" w:eastAsia="黑体" w:cs="黑体"/>
                <w:sz w:val="24"/>
                <w:szCs w:val="24"/>
              </w:rPr>
            </w:pPr>
            <w:r>
              <w:rPr>
                <w:rFonts w:ascii="黑体" w:hAnsi="黑体" w:eastAsia="黑体" w:cs="黑体"/>
                <w:spacing w:val="-4"/>
                <w:sz w:val="24"/>
                <w:szCs w:val="24"/>
              </w:rPr>
              <w:t>上市公司当年税后利润， 在弥补亏损及提取法定公积金后有</w:t>
            </w:r>
            <w:r>
              <w:rPr>
                <w:rFonts w:ascii="黑体" w:hAnsi="黑体" w:eastAsia="黑体" w:cs="黑体"/>
                <w:spacing w:val="16"/>
                <w:sz w:val="24"/>
                <w:szCs w:val="24"/>
              </w:rPr>
              <w:t xml:space="preserve"> </w:t>
            </w:r>
            <w:r>
              <w:rPr>
                <w:rFonts w:ascii="黑体" w:hAnsi="黑体" w:eastAsia="黑体" w:cs="黑体"/>
                <w:spacing w:val="-2"/>
                <w:sz w:val="24"/>
                <w:szCs w:val="24"/>
              </w:rPr>
              <w:t>盈余的，应当按照公司章程的规定分配现金股利。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2" w:hRule="atLeast"/>
        </w:trPr>
        <w:tc>
          <w:tcPr>
            <w:tcW w:w="7100" w:type="dxa"/>
            <w:vAlign w:val="top"/>
          </w:tcPr>
          <w:p>
            <w:pPr>
              <w:rPr>
                <w:rFonts w:ascii="Arial"/>
                <w:sz w:val="21"/>
              </w:rPr>
            </w:pPr>
          </w:p>
        </w:tc>
        <w:tc>
          <w:tcPr>
            <w:tcW w:w="6807" w:type="dxa"/>
            <w:vAlign w:val="top"/>
          </w:tcPr>
          <w:p>
            <w:pPr>
              <w:spacing w:before="43" w:line="233" w:lineRule="auto"/>
              <w:ind w:left="11" w:right="5" w:firstLine="499"/>
              <w:jc w:val="both"/>
              <w:rPr>
                <w:rFonts w:ascii="黑体" w:hAnsi="黑体" w:eastAsia="黑体" w:cs="黑体"/>
                <w:sz w:val="24"/>
                <w:szCs w:val="24"/>
              </w:rPr>
            </w:pPr>
            <w:r>
              <w:rPr>
                <w:rFonts w:ascii="黑体" w:hAnsi="黑体" w:eastAsia="黑体" w:cs="黑体"/>
                <w:spacing w:val="1"/>
                <w:sz w:val="24"/>
                <w:szCs w:val="24"/>
              </w:rPr>
              <w:t>第九十二条  公开发行公司债券的，应当设立债券持有人会</w:t>
            </w:r>
            <w:r>
              <w:rPr>
                <w:rFonts w:ascii="黑体" w:hAnsi="黑体" w:eastAsia="黑体" w:cs="黑体"/>
                <w:spacing w:val="8"/>
                <w:sz w:val="24"/>
                <w:szCs w:val="24"/>
              </w:rPr>
              <w:t xml:space="preserve"> </w:t>
            </w:r>
            <w:r>
              <w:rPr>
                <w:rFonts w:ascii="黑体" w:hAnsi="黑体" w:eastAsia="黑体" w:cs="黑体"/>
                <w:spacing w:val="-3"/>
                <w:sz w:val="24"/>
                <w:szCs w:val="24"/>
              </w:rPr>
              <w:t>议， 并应当在募集说明书中说明债券持有人会议的召集程序、会</w:t>
            </w:r>
            <w:r>
              <w:rPr>
                <w:rFonts w:ascii="黑体" w:hAnsi="黑体" w:eastAsia="黑体" w:cs="黑体"/>
                <w:spacing w:val="8"/>
                <w:sz w:val="24"/>
                <w:szCs w:val="24"/>
              </w:rPr>
              <w:t xml:space="preserve"> </w:t>
            </w:r>
            <w:r>
              <w:rPr>
                <w:rFonts w:ascii="黑体" w:hAnsi="黑体" w:eastAsia="黑体" w:cs="黑体"/>
                <w:spacing w:val="-4"/>
                <w:sz w:val="24"/>
                <w:szCs w:val="24"/>
              </w:rPr>
              <w:t>议规则和其他重要事项。</w:t>
            </w:r>
          </w:p>
          <w:p>
            <w:pPr>
              <w:spacing w:before="23" w:line="232" w:lineRule="auto"/>
              <w:ind w:left="10" w:right="6" w:firstLine="502"/>
              <w:jc w:val="both"/>
              <w:rPr>
                <w:rFonts w:ascii="黑体" w:hAnsi="黑体" w:eastAsia="黑体" w:cs="黑体"/>
                <w:sz w:val="24"/>
                <w:szCs w:val="24"/>
              </w:rPr>
            </w:pPr>
            <w:r>
              <w:rPr>
                <w:rFonts w:ascii="黑体" w:hAnsi="黑体" w:eastAsia="黑体" w:cs="黑体"/>
                <w:spacing w:val="1"/>
                <w:sz w:val="24"/>
                <w:szCs w:val="24"/>
              </w:rPr>
              <w:t>公开发行公司债券的，发行人应当为债券持有人聘请债券受</w:t>
            </w:r>
            <w:r>
              <w:rPr>
                <w:rFonts w:ascii="黑体" w:hAnsi="黑体" w:eastAsia="黑体" w:cs="黑体"/>
                <w:spacing w:val="4"/>
                <w:sz w:val="24"/>
                <w:szCs w:val="24"/>
              </w:rPr>
              <w:t xml:space="preserve"> </w:t>
            </w:r>
            <w:r>
              <w:rPr>
                <w:rFonts w:ascii="黑体" w:hAnsi="黑体" w:eastAsia="黑体" w:cs="黑体"/>
                <w:spacing w:val="2"/>
                <w:sz w:val="24"/>
                <w:szCs w:val="24"/>
              </w:rPr>
              <w:t>托管理人，并订立债券受托管理协议。受托管理人应当</w:t>
            </w:r>
            <w:r>
              <w:rPr>
                <w:rFonts w:ascii="黑体" w:hAnsi="黑体" w:eastAsia="黑体" w:cs="黑体"/>
                <w:spacing w:val="1"/>
                <w:sz w:val="24"/>
                <w:szCs w:val="24"/>
              </w:rPr>
              <w:t>由本次发</w:t>
            </w:r>
            <w:r>
              <w:rPr>
                <w:rFonts w:ascii="黑体" w:hAnsi="黑体" w:eastAsia="黑体" w:cs="黑体"/>
                <w:sz w:val="24"/>
                <w:szCs w:val="24"/>
              </w:rPr>
              <w:t xml:space="preserve"> </w:t>
            </w:r>
            <w:r>
              <w:rPr>
                <w:rFonts w:ascii="黑体" w:hAnsi="黑体" w:eastAsia="黑体" w:cs="黑体"/>
                <w:spacing w:val="2"/>
                <w:sz w:val="24"/>
                <w:szCs w:val="24"/>
              </w:rPr>
              <w:t>行的承销机构或者其他经国务院证券监督管理机构认可</w:t>
            </w:r>
            <w:r>
              <w:rPr>
                <w:rFonts w:ascii="黑体" w:hAnsi="黑体" w:eastAsia="黑体" w:cs="黑体"/>
                <w:spacing w:val="1"/>
                <w:sz w:val="24"/>
                <w:szCs w:val="24"/>
              </w:rPr>
              <w:t>的机构担</w:t>
            </w:r>
            <w:r>
              <w:rPr>
                <w:rFonts w:ascii="黑体" w:hAnsi="黑体" w:eastAsia="黑体" w:cs="黑体"/>
                <w:sz w:val="24"/>
                <w:szCs w:val="24"/>
              </w:rPr>
              <w:t xml:space="preserve"> </w:t>
            </w:r>
            <w:r>
              <w:rPr>
                <w:rFonts w:ascii="黑体" w:hAnsi="黑体" w:eastAsia="黑体" w:cs="黑体"/>
                <w:spacing w:val="-2"/>
                <w:sz w:val="24"/>
                <w:szCs w:val="24"/>
              </w:rPr>
              <w:t>任，</w:t>
            </w:r>
            <w:r>
              <w:rPr>
                <w:rFonts w:ascii="黑体" w:hAnsi="黑体" w:eastAsia="黑体" w:cs="黑体"/>
                <w:spacing w:val="-11"/>
                <w:sz w:val="24"/>
                <w:szCs w:val="24"/>
              </w:rPr>
              <w:t xml:space="preserve"> </w:t>
            </w:r>
            <w:r>
              <w:rPr>
                <w:rFonts w:ascii="黑体" w:hAnsi="黑体" w:eastAsia="黑体" w:cs="黑体"/>
                <w:spacing w:val="-2"/>
                <w:sz w:val="24"/>
                <w:szCs w:val="24"/>
              </w:rPr>
              <w:t>债券持有人会议可以决议变更债券受托管理人。债券受托管</w:t>
            </w:r>
          </w:p>
        </w:tc>
      </w:tr>
    </w:tbl>
    <w:p>
      <w:pPr>
        <w:spacing w:line="168" w:lineRule="exact"/>
        <w:rPr>
          <w:rFonts w:ascii="Arial"/>
          <w:sz w:val="14"/>
        </w:rPr>
      </w:pPr>
    </w:p>
    <w:p>
      <w:pPr>
        <w:spacing w:line="168" w:lineRule="exact"/>
        <w:rPr>
          <w:rFonts w:ascii="Arial" w:hAnsi="Arial" w:eastAsia="Arial" w:cs="Arial"/>
          <w:sz w:val="14"/>
          <w:szCs w:val="14"/>
        </w:rPr>
        <w:sectPr>
          <w:footerReference r:id="rId32"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9" w:hRule="atLeast"/>
        </w:trPr>
        <w:tc>
          <w:tcPr>
            <w:tcW w:w="7100" w:type="dxa"/>
            <w:vAlign w:val="top"/>
          </w:tcPr>
          <w:p>
            <w:pPr>
              <w:rPr>
                <w:rFonts w:ascii="Arial"/>
                <w:sz w:val="21"/>
              </w:rPr>
            </w:pPr>
          </w:p>
        </w:tc>
        <w:tc>
          <w:tcPr>
            <w:tcW w:w="6807" w:type="dxa"/>
            <w:vAlign w:val="top"/>
          </w:tcPr>
          <w:p>
            <w:pPr>
              <w:spacing w:before="40" w:line="231" w:lineRule="auto"/>
              <w:ind w:left="14" w:right="7" w:hanging="4"/>
              <w:rPr>
                <w:rFonts w:ascii="黑体" w:hAnsi="黑体" w:eastAsia="黑体" w:cs="黑体"/>
                <w:sz w:val="24"/>
                <w:szCs w:val="24"/>
              </w:rPr>
            </w:pPr>
            <w:r>
              <w:rPr>
                <w:rFonts w:ascii="黑体" w:hAnsi="黑体" w:eastAsia="黑体" w:cs="黑体"/>
                <w:spacing w:val="-2"/>
                <w:sz w:val="24"/>
                <w:szCs w:val="24"/>
              </w:rPr>
              <w:t>理人应当勤勉尽责，公正履行受托管理职责</w:t>
            </w:r>
            <w:r>
              <w:rPr>
                <w:rFonts w:ascii="黑体" w:hAnsi="黑体" w:eastAsia="黑体" w:cs="黑体"/>
                <w:spacing w:val="-3"/>
                <w:sz w:val="24"/>
                <w:szCs w:val="24"/>
              </w:rPr>
              <w:t>， 不得损害债券持有</w:t>
            </w:r>
            <w:r>
              <w:rPr>
                <w:rFonts w:ascii="黑体" w:hAnsi="黑体" w:eastAsia="黑体" w:cs="黑体"/>
                <w:sz w:val="24"/>
                <w:szCs w:val="24"/>
              </w:rPr>
              <w:t xml:space="preserve"> </w:t>
            </w:r>
            <w:r>
              <w:rPr>
                <w:rFonts w:ascii="黑体" w:hAnsi="黑体" w:eastAsia="黑体" w:cs="黑体"/>
                <w:spacing w:val="-9"/>
                <w:sz w:val="24"/>
                <w:szCs w:val="24"/>
              </w:rPr>
              <w:t>人利益。</w:t>
            </w:r>
          </w:p>
          <w:p>
            <w:pPr>
              <w:spacing w:before="21" w:line="230" w:lineRule="auto"/>
              <w:ind w:left="10" w:right="7" w:firstLine="500"/>
              <w:jc w:val="both"/>
              <w:rPr>
                <w:rFonts w:ascii="黑体" w:hAnsi="黑体" w:eastAsia="黑体" w:cs="黑体"/>
                <w:sz w:val="24"/>
                <w:szCs w:val="24"/>
              </w:rPr>
            </w:pPr>
            <w:r>
              <w:rPr>
                <w:rFonts w:ascii="黑体" w:hAnsi="黑体" w:eastAsia="黑体" w:cs="黑体"/>
                <w:spacing w:val="1"/>
                <w:sz w:val="24"/>
                <w:szCs w:val="24"/>
              </w:rPr>
              <w:t>债券发行人未能按期兑付债券本息的，债券受托管理人可以</w:t>
            </w:r>
            <w:r>
              <w:rPr>
                <w:rFonts w:ascii="黑体" w:hAnsi="黑体" w:eastAsia="黑体" w:cs="黑体"/>
                <w:spacing w:val="6"/>
                <w:sz w:val="24"/>
                <w:szCs w:val="24"/>
              </w:rPr>
              <w:t xml:space="preserve"> </w:t>
            </w:r>
            <w:r>
              <w:rPr>
                <w:rFonts w:ascii="黑体" w:hAnsi="黑体" w:eastAsia="黑体" w:cs="黑体"/>
                <w:spacing w:val="2"/>
                <w:sz w:val="24"/>
                <w:szCs w:val="24"/>
              </w:rPr>
              <w:t>接受全部或者部分债券持有人的委托，以自己名义代表</w:t>
            </w:r>
            <w:r>
              <w:rPr>
                <w:rFonts w:ascii="黑体" w:hAnsi="黑体" w:eastAsia="黑体" w:cs="黑体"/>
                <w:spacing w:val="1"/>
                <w:sz w:val="24"/>
                <w:szCs w:val="24"/>
              </w:rPr>
              <w:t>债券持有</w:t>
            </w:r>
            <w:r>
              <w:rPr>
                <w:rFonts w:ascii="黑体" w:hAnsi="黑体" w:eastAsia="黑体" w:cs="黑体"/>
                <w:sz w:val="24"/>
                <w:szCs w:val="24"/>
              </w:rPr>
              <w:t xml:space="preserve"> </w:t>
            </w:r>
            <w:r>
              <w:rPr>
                <w:rFonts w:ascii="黑体" w:hAnsi="黑体" w:eastAsia="黑体" w:cs="黑体"/>
                <w:spacing w:val="-3"/>
                <w:sz w:val="24"/>
                <w:szCs w:val="24"/>
              </w:rPr>
              <w:t>人提起、参加民事诉讼或者清算程序。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7100" w:type="dxa"/>
            <w:vAlign w:val="top"/>
          </w:tcPr>
          <w:p>
            <w:pPr>
              <w:rPr>
                <w:rFonts w:ascii="Arial"/>
                <w:sz w:val="21"/>
              </w:rPr>
            </w:pPr>
          </w:p>
        </w:tc>
        <w:tc>
          <w:tcPr>
            <w:tcW w:w="6807" w:type="dxa"/>
            <w:vAlign w:val="top"/>
          </w:tcPr>
          <w:p>
            <w:pPr>
              <w:spacing w:before="35" w:line="233" w:lineRule="auto"/>
              <w:ind w:left="13" w:right="5" w:firstLine="497"/>
              <w:rPr>
                <w:rFonts w:ascii="黑体" w:hAnsi="黑体" w:eastAsia="黑体" w:cs="黑体"/>
                <w:sz w:val="24"/>
                <w:szCs w:val="24"/>
              </w:rPr>
            </w:pPr>
            <w:r>
              <w:rPr>
                <w:rFonts w:ascii="黑体" w:hAnsi="黑体" w:eastAsia="黑体" w:cs="黑体"/>
                <w:spacing w:val="1"/>
                <w:sz w:val="24"/>
                <w:szCs w:val="24"/>
              </w:rPr>
              <w:t>第九十三条  发行人因欺诈发行、虚假陈述或者其他重大违</w:t>
            </w:r>
            <w:r>
              <w:rPr>
                <w:rFonts w:ascii="黑体" w:hAnsi="黑体" w:eastAsia="黑体" w:cs="黑体"/>
                <w:spacing w:val="8"/>
                <w:sz w:val="24"/>
                <w:szCs w:val="24"/>
              </w:rPr>
              <w:t xml:space="preserve"> </w:t>
            </w:r>
            <w:r>
              <w:rPr>
                <w:rFonts w:ascii="黑体" w:hAnsi="黑体" w:eastAsia="黑体" w:cs="黑体"/>
                <w:sz w:val="24"/>
                <w:szCs w:val="24"/>
              </w:rPr>
              <w:t>法行为给投资者造成损失的，发行人的控股股东、实际控制人、</w:t>
            </w:r>
            <w:r>
              <w:rPr>
                <w:rFonts w:ascii="黑体" w:hAnsi="黑体" w:eastAsia="黑体" w:cs="黑体"/>
                <w:spacing w:val="16"/>
                <w:sz w:val="24"/>
                <w:szCs w:val="24"/>
              </w:rPr>
              <w:t xml:space="preserve"> </w:t>
            </w:r>
            <w:r>
              <w:rPr>
                <w:rFonts w:ascii="黑体" w:hAnsi="黑体" w:eastAsia="黑体" w:cs="黑体"/>
                <w:spacing w:val="2"/>
                <w:sz w:val="24"/>
                <w:szCs w:val="24"/>
              </w:rPr>
              <w:t>相关的证券公司可以委托投资者保护机构，就赔</w:t>
            </w:r>
            <w:r>
              <w:rPr>
                <w:rFonts w:ascii="黑体" w:hAnsi="黑体" w:eastAsia="黑体" w:cs="黑体"/>
                <w:spacing w:val="1"/>
                <w:sz w:val="24"/>
                <w:szCs w:val="24"/>
              </w:rPr>
              <w:t>偿事宜与受到损</w:t>
            </w:r>
            <w:r>
              <w:rPr>
                <w:rFonts w:ascii="黑体" w:hAnsi="黑体" w:eastAsia="黑体" w:cs="黑体"/>
                <w:sz w:val="24"/>
                <w:szCs w:val="24"/>
              </w:rPr>
              <w:t xml:space="preserve"> </w:t>
            </w:r>
            <w:r>
              <w:rPr>
                <w:rFonts w:ascii="黑体" w:hAnsi="黑体" w:eastAsia="黑体" w:cs="黑体"/>
                <w:spacing w:val="-3"/>
                <w:sz w:val="24"/>
                <w:szCs w:val="24"/>
              </w:rPr>
              <w:t>失的投资者达成协议， 予以先行赔付。先行赔付后，可以依法向</w:t>
            </w:r>
            <w:r>
              <w:rPr>
                <w:rFonts w:ascii="黑体" w:hAnsi="黑体" w:eastAsia="黑体" w:cs="黑体"/>
                <w:spacing w:val="16"/>
                <w:sz w:val="24"/>
                <w:szCs w:val="24"/>
              </w:rPr>
              <w:t xml:space="preserve"> </w:t>
            </w:r>
            <w:r>
              <w:rPr>
                <w:rFonts w:ascii="黑体" w:hAnsi="黑体" w:eastAsia="黑体" w:cs="黑体"/>
                <w:spacing w:val="-3"/>
                <w:sz w:val="24"/>
                <w:szCs w:val="24"/>
              </w:rPr>
              <w:t>发行人以及其他连带责任人进行追偿。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5" w:hRule="atLeast"/>
        </w:trPr>
        <w:tc>
          <w:tcPr>
            <w:tcW w:w="7100" w:type="dxa"/>
            <w:vAlign w:val="top"/>
          </w:tcPr>
          <w:p>
            <w:pPr>
              <w:rPr>
                <w:rFonts w:ascii="Arial"/>
                <w:sz w:val="21"/>
              </w:rPr>
            </w:pPr>
          </w:p>
        </w:tc>
        <w:tc>
          <w:tcPr>
            <w:tcW w:w="6807" w:type="dxa"/>
            <w:vAlign w:val="top"/>
          </w:tcPr>
          <w:p>
            <w:pPr>
              <w:spacing w:before="31" w:line="236" w:lineRule="auto"/>
              <w:ind w:left="10" w:right="2" w:firstLine="500"/>
              <w:rPr>
                <w:rFonts w:ascii="黑体" w:hAnsi="黑体" w:eastAsia="黑体" w:cs="黑体"/>
                <w:sz w:val="24"/>
                <w:szCs w:val="24"/>
              </w:rPr>
            </w:pPr>
            <w:r>
              <w:rPr>
                <w:rFonts w:ascii="黑体" w:hAnsi="黑体" w:eastAsia="黑体" w:cs="黑体"/>
                <w:spacing w:val="-3"/>
                <w:sz w:val="24"/>
                <w:szCs w:val="24"/>
              </w:rPr>
              <w:t>第九十四条  投资者与发行人、证券公司等发生纠纷的， 双</w:t>
            </w:r>
            <w:r>
              <w:rPr>
                <w:rFonts w:ascii="黑体" w:hAnsi="黑体" w:eastAsia="黑体" w:cs="黑体"/>
                <w:sz w:val="24"/>
                <w:szCs w:val="24"/>
              </w:rPr>
              <w:t xml:space="preserve"> </w:t>
            </w:r>
            <w:r>
              <w:rPr>
                <w:rFonts w:ascii="黑体" w:hAnsi="黑体" w:eastAsia="黑体" w:cs="黑体"/>
                <w:spacing w:val="2"/>
                <w:sz w:val="24"/>
                <w:szCs w:val="24"/>
              </w:rPr>
              <w:t>方可以向投资者保护机构申请调解。普通投资者与证券</w:t>
            </w:r>
            <w:r>
              <w:rPr>
                <w:rFonts w:ascii="黑体" w:hAnsi="黑体" w:eastAsia="黑体" w:cs="黑体"/>
                <w:spacing w:val="1"/>
                <w:sz w:val="24"/>
                <w:szCs w:val="24"/>
              </w:rPr>
              <w:t>公司发生</w:t>
            </w:r>
            <w:r>
              <w:rPr>
                <w:rFonts w:ascii="黑体" w:hAnsi="黑体" w:eastAsia="黑体" w:cs="黑体"/>
                <w:sz w:val="24"/>
                <w:szCs w:val="24"/>
              </w:rPr>
              <w:t xml:space="preserve"> </w:t>
            </w:r>
            <w:r>
              <w:rPr>
                <w:rFonts w:ascii="黑体" w:hAnsi="黑体" w:eastAsia="黑体" w:cs="黑体"/>
                <w:spacing w:val="11"/>
                <w:sz w:val="24"/>
                <w:szCs w:val="24"/>
              </w:rPr>
              <w:t>证券业务纠纷，普通投资者提出调解请求的，证券公司不得拒</w:t>
            </w:r>
            <w:r>
              <w:rPr>
                <w:rFonts w:ascii="黑体" w:hAnsi="黑体" w:eastAsia="黑体" w:cs="黑体"/>
                <w:sz w:val="24"/>
                <w:szCs w:val="24"/>
              </w:rPr>
              <w:t xml:space="preserve"> </w:t>
            </w:r>
            <w:r>
              <w:rPr>
                <w:rFonts w:ascii="黑体" w:hAnsi="黑体" w:eastAsia="黑体" w:cs="黑体"/>
                <w:spacing w:val="-10"/>
                <w:sz w:val="24"/>
                <w:szCs w:val="24"/>
              </w:rPr>
              <w:t>绝。</w:t>
            </w:r>
          </w:p>
          <w:p>
            <w:pPr>
              <w:spacing w:before="20" w:line="230" w:lineRule="auto"/>
              <w:ind w:left="20" w:right="7" w:firstLine="488"/>
              <w:rPr>
                <w:rFonts w:ascii="黑体" w:hAnsi="黑体" w:eastAsia="黑体" w:cs="黑体"/>
                <w:sz w:val="24"/>
                <w:szCs w:val="24"/>
              </w:rPr>
            </w:pPr>
            <w:r>
              <w:rPr>
                <w:rFonts w:ascii="黑体" w:hAnsi="黑体" w:eastAsia="黑体" w:cs="黑体"/>
                <w:spacing w:val="1"/>
                <w:sz w:val="24"/>
                <w:szCs w:val="24"/>
              </w:rPr>
              <w:t>投资者保护机构对损害投资者利益的行为，可以依法支持投</w:t>
            </w:r>
            <w:r>
              <w:rPr>
                <w:rFonts w:ascii="黑体" w:hAnsi="黑体" w:eastAsia="黑体" w:cs="黑体"/>
                <w:spacing w:val="8"/>
                <w:sz w:val="24"/>
                <w:szCs w:val="24"/>
              </w:rPr>
              <w:t xml:space="preserve"> </w:t>
            </w:r>
            <w:r>
              <w:rPr>
                <w:rFonts w:ascii="黑体" w:hAnsi="黑体" w:eastAsia="黑体" w:cs="黑体"/>
                <w:spacing w:val="-4"/>
                <w:sz w:val="24"/>
                <w:szCs w:val="24"/>
              </w:rPr>
              <w:t>资者向人民法院提起诉讼。</w:t>
            </w:r>
          </w:p>
          <w:p>
            <w:pPr>
              <w:spacing w:before="21" w:line="234" w:lineRule="auto"/>
              <w:ind w:left="10" w:right="7" w:firstLine="502"/>
              <w:rPr>
                <w:rFonts w:ascii="黑体" w:hAnsi="黑体" w:eastAsia="黑体" w:cs="黑体"/>
                <w:sz w:val="24"/>
                <w:szCs w:val="24"/>
              </w:rPr>
            </w:pPr>
            <w:r>
              <w:rPr>
                <w:rFonts w:ascii="黑体" w:hAnsi="黑体" w:eastAsia="黑体" w:cs="黑体"/>
                <w:spacing w:val="1"/>
                <w:sz w:val="24"/>
                <w:szCs w:val="24"/>
              </w:rPr>
              <w:t>发行人的董事、监事、高级管理人员执行公司职务时违反法</w:t>
            </w:r>
            <w:r>
              <w:rPr>
                <w:rFonts w:ascii="黑体" w:hAnsi="黑体" w:eastAsia="黑体" w:cs="黑体"/>
                <w:spacing w:val="4"/>
                <w:sz w:val="24"/>
                <w:szCs w:val="24"/>
              </w:rPr>
              <w:t xml:space="preserve"> </w:t>
            </w:r>
            <w:r>
              <w:rPr>
                <w:rFonts w:ascii="黑体" w:hAnsi="黑体" w:eastAsia="黑体" w:cs="黑体"/>
                <w:spacing w:val="2"/>
                <w:sz w:val="24"/>
                <w:szCs w:val="24"/>
              </w:rPr>
              <w:t>律、行政法规或者公司章程的规定给公司造成损失，发</w:t>
            </w:r>
            <w:r>
              <w:rPr>
                <w:rFonts w:ascii="黑体" w:hAnsi="黑体" w:eastAsia="黑体" w:cs="黑体"/>
                <w:spacing w:val="1"/>
                <w:sz w:val="24"/>
                <w:szCs w:val="24"/>
              </w:rPr>
              <w:t>行人的控</w:t>
            </w:r>
            <w:r>
              <w:rPr>
                <w:rFonts w:ascii="黑体" w:hAnsi="黑体" w:eastAsia="黑体" w:cs="黑体"/>
                <w:sz w:val="24"/>
                <w:szCs w:val="24"/>
              </w:rPr>
              <w:t xml:space="preserve"> </w:t>
            </w:r>
            <w:r>
              <w:rPr>
                <w:rFonts w:ascii="黑体" w:hAnsi="黑体" w:eastAsia="黑体" w:cs="黑体"/>
                <w:spacing w:val="-2"/>
                <w:sz w:val="24"/>
                <w:szCs w:val="24"/>
              </w:rPr>
              <w:t>股股东、实际控制人等侵犯公司合法权益给</w:t>
            </w:r>
            <w:r>
              <w:rPr>
                <w:rFonts w:ascii="黑体" w:hAnsi="黑体" w:eastAsia="黑体" w:cs="黑体"/>
                <w:spacing w:val="-3"/>
                <w:sz w:val="24"/>
                <w:szCs w:val="24"/>
              </w:rPr>
              <w:t>公司造成损失， 投资</w:t>
            </w:r>
            <w:r>
              <w:rPr>
                <w:rFonts w:ascii="黑体" w:hAnsi="黑体" w:eastAsia="黑体" w:cs="黑体"/>
                <w:sz w:val="24"/>
                <w:szCs w:val="24"/>
              </w:rPr>
              <w:t xml:space="preserve"> </w:t>
            </w:r>
            <w:r>
              <w:rPr>
                <w:rFonts w:ascii="黑体" w:hAnsi="黑体" w:eastAsia="黑体" w:cs="黑体"/>
                <w:spacing w:val="-2"/>
                <w:sz w:val="24"/>
                <w:szCs w:val="24"/>
              </w:rPr>
              <w:t>者保护机构持有该公司股份的， 可以为公</w:t>
            </w:r>
            <w:r>
              <w:rPr>
                <w:rFonts w:ascii="黑体" w:hAnsi="黑体" w:eastAsia="黑体" w:cs="黑体"/>
                <w:spacing w:val="-3"/>
                <w:sz w:val="24"/>
                <w:szCs w:val="24"/>
              </w:rPr>
              <w:t>司的利益以自己的名义</w:t>
            </w:r>
            <w:r>
              <w:rPr>
                <w:rFonts w:ascii="黑体" w:hAnsi="黑体" w:eastAsia="黑体" w:cs="黑体"/>
                <w:sz w:val="24"/>
                <w:szCs w:val="24"/>
              </w:rPr>
              <w:t xml:space="preserve"> </w:t>
            </w:r>
            <w:r>
              <w:rPr>
                <w:rFonts w:ascii="黑体" w:hAnsi="黑体" w:eastAsia="黑体" w:cs="黑体"/>
                <w:spacing w:val="-2"/>
                <w:sz w:val="24"/>
                <w:szCs w:val="24"/>
              </w:rPr>
              <w:t>向人民法院提起诉讼， 持股比例和持股期</w:t>
            </w:r>
            <w:r>
              <w:rPr>
                <w:rFonts w:ascii="黑体" w:hAnsi="黑体" w:eastAsia="黑体" w:cs="黑体"/>
                <w:spacing w:val="-3"/>
                <w:sz w:val="24"/>
                <w:szCs w:val="24"/>
              </w:rPr>
              <w:t>限不受《中华人民共和</w:t>
            </w:r>
            <w:r>
              <w:rPr>
                <w:rFonts w:ascii="黑体" w:hAnsi="黑体" w:eastAsia="黑体" w:cs="黑体"/>
                <w:sz w:val="24"/>
                <w:szCs w:val="24"/>
              </w:rPr>
              <w:t xml:space="preserve"> </w:t>
            </w:r>
            <w:r>
              <w:rPr>
                <w:rFonts w:ascii="黑体" w:hAnsi="黑体" w:eastAsia="黑体" w:cs="黑体"/>
                <w:spacing w:val="-4"/>
                <w:sz w:val="24"/>
                <w:szCs w:val="24"/>
              </w:rPr>
              <w:t>国公司法》规定的限制。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2" w:hRule="atLeast"/>
        </w:trPr>
        <w:tc>
          <w:tcPr>
            <w:tcW w:w="7100" w:type="dxa"/>
            <w:vAlign w:val="top"/>
          </w:tcPr>
          <w:p>
            <w:pPr>
              <w:rPr>
                <w:rFonts w:ascii="Arial"/>
                <w:sz w:val="21"/>
              </w:rPr>
            </w:pPr>
          </w:p>
        </w:tc>
        <w:tc>
          <w:tcPr>
            <w:tcW w:w="6807" w:type="dxa"/>
            <w:vAlign w:val="top"/>
          </w:tcPr>
          <w:p>
            <w:pPr>
              <w:spacing w:before="39" w:line="233" w:lineRule="auto"/>
              <w:ind w:left="10" w:right="7" w:firstLine="500"/>
              <w:rPr>
                <w:rFonts w:ascii="黑体" w:hAnsi="黑体" w:eastAsia="黑体" w:cs="黑体"/>
                <w:sz w:val="24"/>
                <w:szCs w:val="24"/>
              </w:rPr>
            </w:pPr>
            <w:r>
              <w:rPr>
                <w:rFonts w:ascii="黑体" w:hAnsi="黑体" w:eastAsia="黑体" w:cs="黑体"/>
                <w:spacing w:val="1"/>
                <w:sz w:val="24"/>
                <w:szCs w:val="24"/>
              </w:rPr>
              <w:t>第九十五条  投资者提起虚假陈述等证券民事赔偿诉讼时，</w:t>
            </w:r>
            <w:r>
              <w:rPr>
                <w:rFonts w:ascii="黑体" w:hAnsi="黑体" w:eastAsia="黑体" w:cs="黑体"/>
                <w:spacing w:val="3"/>
                <w:sz w:val="24"/>
                <w:szCs w:val="24"/>
              </w:rPr>
              <w:t xml:space="preserve"> </w:t>
            </w:r>
            <w:r>
              <w:rPr>
                <w:rFonts w:ascii="黑体" w:hAnsi="黑体" w:eastAsia="黑体" w:cs="黑体"/>
                <w:spacing w:val="-6"/>
                <w:sz w:val="24"/>
                <w:szCs w:val="24"/>
              </w:rPr>
              <w:t>诉讼标的是同一种类， 且当事人一方人数众多的</w:t>
            </w:r>
            <w:r>
              <w:rPr>
                <w:rFonts w:ascii="黑体" w:hAnsi="黑体" w:eastAsia="黑体" w:cs="黑体"/>
                <w:spacing w:val="-7"/>
                <w:sz w:val="24"/>
                <w:szCs w:val="24"/>
              </w:rPr>
              <w:t>， 可以依法推选</w:t>
            </w:r>
            <w:r>
              <w:rPr>
                <w:rFonts w:ascii="黑体" w:hAnsi="黑体" w:eastAsia="黑体" w:cs="黑体"/>
                <w:sz w:val="24"/>
                <w:szCs w:val="24"/>
              </w:rPr>
              <w:t xml:space="preserve"> </w:t>
            </w:r>
            <w:r>
              <w:rPr>
                <w:rFonts w:ascii="黑体" w:hAnsi="黑体" w:eastAsia="黑体" w:cs="黑体"/>
                <w:spacing w:val="-5"/>
                <w:sz w:val="24"/>
                <w:szCs w:val="24"/>
              </w:rPr>
              <w:t>代表人进行诉讼。</w:t>
            </w:r>
          </w:p>
          <w:p>
            <w:pPr>
              <w:spacing w:before="24" w:line="233" w:lineRule="auto"/>
              <w:ind w:left="9" w:right="7" w:firstLine="499"/>
              <w:rPr>
                <w:rFonts w:ascii="黑体" w:hAnsi="黑体" w:eastAsia="黑体" w:cs="黑体"/>
                <w:sz w:val="24"/>
                <w:szCs w:val="24"/>
              </w:rPr>
            </w:pPr>
            <w:r>
              <w:rPr>
                <w:rFonts w:ascii="黑体" w:hAnsi="黑体" w:eastAsia="黑体" w:cs="黑体"/>
                <w:spacing w:val="-3"/>
                <w:sz w:val="24"/>
                <w:szCs w:val="24"/>
              </w:rPr>
              <w:t>对按照前款规定提起的诉讼， 可能存在有相同诉</w:t>
            </w:r>
            <w:r>
              <w:rPr>
                <w:rFonts w:ascii="黑体" w:hAnsi="黑体" w:eastAsia="黑体" w:cs="黑体"/>
                <w:spacing w:val="-4"/>
                <w:sz w:val="24"/>
                <w:szCs w:val="24"/>
              </w:rPr>
              <w:t>讼请求的其</w:t>
            </w:r>
            <w:r>
              <w:rPr>
                <w:rFonts w:ascii="黑体" w:hAnsi="黑体" w:eastAsia="黑体" w:cs="黑体"/>
                <w:sz w:val="24"/>
                <w:szCs w:val="24"/>
              </w:rPr>
              <w:t xml:space="preserve"> </w:t>
            </w:r>
            <w:r>
              <w:rPr>
                <w:rFonts w:ascii="黑体" w:hAnsi="黑体" w:eastAsia="黑体" w:cs="黑体"/>
                <w:spacing w:val="-2"/>
                <w:sz w:val="24"/>
                <w:szCs w:val="24"/>
              </w:rPr>
              <w:t>他众多投资者的， 人民法院可以发出公告，</w:t>
            </w:r>
            <w:r>
              <w:rPr>
                <w:rFonts w:ascii="黑体" w:hAnsi="黑体" w:eastAsia="黑体" w:cs="黑体"/>
                <w:spacing w:val="-3"/>
                <w:sz w:val="24"/>
                <w:szCs w:val="24"/>
              </w:rPr>
              <w:t>说明该诉讼请求的案</w:t>
            </w:r>
            <w:r>
              <w:rPr>
                <w:rFonts w:ascii="黑体" w:hAnsi="黑体" w:eastAsia="黑体" w:cs="黑体"/>
                <w:sz w:val="24"/>
                <w:szCs w:val="24"/>
              </w:rPr>
              <w:t xml:space="preserve"> </w:t>
            </w:r>
            <w:r>
              <w:rPr>
                <w:rFonts w:ascii="黑体" w:hAnsi="黑体" w:eastAsia="黑体" w:cs="黑体"/>
                <w:spacing w:val="-2"/>
                <w:sz w:val="24"/>
                <w:szCs w:val="24"/>
              </w:rPr>
              <w:t>件情况， 通知投资者在一定期间向人民法院</w:t>
            </w:r>
            <w:r>
              <w:rPr>
                <w:rFonts w:ascii="黑体" w:hAnsi="黑体" w:eastAsia="黑体" w:cs="黑体"/>
                <w:spacing w:val="-3"/>
                <w:sz w:val="24"/>
                <w:szCs w:val="24"/>
              </w:rPr>
              <w:t>登记。人民法院作出</w:t>
            </w:r>
            <w:r>
              <w:rPr>
                <w:rFonts w:ascii="黑体" w:hAnsi="黑体" w:eastAsia="黑体" w:cs="黑体"/>
                <w:sz w:val="24"/>
                <w:szCs w:val="24"/>
              </w:rPr>
              <w:t xml:space="preserve"> </w:t>
            </w:r>
            <w:r>
              <w:rPr>
                <w:rFonts w:ascii="黑体" w:hAnsi="黑体" w:eastAsia="黑体" w:cs="黑体"/>
                <w:spacing w:val="-2"/>
                <w:sz w:val="24"/>
                <w:szCs w:val="24"/>
              </w:rPr>
              <w:t>的判决、裁定，对参加登记的投资者发生效力。</w:t>
            </w:r>
          </w:p>
          <w:p>
            <w:pPr>
              <w:spacing w:before="35" w:line="209" w:lineRule="auto"/>
              <w:ind w:right="7"/>
              <w:jc w:val="right"/>
              <w:rPr>
                <w:rFonts w:ascii="黑体" w:hAnsi="黑体" w:eastAsia="黑体" w:cs="黑体"/>
                <w:sz w:val="24"/>
                <w:szCs w:val="24"/>
              </w:rPr>
            </w:pPr>
            <w:r>
              <w:rPr>
                <w:rFonts w:ascii="黑体" w:hAnsi="黑体" w:eastAsia="黑体" w:cs="黑体"/>
                <w:spacing w:val="1"/>
                <w:sz w:val="24"/>
                <w:szCs w:val="24"/>
              </w:rPr>
              <w:t>投资者保护机构受五十名以上投资者委托，可以作为代表人</w:t>
            </w:r>
          </w:p>
        </w:tc>
      </w:tr>
    </w:tbl>
    <w:p>
      <w:pPr>
        <w:spacing w:line="168" w:lineRule="exact"/>
        <w:rPr>
          <w:rFonts w:ascii="Arial"/>
          <w:sz w:val="14"/>
        </w:rPr>
      </w:pPr>
    </w:p>
    <w:p>
      <w:pPr>
        <w:spacing w:line="168" w:lineRule="exact"/>
        <w:rPr>
          <w:rFonts w:ascii="Arial" w:hAnsi="Arial" w:eastAsia="Arial" w:cs="Arial"/>
          <w:sz w:val="14"/>
          <w:szCs w:val="14"/>
        </w:rPr>
        <w:sectPr>
          <w:footerReference r:id="rId33"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100" w:type="dxa"/>
            <w:vAlign w:val="top"/>
          </w:tcPr>
          <w:p>
            <w:pPr>
              <w:rPr>
                <w:rFonts w:ascii="Arial"/>
                <w:sz w:val="21"/>
              </w:rPr>
            </w:pPr>
          </w:p>
        </w:tc>
        <w:tc>
          <w:tcPr>
            <w:tcW w:w="6807" w:type="dxa"/>
            <w:vAlign w:val="top"/>
          </w:tcPr>
          <w:p>
            <w:pPr>
              <w:spacing w:before="42" w:line="225" w:lineRule="auto"/>
              <w:ind w:left="28" w:right="7" w:hanging="17"/>
              <w:rPr>
                <w:rFonts w:ascii="黑体" w:hAnsi="黑体" w:eastAsia="黑体" w:cs="黑体"/>
                <w:sz w:val="24"/>
                <w:szCs w:val="24"/>
              </w:rPr>
            </w:pPr>
            <w:r>
              <w:rPr>
                <w:rFonts w:ascii="黑体" w:hAnsi="黑体" w:eastAsia="黑体" w:cs="黑体"/>
                <w:spacing w:val="2"/>
                <w:sz w:val="24"/>
                <w:szCs w:val="24"/>
              </w:rPr>
              <w:t>参加诉讼，并为经证券登记结算机构确认的权利人依</w:t>
            </w:r>
            <w:r>
              <w:rPr>
                <w:rFonts w:ascii="黑体" w:hAnsi="黑体" w:eastAsia="黑体" w:cs="黑体"/>
                <w:spacing w:val="1"/>
                <w:sz w:val="24"/>
                <w:szCs w:val="24"/>
              </w:rPr>
              <w:t>照前款规定</w:t>
            </w:r>
            <w:r>
              <w:rPr>
                <w:rFonts w:ascii="黑体" w:hAnsi="黑体" w:eastAsia="黑体" w:cs="黑体"/>
                <w:sz w:val="24"/>
                <w:szCs w:val="24"/>
              </w:rPr>
              <w:t xml:space="preserve"> </w:t>
            </w:r>
            <w:r>
              <w:rPr>
                <w:rFonts w:ascii="黑体" w:hAnsi="黑体" w:eastAsia="黑体" w:cs="黑体"/>
                <w:spacing w:val="-2"/>
                <w:sz w:val="24"/>
                <w:szCs w:val="24"/>
              </w:rPr>
              <w:t>向人民法院登记，但投资者明确表示不愿意参加该诉讼的除</w:t>
            </w:r>
            <w:r>
              <w:rPr>
                <w:rFonts w:ascii="黑体" w:hAnsi="黑体" w:eastAsia="黑体" w:cs="黑体"/>
                <w:spacing w:val="-3"/>
                <w:sz w:val="24"/>
                <w:szCs w:val="24"/>
              </w:rPr>
              <w:t>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100" w:type="dxa"/>
            <w:vAlign w:val="top"/>
          </w:tcPr>
          <w:p>
            <w:pPr>
              <w:spacing w:before="31" w:line="222" w:lineRule="auto"/>
              <w:ind w:left="2471"/>
              <w:rPr>
                <w:rFonts w:ascii="黑体" w:hAnsi="黑体" w:eastAsia="黑体" w:cs="黑体"/>
                <w:sz w:val="24"/>
                <w:szCs w:val="24"/>
              </w:rPr>
            </w:pPr>
            <w:r>
              <w:rPr>
                <w:rFonts w:ascii="黑体" w:hAnsi="黑体" w:eastAsia="黑体" w:cs="黑体"/>
                <w:spacing w:val="-1"/>
                <w:sz w:val="24"/>
                <w:szCs w:val="24"/>
              </w:rPr>
              <w:t>第五章  证券交易所</w:t>
            </w:r>
          </w:p>
        </w:tc>
        <w:tc>
          <w:tcPr>
            <w:tcW w:w="6807" w:type="dxa"/>
            <w:vAlign w:val="top"/>
          </w:tcPr>
          <w:p>
            <w:pPr>
              <w:spacing w:before="31" w:line="222" w:lineRule="auto"/>
              <w:ind w:left="2202"/>
              <w:rPr>
                <w:rFonts w:ascii="黑体" w:hAnsi="黑体" w:eastAsia="黑体" w:cs="黑体"/>
                <w:sz w:val="24"/>
                <w:szCs w:val="24"/>
              </w:rPr>
            </w:pPr>
            <w:r>
              <w:rPr>
                <w:rFonts w:ascii="黑体" w:hAnsi="黑体" w:eastAsia="黑体" w:cs="黑体"/>
                <w:spacing w:val="-1"/>
                <w:sz w:val="24"/>
                <w:szCs w:val="24"/>
              </w:rPr>
              <w:t>第七章  证券交易场所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3" w:hRule="atLeast"/>
        </w:trPr>
        <w:tc>
          <w:tcPr>
            <w:tcW w:w="7100" w:type="dxa"/>
            <w:vAlign w:val="top"/>
          </w:tcPr>
          <w:p>
            <w:pPr>
              <w:pStyle w:val="8"/>
              <w:spacing w:line="239" w:lineRule="auto"/>
              <w:ind w:left="14" w:firstLine="498"/>
            </w:pPr>
            <w:r>
              <w:rPr>
                <w:rFonts w:ascii="黑体" w:hAnsi="黑体" w:eastAsia="黑体" w:cs="黑体"/>
                <w:spacing w:val="11"/>
              </w:rPr>
              <w:t xml:space="preserve">第一百零二条  </w:t>
            </w:r>
            <w:r>
              <w:rPr>
                <w:spacing w:val="11"/>
              </w:rPr>
              <w:t>证券交易所</w:t>
            </w:r>
            <w:r>
              <w:rPr>
                <w:spacing w:val="-103"/>
              </w:rPr>
              <w:t xml:space="preserve"> </w:t>
            </w:r>
            <w:r>
              <w:rPr>
                <w:position w:val="-7"/>
              </w:rPr>
              <w:drawing>
                <wp:inline distT="0" distB="0" distL="0" distR="0">
                  <wp:extent cx="5080" cy="19494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76"/>
                          <a:stretch>
                            <a:fillRect/>
                          </a:stretch>
                        </pic:blipFill>
                        <pic:spPr>
                          <a:xfrm>
                            <a:off x="0" y="0"/>
                            <a:ext cx="5332" cy="195071"/>
                          </a:xfrm>
                          <a:prstGeom prst="rect">
                            <a:avLst/>
                          </a:prstGeom>
                        </pic:spPr>
                      </pic:pic>
                    </a:graphicData>
                  </a:graphic>
                </wp:inline>
              </w:drawing>
            </w:r>
            <w:r>
              <w:rPr>
                <w:spacing w:val="11"/>
                <w:u w:val="single" w:color="auto"/>
                <w:shd w:val="clear" w:fill="D9D9D9"/>
              </w:rPr>
              <w:t>是</w:t>
            </w:r>
            <w:r>
              <w:rPr>
                <w:position w:val="-7"/>
              </w:rPr>
              <w:drawing>
                <wp:inline distT="0" distB="0" distL="0" distR="0">
                  <wp:extent cx="5080" cy="19494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76"/>
                          <a:stretch>
                            <a:fillRect/>
                          </a:stretch>
                        </pic:blipFill>
                        <pic:spPr>
                          <a:xfrm>
                            <a:off x="0" y="0"/>
                            <a:ext cx="5332" cy="195071"/>
                          </a:xfrm>
                          <a:prstGeom prst="rect">
                            <a:avLst/>
                          </a:prstGeom>
                        </pic:spPr>
                      </pic:pic>
                    </a:graphicData>
                  </a:graphic>
                </wp:inline>
              </w:drawing>
            </w:r>
            <w:r>
              <w:rPr>
                <w:spacing w:val="11"/>
              </w:rPr>
              <w:t>为证</w:t>
            </w:r>
            <w:r>
              <w:rPr>
                <w:spacing w:val="11"/>
                <w:u w:val="single" w:color="auto"/>
              </w:rPr>
              <w:t>券集中</w:t>
            </w:r>
            <w:r>
              <w:rPr>
                <w:spacing w:val="11"/>
              </w:rPr>
              <w:t>交易提供场所和设</w:t>
            </w:r>
            <w:r>
              <w:t xml:space="preserve"> </w:t>
            </w:r>
            <w:r>
              <w:rPr>
                <w:spacing w:val="-3"/>
              </w:rPr>
              <w:t>施，组织和监督证券交易，实</w:t>
            </w:r>
            <w:r>
              <w:rPr>
                <w:spacing w:val="-3"/>
                <w:u w:val="single" w:color="auto"/>
              </w:rPr>
              <w:t>行</w:t>
            </w:r>
            <w:r>
              <w:rPr>
                <w:spacing w:val="-98"/>
                <w:u w:val="single" w:color="auto"/>
              </w:rPr>
              <w:t xml:space="preserve"> </w:t>
            </w:r>
            <w:r>
              <w:rPr>
                <w:position w:val="-7"/>
              </w:rPr>
              <w:drawing>
                <wp:inline distT="0" distB="0" distL="0" distR="0">
                  <wp:extent cx="1270" cy="1270"/>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95"/>
                          <a:stretch>
                            <a:fillRect/>
                          </a:stretch>
                        </pic:blipFill>
                        <pic:spPr>
                          <a:xfrm>
                            <a:off x="0" y="0"/>
                            <a:ext cx="1735" cy="1523"/>
                          </a:xfrm>
                          <a:prstGeom prst="rect">
                            <a:avLst/>
                          </a:prstGeom>
                        </pic:spPr>
                      </pic:pic>
                    </a:graphicData>
                  </a:graphic>
                </wp:inline>
              </w:drawing>
            </w:r>
            <w:r>
              <w:rPr>
                <w:spacing w:val="-92"/>
              </w:rPr>
              <w:t xml:space="preserve"> </w:t>
            </w:r>
            <w:r>
              <w:rPr>
                <w:spacing w:val="-3"/>
              </w:rPr>
              <w:t>自律管理</w:t>
            </w:r>
            <w:r>
              <w:rPr>
                <w:position w:val="-7"/>
              </w:rPr>
              <w:drawing>
                <wp:inline distT="0" distB="0" distL="0" distR="0">
                  <wp:extent cx="1270" cy="19494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71"/>
                          <a:stretch>
                            <a:fillRect/>
                          </a:stretch>
                        </pic:blipFill>
                        <pic:spPr>
                          <a:xfrm>
                            <a:off x="0" y="0"/>
                            <a:ext cx="1735" cy="195071"/>
                          </a:xfrm>
                          <a:prstGeom prst="rect">
                            <a:avLst/>
                          </a:prstGeom>
                        </pic:spPr>
                      </pic:pic>
                    </a:graphicData>
                  </a:graphic>
                </wp:inline>
              </w:drawing>
            </w:r>
            <w:r>
              <w:rPr>
                <w:spacing w:val="-3"/>
                <w:u w:val="single" w:color="auto"/>
                <w:shd w:val="clear" w:fill="D9D9D9"/>
              </w:rPr>
              <w:t>的法人</w:t>
            </w:r>
            <w:r>
              <w:rPr>
                <w:position w:val="-7"/>
              </w:rPr>
              <w:drawing>
                <wp:inline distT="0" distB="0" distL="0" distR="0">
                  <wp:extent cx="1270" cy="19494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84"/>
                          <a:stretch>
                            <a:fillRect/>
                          </a:stretch>
                        </pic:blipFill>
                        <pic:spPr>
                          <a:xfrm>
                            <a:off x="0" y="0"/>
                            <a:ext cx="1735" cy="195071"/>
                          </a:xfrm>
                          <a:prstGeom prst="rect">
                            <a:avLst/>
                          </a:prstGeom>
                        </pic:spPr>
                      </pic:pic>
                    </a:graphicData>
                  </a:graphic>
                </wp:inline>
              </w:drawing>
            </w:r>
            <w:r>
              <w:rPr>
                <w:spacing w:val="-3"/>
              </w:rPr>
              <w:t>。</w:t>
            </w:r>
          </w:p>
          <w:p>
            <w:pPr>
              <w:pStyle w:val="8"/>
              <w:spacing w:line="234" w:lineRule="auto"/>
              <w:ind w:left="520"/>
            </w:pPr>
            <w:r>
              <w:rPr>
                <w:spacing w:val="-5"/>
              </w:rPr>
              <w:t>证券交易所的设立和解散</w:t>
            </w:r>
            <w:r>
              <w:rPr>
                <w:position w:val="-6"/>
              </w:rPr>
              <w:drawing>
                <wp:inline distT="0" distB="0" distL="0" distR="0">
                  <wp:extent cx="1270" cy="193040"/>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76"/>
                          <a:stretch>
                            <a:fillRect/>
                          </a:stretch>
                        </pic:blipFill>
                        <pic:spPr>
                          <a:xfrm>
                            <a:off x="0" y="0"/>
                            <a:ext cx="1498" cy="193547"/>
                          </a:xfrm>
                          <a:prstGeom prst="rect">
                            <a:avLst/>
                          </a:prstGeom>
                        </pic:spPr>
                      </pic:pic>
                    </a:graphicData>
                  </a:graphic>
                </wp:inline>
              </w:drawing>
            </w:r>
            <w:r>
              <w:rPr>
                <w:spacing w:val="-85"/>
                <w:u w:val="single" w:color="auto"/>
                <w:shd w:val="clear" w:fill="D9D9D9"/>
              </w:rPr>
              <w:t xml:space="preserve"> </w:t>
            </w:r>
            <w:r>
              <w:rPr>
                <w:spacing w:val="-5"/>
                <w:u w:val="single" w:color="auto"/>
                <w:shd w:val="clear" w:fill="D9D9D9"/>
              </w:rPr>
              <w:t>，</w:t>
            </w:r>
            <w:r>
              <w:rPr>
                <w:position w:val="-7"/>
              </w:rPr>
              <w:drawing>
                <wp:inline distT="0" distB="0" distL="0" distR="0">
                  <wp:extent cx="1270" cy="19494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76"/>
                          <a:stretch>
                            <a:fillRect/>
                          </a:stretch>
                        </pic:blipFill>
                        <pic:spPr>
                          <a:xfrm>
                            <a:off x="0" y="0"/>
                            <a:ext cx="1498" cy="195071"/>
                          </a:xfrm>
                          <a:prstGeom prst="rect">
                            <a:avLst/>
                          </a:prstGeom>
                        </pic:spPr>
                      </pic:pic>
                    </a:graphicData>
                  </a:graphic>
                </wp:inline>
              </w:drawing>
            </w:r>
            <w:r>
              <w:rPr>
                <w:spacing w:val="-5"/>
              </w:rPr>
              <w:t>由国务院决定。</w:t>
            </w:r>
          </w:p>
        </w:tc>
        <w:tc>
          <w:tcPr>
            <w:tcW w:w="6807" w:type="dxa"/>
            <w:vAlign w:val="top"/>
          </w:tcPr>
          <w:p>
            <w:pPr>
              <w:pStyle w:val="8"/>
              <w:spacing w:before="34" w:line="230" w:lineRule="auto"/>
              <w:ind w:left="16" w:right="21" w:firstLine="494"/>
            </w:pPr>
            <w:r>
              <w:rPr>
                <w:rFonts w:ascii="黑体" w:hAnsi="黑体" w:eastAsia="黑体" w:cs="黑体"/>
              </w:rPr>
              <w:t xml:space="preserve">第九十六条  </w:t>
            </w:r>
            <w:r>
              <w:t>证券交易所</w:t>
            </w:r>
            <w:r>
              <w:rPr>
                <w:rFonts w:ascii="黑体" w:hAnsi="黑体" w:eastAsia="黑体" w:cs="黑体"/>
              </w:rPr>
              <w:t>、国务院批准的其他全国性证券交</w:t>
            </w:r>
            <w:r>
              <w:rPr>
                <w:rFonts w:ascii="黑体" w:hAnsi="黑体" w:eastAsia="黑体" w:cs="黑体"/>
                <w:spacing w:val="18"/>
              </w:rPr>
              <w:t xml:space="preserve"> </w:t>
            </w:r>
            <w:r>
              <w:rPr>
                <w:rFonts w:ascii="黑体" w:hAnsi="黑体" w:eastAsia="黑体" w:cs="黑体"/>
                <w:spacing w:val="1"/>
              </w:rPr>
              <w:t>易场所</w:t>
            </w:r>
            <w:r>
              <w:rPr>
                <w:spacing w:val="1"/>
              </w:rPr>
              <w:t>为证券集中交易提供场所和设施，组织和监督证券交易，</w:t>
            </w:r>
            <w:r>
              <w:rPr>
                <w:spacing w:val="4"/>
              </w:rPr>
              <w:t xml:space="preserve"> </w:t>
            </w:r>
            <w:r>
              <w:rPr>
                <w:spacing w:val="-2"/>
              </w:rPr>
              <w:t>实行自律管理</w:t>
            </w:r>
            <w:r>
              <w:rPr>
                <w:rFonts w:ascii="黑体" w:hAnsi="黑体" w:eastAsia="黑体" w:cs="黑体"/>
                <w:spacing w:val="-2"/>
              </w:rPr>
              <w:t>，依法登记，取得法人资格</w:t>
            </w:r>
            <w:r>
              <w:rPr>
                <w:spacing w:val="-2"/>
              </w:rPr>
              <w:t>。</w:t>
            </w:r>
          </w:p>
          <w:p>
            <w:pPr>
              <w:pStyle w:val="8"/>
              <w:spacing w:before="36" w:line="228" w:lineRule="auto"/>
              <w:ind w:left="22" w:right="6" w:firstLine="496"/>
            </w:pPr>
            <w:r>
              <w:rPr>
                <w:spacing w:val="10"/>
              </w:rPr>
              <w:t>证券交易所</w:t>
            </w:r>
            <w:r>
              <w:rPr>
                <w:rFonts w:ascii="黑体" w:hAnsi="黑体" w:eastAsia="黑体" w:cs="黑体"/>
                <w:spacing w:val="10"/>
              </w:rPr>
              <w:t>、国务院批准的其他全国性证券交易场所</w:t>
            </w:r>
            <w:r>
              <w:rPr>
                <w:spacing w:val="10"/>
              </w:rPr>
              <w:t>的设</w:t>
            </w:r>
            <w:r>
              <w:rPr>
                <w:spacing w:val="16"/>
              </w:rPr>
              <w:t xml:space="preserve"> </w:t>
            </w:r>
            <w:r>
              <w:rPr>
                <w:spacing w:val="-5"/>
              </w:rPr>
              <w:t>立、变更和解散由国务院决定。</w:t>
            </w:r>
          </w:p>
          <w:p>
            <w:pPr>
              <w:spacing w:before="28" w:line="225" w:lineRule="auto"/>
              <w:ind w:left="13" w:right="7" w:firstLine="511"/>
              <w:rPr>
                <w:rFonts w:ascii="黑体" w:hAnsi="黑体" w:eastAsia="黑体" w:cs="黑体"/>
                <w:sz w:val="24"/>
                <w:szCs w:val="24"/>
              </w:rPr>
            </w:pPr>
            <w:r>
              <w:rPr>
                <w:rFonts w:ascii="黑体" w:hAnsi="黑体" w:eastAsia="黑体" w:cs="黑体"/>
                <w:sz w:val="24"/>
                <w:szCs w:val="24"/>
              </w:rPr>
              <w:t>国务院批准的其他全国性证券交易场所的组织机构、管理办</w:t>
            </w:r>
            <w:r>
              <w:rPr>
                <w:rFonts w:ascii="黑体" w:hAnsi="黑体" w:eastAsia="黑体" w:cs="黑体"/>
                <w:spacing w:val="18"/>
                <w:sz w:val="24"/>
                <w:szCs w:val="24"/>
              </w:rPr>
              <w:t xml:space="preserve"> </w:t>
            </w:r>
            <w:r>
              <w:rPr>
                <w:rFonts w:ascii="黑体" w:hAnsi="黑体" w:eastAsia="黑体" w:cs="黑体"/>
                <w:spacing w:val="-5"/>
                <w:sz w:val="24"/>
                <w:szCs w:val="24"/>
              </w:rPr>
              <w:t>法，由国务院规定。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100" w:type="dxa"/>
            <w:vAlign w:val="top"/>
          </w:tcPr>
          <w:p>
            <w:pPr>
              <w:rPr>
                <w:rFonts w:ascii="Arial"/>
                <w:sz w:val="21"/>
              </w:rPr>
            </w:pPr>
          </w:p>
        </w:tc>
        <w:tc>
          <w:tcPr>
            <w:tcW w:w="6807" w:type="dxa"/>
            <w:vAlign w:val="top"/>
          </w:tcPr>
          <w:p>
            <w:pPr>
              <w:pStyle w:val="8"/>
              <w:spacing w:before="32" w:line="229" w:lineRule="auto"/>
              <w:ind w:left="25" w:right="6" w:firstLine="485"/>
              <w:jc w:val="both"/>
            </w:pPr>
            <w:r>
              <w:rPr>
                <w:rFonts w:ascii="黑体" w:hAnsi="黑体" w:eastAsia="黑体" w:cs="黑体"/>
                <w:spacing w:val="1"/>
              </w:rPr>
              <w:t xml:space="preserve">第九十七条  </w:t>
            </w:r>
            <w:r>
              <w:rPr>
                <w:spacing w:val="1"/>
              </w:rPr>
              <w:t>证券交易所、国务院批准的其他全国性证券交</w:t>
            </w:r>
            <w:r>
              <w:rPr>
                <w:spacing w:val="6"/>
              </w:rPr>
              <w:t xml:space="preserve"> </w:t>
            </w:r>
            <w:r>
              <w:rPr>
                <w:spacing w:val="1"/>
              </w:rPr>
              <w:t>易场所可以根据证券品种、行业特点、公司规模等因素设立不同</w:t>
            </w:r>
            <w:r>
              <w:rPr>
                <w:spacing w:val="9"/>
              </w:rPr>
              <w:t xml:space="preserve"> </w:t>
            </w:r>
            <w:r>
              <w:rPr>
                <w:spacing w:val="-11"/>
              </w:rPr>
              <w:t>的市场层次。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100" w:type="dxa"/>
            <w:vAlign w:val="top"/>
          </w:tcPr>
          <w:p>
            <w:pPr>
              <w:rPr>
                <w:rFonts w:ascii="Arial"/>
                <w:sz w:val="21"/>
              </w:rPr>
            </w:pPr>
          </w:p>
        </w:tc>
        <w:tc>
          <w:tcPr>
            <w:tcW w:w="6807" w:type="dxa"/>
            <w:vAlign w:val="top"/>
          </w:tcPr>
          <w:p>
            <w:pPr>
              <w:pStyle w:val="8"/>
              <w:spacing w:before="33" w:line="229" w:lineRule="auto"/>
              <w:ind w:left="19" w:right="5" w:firstLine="491"/>
              <w:jc w:val="both"/>
            </w:pPr>
            <w:r>
              <w:rPr>
                <w:rFonts w:ascii="黑体" w:hAnsi="黑体" w:eastAsia="黑体" w:cs="黑体"/>
                <w:spacing w:val="1"/>
              </w:rPr>
              <w:t xml:space="preserve">第九十八条  </w:t>
            </w:r>
            <w:r>
              <w:rPr>
                <w:spacing w:val="1"/>
              </w:rPr>
              <w:t>按照国务院规定设立的区域性股权市场为非公</w:t>
            </w:r>
            <w:r>
              <w:rPr>
                <w:spacing w:val="8"/>
              </w:rPr>
              <w:t xml:space="preserve"> </w:t>
            </w:r>
            <w:r>
              <w:rPr>
                <w:spacing w:val="1"/>
              </w:rPr>
              <w:t>开发行证券的发行、转让提供场所和设施，具体管理办法由国务</w:t>
            </w:r>
            <w:r>
              <w:rPr>
                <w:spacing w:val="16"/>
              </w:rPr>
              <w:t xml:space="preserve"> </w:t>
            </w:r>
            <w:r>
              <w:rPr>
                <w:spacing w:val="-13"/>
              </w:rPr>
              <w:t>院规定。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7100" w:type="dxa"/>
            <w:vAlign w:val="top"/>
          </w:tcPr>
          <w:p>
            <w:pPr>
              <w:pStyle w:val="8"/>
              <w:spacing w:before="39" w:line="220" w:lineRule="auto"/>
              <w:ind w:left="513"/>
            </w:pPr>
            <w:r>
              <w:rPr>
                <w:rFonts w:ascii="黑体" w:hAnsi="黑体" w:eastAsia="黑体" w:cs="黑体"/>
                <w:spacing w:val="-3"/>
              </w:rPr>
              <w:t xml:space="preserve">第一百零三条  </w:t>
            </w:r>
            <w:r>
              <w:rPr>
                <w:spacing w:val="-3"/>
              </w:rPr>
              <w:t>设立证券交易所必须制定章程。</w:t>
            </w:r>
          </w:p>
          <w:p>
            <w:pPr>
              <w:pStyle w:val="8"/>
              <w:spacing w:before="23" w:line="229" w:lineRule="auto"/>
              <w:ind w:left="13" w:firstLine="507"/>
            </w:pPr>
            <w:r>
              <w:rPr>
                <w:spacing w:val="-2"/>
              </w:rPr>
              <w:t>证券交易所章程的制定和修改， 必须经国务院证券监督管理机</w:t>
            </w:r>
            <w:r>
              <w:rPr>
                <w:spacing w:val="18"/>
              </w:rPr>
              <w:t xml:space="preserve"> </w:t>
            </w:r>
            <w:r>
              <w:rPr>
                <w:spacing w:val="-11"/>
              </w:rPr>
              <w:t>构批准。</w:t>
            </w:r>
          </w:p>
        </w:tc>
        <w:tc>
          <w:tcPr>
            <w:tcW w:w="6807" w:type="dxa"/>
            <w:vAlign w:val="top"/>
          </w:tcPr>
          <w:p>
            <w:pPr>
              <w:spacing w:before="37" w:line="226" w:lineRule="auto"/>
              <w:ind w:left="13" w:right="5" w:firstLine="497"/>
              <w:rPr>
                <w:rFonts w:ascii="黑体" w:hAnsi="黑体" w:eastAsia="黑体" w:cs="黑体"/>
                <w:sz w:val="24"/>
                <w:szCs w:val="24"/>
              </w:rPr>
            </w:pPr>
            <w:r>
              <w:rPr>
                <w:rFonts w:ascii="黑体" w:hAnsi="黑体" w:eastAsia="黑体" w:cs="黑体"/>
                <w:spacing w:val="1"/>
                <w:sz w:val="24"/>
                <w:szCs w:val="24"/>
              </w:rPr>
              <w:t>第九十九条  证券交易所履行自律管理职能，应当遵守社会</w:t>
            </w:r>
            <w:r>
              <w:rPr>
                <w:rFonts w:ascii="黑体" w:hAnsi="黑体" w:eastAsia="黑体" w:cs="黑体"/>
                <w:spacing w:val="8"/>
                <w:sz w:val="24"/>
                <w:szCs w:val="24"/>
              </w:rPr>
              <w:t xml:space="preserve"> </w:t>
            </w:r>
            <w:r>
              <w:rPr>
                <w:rFonts w:ascii="黑体" w:hAnsi="黑体" w:eastAsia="黑体" w:cs="黑体"/>
                <w:spacing w:val="-2"/>
                <w:sz w:val="24"/>
                <w:szCs w:val="24"/>
              </w:rPr>
              <w:t>公共利益优先原则，维护市场的公平、有序、透明。</w:t>
            </w:r>
          </w:p>
          <w:p>
            <w:pPr>
              <w:pStyle w:val="8"/>
              <w:spacing w:before="35" w:line="222" w:lineRule="auto"/>
              <w:ind w:left="37" w:right="7" w:firstLine="473"/>
            </w:pPr>
            <w:r>
              <w:rPr>
                <w:spacing w:val="1"/>
              </w:rPr>
              <w:t>设立证券交易所必须制定章程。证券交易所章程的制定和修</w:t>
            </w:r>
            <w:r>
              <w:rPr>
                <w:spacing w:val="6"/>
              </w:rPr>
              <w:t xml:space="preserve"> </w:t>
            </w:r>
            <w:r>
              <w:rPr>
                <w:spacing w:val="-5"/>
              </w:rPr>
              <w:t>改，必须经国务院证券监督管理机构批准。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100" w:type="dxa"/>
            <w:vAlign w:val="top"/>
          </w:tcPr>
          <w:p>
            <w:pPr>
              <w:pStyle w:val="8"/>
              <w:spacing w:before="39" w:line="227" w:lineRule="auto"/>
              <w:ind w:left="16" w:firstLine="496"/>
            </w:pPr>
            <w:r>
              <w:rPr>
                <w:rFonts w:ascii="黑体" w:hAnsi="黑体" w:eastAsia="黑体" w:cs="黑体"/>
                <w:spacing w:val="3"/>
              </w:rPr>
              <w:t xml:space="preserve">第一百零四条  </w:t>
            </w:r>
            <w:r>
              <w:rPr>
                <w:spacing w:val="3"/>
              </w:rPr>
              <w:t>证券交易所必须在其名称中标明证券交易所字</w:t>
            </w:r>
            <w:r>
              <w:rPr>
                <w:spacing w:val="6"/>
              </w:rPr>
              <w:t xml:space="preserve"> </w:t>
            </w:r>
            <w:r>
              <w:rPr>
                <w:spacing w:val="-2"/>
              </w:rPr>
              <w:t>样。其他任何单位或者个人不得使用证券交易所或者近似的名</w:t>
            </w:r>
            <w:r>
              <w:rPr>
                <w:spacing w:val="-3"/>
              </w:rPr>
              <w:t>称。</w:t>
            </w:r>
          </w:p>
        </w:tc>
        <w:tc>
          <w:tcPr>
            <w:tcW w:w="6807" w:type="dxa"/>
            <w:vAlign w:val="top"/>
          </w:tcPr>
          <w:p>
            <w:pPr>
              <w:pStyle w:val="8"/>
              <w:spacing w:before="39" w:line="228" w:lineRule="auto"/>
              <w:ind w:left="14" w:right="2" w:firstLine="496"/>
              <w:jc w:val="both"/>
            </w:pPr>
            <w:r>
              <w:rPr>
                <w:rFonts w:ascii="黑体" w:hAnsi="黑体" w:eastAsia="黑体" w:cs="黑体"/>
                <w:spacing w:val="10"/>
              </w:rPr>
              <w:t xml:space="preserve">第一百条  </w:t>
            </w:r>
            <w:r>
              <w:rPr>
                <w:spacing w:val="10"/>
              </w:rPr>
              <w:t>证券交易所必须在其名称中标明证券交易所字</w:t>
            </w:r>
            <w:r>
              <w:rPr>
                <w:spacing w:val="12"/>
              </w:rPr>
              <w:t xml:space="preserve"> </w:t>
            </w:r>
            <w:r>
              <w:rPr>
                <w:spacing w:val="11"/>
              </w:rPr>
              <w:t>样。其他任何单位或者个人不得使用证券交易所或者</w:t>
            </w:r>
            <w:r>
              <w:rPr>
                <w:spacing w:val="10"/>
              </w:rPr>
              <w:t>近似的名</w:t>
            </w:r>
            <w:r>
              <w:t xml:space="preserve"> </w:t>
            </w:r>
            <w:r>
              <w:rPr>
                <w:spacing w:val="-16"/>
              </w:rPr>
              <w:t>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7100" w:type="dxa"/>
            <w:vAlign w:val="top"/>
          </w:tcPr>
          <w:p>
            <w:pPr>
              <w:pStyle w:val="8"/>
              <w:spacing w:before="37" w:line="229" w:lineRule="auto"/>
              <w:ind w:left="43" w:firstLine="469"/>
            </w:pPr>
            <w:r>
              <w:rPr>
                <w:rFonts w:ascii="黑体" w:hAnsi="黑体" w:eastAsia="黑体" w:cs="黑体"/>
                <w:spacing w:val="-1"/>
              </w:rPr>
              <w:t xml:space="preserve">第一百零五条  </w:t>
            </w:r>
            <w:r>
              <w:rPr>
                <w:spacing w:val="-1"/>
              </w:rPr>
              <w:t>证券交易所可以自行支配的各项费用收入， 应</w:t>
            </w:r>
            <w:r>
              <w:t xml:space="preserve"> </w:t>
            </w:r>
            <w:r>
              <w:rPr>
                <w:spacing w:val="-3"/>
              </w:rPr>
              <w:t>当首先用于保证其证券交易场所和设施的正常运行并逐步改</w:t>
            </w:r>
            <w:r>
              <w:rPr>
                <w:spacing w:val="-4"/>
              </w:rPr>
              <w:t>善。</w:t>
            </w:r>
          </w:p>
          <w:p>
            <w:pPr>
              <w:pStyle w:val="8"/>
              <w:spacing w:before="33" w:line="226" w:lineRule="auto"/>
              <w:ind w:left="31" w:firstLine="494"/>
            </w:pPr>
            <w:r>
              <w:rPr>
                <w:spacing w:val="3"/>
              </w:rPr>
              <w:t>实行会员制的证券交易所的财产积累归会员所有，其权</w:t>
            </w:r>
            <w:r>
              <w:rPr>
                <w:spacing w:val="2"/>
              </w:rPr>
              <w:t>益由会</w:t>
            </w:r>
            <w:r>
              <w:t xml:space="preserve"> </w:t>
            </w:r>
            <w:r>
              <w:rPr>
                <w:spacing w:val="-3"/>
              </w:rPr>
              <w:t>员共同享有，在其存续期间，不得将其财产积累分配给会员。</w:t>
            </w:r>
          </w:p>
        </w:tc>
        <w:tc>
          <w:tcPr>
            <w:tcW w:w="6807" w:type="dxa"/>
            <w:vAlign w:val="top"/>
          </w:tcPr>
          <w:p>
            <w:pPr>
              <w:pStyle w:val="8"/>
              <w:spacing w:before="37" w:line="234" w:lineRule="auto"/>
              <w:ind w:left="17" w:right="2" w:firstLine="493"/>
            </w:pPr>
            <w:r>
              <w:rPr>
                <w:rFonts w:ascii="黑体" w:hAnsi="黑体" w:eastAsia="黑体" w:cs="黑体"/>
                <w:spacing w:val="-1"/>
              </w:rPr>
              <w:t xml:space="preserve">第一百零一条  </w:t>
            </w:r>
            <w:r>
              <w:rPr>
                <w:spacing w:val="-1"/>
              </w:rPr>
              <w:t>证券交易所可以自行支配的各项费用收入，</w:t>
            </w:r>
            <w:r>
              <w:rPr>
                <w:spacing w:val="5"/>
              </w:rPr>
              <w:t xml:space="preserve"> </w:t>
            </w:r>
            <w:r>
              <w:rPr>
                <w:spacing w:val="11"/>
              </w:rPr>
              <w:t>应当首先用于保证其证券交易场所和设施的正</w:t>
            </w:r>
            <w:r>
              <w:rPr>
                <w:spacing w:val="10"/>
              </w:rPr>
              <w:t>常运行并逐步改</w:t>
            </w:r>
            <w:r>
              <w:t xml:space="preserve"> </w:t>
            </w:r>
            <w:r>
              <w:rPr>
                <w:spacing w:val="-16"/>
              </w:rPr>
              <w:t>善。</w:t>
            </w:r>
          </w:p>
          <w:p>
            <w:pPr>
              <w:pStyle w:val="8"/>
              <w:spacing w:before="23" w:line="221" w:lineRule="auto"/>
              <w:ind w:left="15" w:right="7" w:firstLine="507"/>
            </w:pPr>
            <w:r>
              <w:rPr>
                <w:spacing w:val="-4"/>
              </w:rPr>
              <w:t>实行会员制的证券交易所的财产积累归会员所有， 其权益由</w:t>
            </w:r>
            <w:r>
              <w:rPr>
                <w:spacing w:val="8"/>
              </w:rPr>
              <w:t xml:space="preserve"> </w:t>
            </w:r>
            <w:r>
              <w:rPr>
                <w:spacing w:val="-2"/>
              </w:rPr>
              <w:t>会员共同享有，在其存续期间，不得将其财产积累分</w:t>
            </w:r>
            <w:r>
              <w:rPr>
                <w:spacing w:val="-3"/>
              </w:rPr>
              <w:t>配给会员。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7100" w:type="dxa"/>
            <w:vAlign w:val="top"/>
          </w:tcPr>
          <w:p>
            <w:pPr>
              <w:pStyle w:val="8"/>
              <w:spacing w:before="43" w:line="209" w:lineRule="auto"/>
              <w:ind w:left="513"/>
            </w:pPr>
            <w:r>
              <w:rPr>
                <w:rFonts w:ascii="黑体" w:hAnsi="黑体" w:eastAsia="黑体" w:cs="黑体"/>
                <w:spacing w:val="-3"/>
              </w:rPr>
              <w:t xml:space="preserve">第一百零六条  </w:t>
            </w:r>
            <w:r>
              <w:rPr>
                <w:spacing w:val="-3"/>
              </w:rPr>
              <w:t>证券交易所设理事会。</w:t>
            </w:r>
          </w:p>
        </w:tc>
        <w:tc>
          <w:tcPr>
            <w:tcW w:w="6807" w:type="dxa"/>
            <w:vAlign w:val="top"/>
          </w:tcPr>
          <w:p>
            <w:pPr>
              <w:pStyle w:val="8"/>
              <w:spacing w:before="43" w:line="209" w:lineRule="auto"/>
              <w:ind w:right="18"/>
              <w:jc w:val="right"/>
              <w:rPr>
                <w:rFonts w:ascii="黑体" w:hAnsi="黑体" w:eastAsia="黑体" w:cs="黑体"/>
              </w:rPr>
            </w:pPr>
            <w:r>
              <w:rPr>
                <w:rFonts w:ascii="黑体" w:hAnsi="黑体" w:eastAsia="黑体" w:cs="黑体"/>
                <w:spacing w:val="10"/>
              </w:rPr>
              <w:t>第一百零二条  实行会员制的</w:t>
            </w:r>
            <w:r>
              <w:rPr>
                <w:spacing w:val="10"/>
              </w:rPr>
              <w:t>证券交易所设理事会</w:t>
            </w:r>
            <w:r>
              <w:rPr>
                <w:rFonts w:ascii="黑体" w:hAnsi="黑体" w:eastAsia="黑体" w:cs="黑体"/>
                <w:spacing w:val="10"/>
              </w:rPr>
              <w:t>、监事</w:t>
            </w:r>
          </w:p>
        </w:tc>
      </w:tr>
    </w:tbl>
    <w:p>
      <w:pPr>
        <w:spacing w:line="149" w:lineRule="exact"/>
        <w:rPr>
          <w:rFonts w:ascii="Arial"/>
          <w:sz w:val="13"/>
        </w:rPr>
      </w:pPr>
    </w:p>
    <w:p>
      <w:pPr>
        <w:spacing w:line="149" w:lineRule="exact"/>
        <w:rPr>
          <w:rFonts w:ascii="Arial" w:hAnsi="Arial" w:eastAsia="Arial" w:cs="Arial"/>
          <w:sz w:val="13"/>
          <w:szCs w:val="13"/>
        </w:rPr>
        <w:sectPr>
          <w:footerReference r:id="rId3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
        <w:gridCol w:w="707"/>
        <w:gridCol w:w="1921"/>
        <w:gridCol w:w="483"/>
        <w:gridCol w:w="3232"/>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7098" w:type="dxa"/>
            <w:gridSpan w:val="5"/>
            <w:vAlign w:val="top"/>
          </w:tcPr>
          <w:p>
            <w:pPr>
              <w:pStyle w:val="8"/>
              <w:spacing w:before="40" w:line="221" w:lineRule="auto"/>
              <w:jc w:val="right"/>
            </w:pPr>
            <w:r>
              <w:rPr>
                <w:rFonts w:ascii="黑体" w:hAnsi="黑体" w:eastAsia="黑体" w:cs="黑体"/>
                <w:spacing w:val="-1"/>
              </w:rPr>
              <w:t xml:space="preserve">第一百零七条  </w:t>
            </w:r>
            <w:r>
              <w:rPr>
                <w:spacing w:val="-1"/>
              </w:rPr>
              <w:t>证券交易所设总经理一人， 由国务院证</w:t>
            </w:r>
            <w:r>
              <w:rPr>
                <w:spacing w:val="-2"/>
              </w:rPr>
              <w:t>券监督</w:t>
            </w:r>
          </w:p>
          <w:p>
            <w:pPr>
              <w:pStyle w:val="8"/>
              <w:spacing w:before="26" w:line="217" w:lineRule="auto"/>
              <w:ind w:left="14"/>
            </w:pPr>
            <w:r>
              <w:rPr>
                <w:spacing w:val="-8"/>
              </w:rPr>
              <w:t>管理机构任免。</w:t>
            </w:r>
          </w:p>
        </w:tc>
        <w:tc>
          <w:tcPr>
            <w:tcW w:w="6809" w:type="dxa"/>
            <w:vAlign w:val="top"/>
          </w:tcPr>
          <w:p>
            <w:pPr>
              <w:pStyle w:val="8"/>
              <w:spacing w:before="41" w:line="222" w:lineRule="auto"/>
              <w:ind w:left="11"/>
            </w:pPr>
            <w:r>
              <w:rPr>
                <w:rFonts w:ascii="黑体" w:hAnsi="黑体" w:eastAsia="黑体" w:cs="黑体"/>
                <w:spacing w:val="-4"/>
              </w:rPr>
              <w:t>会</w:t>
            </w:r>
            <w:r>
              <w:rPr>
                <w:spacing w:val="-4"/>
              </w:rPr>
              <w:t>。</w:t>
            </w:r>
          </w:p>
          <w:p>
            <w:pPr>
              <w:pStyle w:val="8"/>
              <w:spacing w:before="24" w:line="225" w:lineRule="auto"/>
              <w:ind w:left="25" w:right="7" w:firstLine="494"/>
            </w:pPr>
            <w:r>
              <w:rPr>
                <w:spacing w:val="8"/>
              </w:rPr>
              <w:t>证券交易所设总经理一人，</w:t>
            </w:r>
            <w:r>
              <w:rPr>
                <w:spacing w:val="-53"/>
              </w:rPr>
              <w:t xml:space="preserve"> </w:t>
            </w:r>
            <w:r>
              <w:rPr>
                <w:spacing w:val="8"/>
              </w:rPr>
              <w:t>由国务院证券监督管理机</w:t>
            </w:r>
            <w:r>
              <w:rPr>
                <w:spacing w:val="7"/>
              </w:rPr>
              <w:t>构任</w:t>
            </w:r>
            <w:r>
              <w:t xml:space="preserve"> </w:t>
            </w:r>
            <w:r>
              <w:rPr>
                <w:spacing w:val="-18"/>
              </w:rPr>
              <w:t>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098" w:type="dxa"/>
            <w:gridSpan w:val="5"/>
            <w:tcBorders>
              <w:bottom w:val="single" w:color="000000" w:sz="2" w:space="0"/>
            </w:tcBorders>
            <w:vAlign w:val="top"/>
          </w:tcPr>
          <w:p>
            <w:pPr>
              <w:pStyle w:val="8"/>
              <w:spacing w:before="29" w:line="229" w:lineRule="auto"/>
              <w:ind w:left="20" w:firstLine="492"/>
            </w:pPr>
            <w:r>
              <w:rPr>
                <w:rFonts w:ascii="黑体" w:hAnsi="黑体" w:eastAsia="黑体" w:cs="黑体"/>
                <w:spacing w:val="3"/>
              </w:rPr>
              <w:t xml:space="preserve">第一百零八条  </w:t>
            </w:r>
            <w:r>
              <w:rPr>
                <w:spacing w:val="3"/>
              </w:rPr>
              <w:t>有《中华人民共和国公司法》第一百四十六条</w:t>
            </w:r>
            <w:r>
              <w:rPr>
                <w:spacing w:val="4"/>
              </w:rPr>
              <w:t xml:space="preserve"> </w:t>
            </w:r>
            <w:r>
              <w:rPr>
                <w:spacing w:val="-3"/>
              </w:rPr>
              <w:t>规定的情形或者下列情形之一的，不得担任证券交易所的负责人：</w:t>
            </w:r>
          </w:p>
          <w:p>
            <w:pPr>
              <w:pStyle w:val="8"/>
              <w:spacing w:before="30" w:line="231" w:lineRule="auto"/>
              <w:ind w:left="16" w:firstLine="487"/>
            </w:pPr>
            <w:r>
              <w:rPr>
                <w:spacing w:val="3"/>
              </w:rPr>
              <w:t>（一）因违法行为或者违纪行为被解除职务的证券交易所、证</w:t>
            </w:r>
            <w:r>
              <w:rPr>
                <w:spacing w:val="15"/>
              </w:rPr>
              <w:t xml:space="preserve"> </w:t>
            </w:r>
            <w:r>
              <w:rPr>
                <w:spacing w:val="3"/>
              </w:rPr>
              <w:t>券登记结算机构的负责人或者证券公司的董事、监事、高级管理人</w:t>
            </w:r>
            <w:r>
              <w:rPr>
                <w:spacing w:val="18"/>
              </w:rPr>
              <w:t xml:space="preserve"> </w:t>
            </w:r>
            <w:r>
              <w:rPr>
                <w:spacing w:val="-13"/>
              </w:rPr>
              <w:t>员，自被解除职务之日起未逾五年；</w:t>
            </w:r>
            <w:r>
              <w:rPr>
                <w:spacing w:val="7"/>
              </w:rPr>
              <w:t xml:space="preserve">    </w:t>
            </w:r>
            <w:r>
              <w:rPr>
                <w:position w:val="-7"/>
              </w:rPr>
              <w:drawing>
                <wp:inline distT="0" distB="0" distL="0" distR="0">
                  <wp:extent cx="1270" cy="1270"/>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74"/>
                          <a:stretch>
                            <a:fillRect/>
                          </a:stretch>
                        </pic:blipFill>
                        <pic:spPr>
                          <a:xfrm>
                            <a:off x="0" y="0"/>
                            <a:ext cx="1523" cy="1523"/>
                          </a:xfrm>
                          <a:prstGeom prst="rect">
                            <a:avLst/>
                          </a:prstGeom>
                        </pic:spPr>
                      </pic:pic>
                    </a:graphicData>
                  </a:graphic>
                </wp:inline>
              </w:drawing>
            </w:r>
            <w:r>
              <w:rPr>
                <w:spacing w:val="2"/>
                <w:u w:val="single" w:color="auto"/>
              </w:rPr>
              <w:t xml:space="preserve">    </w:t>
            </w:r>
            <w:r>
              <w:rPr>
                <w:position w:val="-7"/>
              </w:rPr>
              <w:drawing>
                <wp:inline distT="0" distB="0" distL="0" distR="0">
                  <wp:extent cx="1270" cy="1270"/>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74"/>
                          <a:stretch>
                            <a:fillRect/>
                          </a:stretch>
                        </pic:blipFill>
                        <pic:spPr>
                          <a:xfrm>
                            <a:off x="0" y="0"/>
                            <a:ext cx="1523" cy="1523"/>
                          </a:xfrm>
                          <a:prstGeom prst="rect">
                            <a:avLst/>
                          </a:prstGeom>
                        </pic:spPr>
                      </pic:pic>
                    </a:graphicData>
                  </a:graphic>
                </wp:inline>
              </w:drawing>
            </w:r>
          </w:p>
          <w:p>
            <w:pPr>
              <w:pStyle w:val="8"/>
              <w:spacing w:line="226" w:lineRule="auto"/>
              <w:jc w:val="right"/>
            </w:pPr>
            <w:r>
              <w:rPr>
                <w:spacing w:val="3"/>
              </w:rPr>
              <w:t>（二）因违法行为或者违纪行为被</w:t>
            </w:r>
            <w:r>
              <w:rPr>
                <w:spacing w:val="-113"/>
              </w:rPr>
              <w:t xml:space="preserve"> </w:t>
            </w:r>
            <w:r>
              <w:rPr>
                <w:position w:val="-6"/>
              </w:rPr>
              <w:drawing>
                <wp:inline distT="0" distB="0" distL="0" distR="0">
                  <wp:extent cx="2540" cy="186690"/>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84"/>
                          <a:stretch>
                            <a:fillRect/>
                          </a:stretch>
                        </pic:blipFill>
                        <pic:spPr>
                          <a:xfrm>
                            <a:off x="0" y="0"/>
                            <a:ext cx="3121" cy="187071"/>
                          </a:xfrm>
                          <a:prstGeom prst="rect">
                            <a:avLst/>
                          </a:prstGeom>
                        </pic:spPr>
                      </pic:pic>
                    </a:graphicData>
                  </a:graphic>
                </wp:inline>
              </w:drawing>
            </w:r>
            <w:r>
              <w:rPr>
                <w:spacing w:val="3"/>
                <w:shd w:val="clear" w:fill="D9D9D9"/>
              </w:rPr>
              <w:t>撤销</w:t>
            </w:r>
            <w:r>
              <w:rPr>
                <w:position w:val="-6"/>
              </w:rPr>
              <w:drawing>
                <wp:inline distT="0" distB="0" distL="0" distR="0">
                  <wp:extent cx="2540" cy="186690"/>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84"/>
                          <a:stretch>
                            <a:fillRect/>
                          </a:stretch>
                        </pic:blipFill>
                        <pic:spPr>
                          <a:xfrm>
                            <a:off x="0" y="0"/>
                            <a:ext cx="3121" cy="187071"/>
                          </a:xfrm>
                          <a:prstGeom prst="rect">
                            <a:avLst/>
                          </a:prstGeom>
                        </pic:spPr>
                      </pic:pic>
                    </a:graphicData>
                  </a:graphic>
                </wp:inline>
              </w:drawing>
            </w:r>
            <w:r>
              <w:rPr>
                <w:spacing w:val="3"/>
              </w:rPr>
              <w:t>资格的律师、注册会计</w:t>
            </w:r>
          </w:p>
        </w:tc>
        <w:tc>
          <w:tcPr>
            <w:tcW w:w="6809" w:type="dxa"/>
            <w:vMerge w:val="restart"/>
            <w:tcBorders>
              <w:bottom w:val="nil"/>
            </w:tcBorders>
            <w:vAlign w:val="top"/>
          </w:tcPr>
          <w:p>
            <w:pPr>
              <w:pStyle w:val="8"/>
              <w:spacing w:before="30" w:line="234" w:lineRule="auto"/>
              <w:ind w:left="15" w:right="7" w:firstLine="497"/>
              <w:jc w:val="both"/>
            </w:pPr>
            <w:r>
              <w:rPr>
                <w:rFonts w:ascii="黑体" w:hAnsi="黑体" w:eastAsia="黑体" w:cs="黑体"/>
                <w:spacing w:val="1"/>
              </w:rPr>
              <w:t xml:space="preserve">第一百零三条  </w:t>
            </w:r>
            <w:r>
              <w:rPr>
                <w:spacing w:val="1"/>
              </w:rPr>
              <w:t>有《中华人民共和国公司法》第一百四十六</w:t>
            </w:r>
            <w:r>
              <w:rPr>
                <w:spacing w:val="5"/>
              </w:rPr>
              <w:t xml:space="preserve"> </w:t>
            </w:r>
            <w:r>
              <w:rPr>
                <w:spacing w:val="-3"/>
              </w:rPr>
              <w:t>条规定的情形或者下列情形之一的， 不得担任证券交易所的负责</w:t>
            </w:r>
            <w:r>
              <w:rPr>
                <w:spacing w:val="16"/>
              </w:rPr>
              <w:t xml:space="preserve"> </w:t>
            </w:r>
            <w:r>
              <w:rPr>
                <w:spacing w:val="-19"/>
              </w:rPr>
              <w:t>人：</w:t>
            </w:r>
          </w:p>
          <w:p>
            <w:pPr>
              <w:pStyle w:val="8"/>
              <w:spacing w:before="21" w:line="232" w:lineRule="auto"/>
              <w:ind w:left="14" w:right="4" w:firstLine="488"/>
              <w:jc w:val="both"/>
            </w:pPr>
            <w:r>
              <w:rPr>
                <w:spacing w:val="9"/>
              </w:rPr>
              <w:t>（一）</w:t>
            </w:r>
            <w:r>
              <w:rPr>
                <w:spacing w:val="-58"/>
              </w:rPr>
              <w:t xml:space="preserve"> </w:t>
            </w:r>
            <w:r>
              <w:rPr>
                <w:spacing w:val="9"/>
              </w:rPr>
              <w:t>因违法行为或者违纪行为被解除职务的</w:t>
            </w:r>
            <w:r>
              <w:rPr>
                <w:spacing w:val="8"/>
              </w:rPr>
              <w:t>证券交易场</w:t>
            </w:r>
            <w:r>
              <w:t xml:space="preserve"> </w:t>
            </w:r>
            <w:r>
              <w:rPr>
                <w:spacing w:val="2"/>
              </w:rPr>
              <w:t>所、证券登记结算机构的负责人或者证券公司的董事、监</w:t>
            </w:r>
            <w:r>
              <w:rPr>
                <w:spacing w:val="1"/>
              </w:rPr>
              <w:t>事、高</w:t>
            </w:r>
            <w:r>
              <w:t xml:space="preserve"> </w:t>
            </w:r>
            <w:r>
              <w:rPr>
                <w:spacing w:val="-4"/>
              </w:rPr>
              <w:t>级管理人员，自被解除职务之日起未逾五年；</w:t>
            </w:r>
          </w:p>
          <w:p>
            <w:pPr>
              <w:pStyle w:val="8"/>
              <w:spacing w:before="30" w:line="228" w:lineRule="auto"/>
              <w:ind w:left="9" w:right="45" w:firstLine="494"/>
              <w:jc w:val="both"/>
            </w:pPr>
            <w:r>
              <w:t>（二）因违法行为或者违纪行为被吊销执业证书或者被取消</w:t>
            </w:r>
            <w:r>
              <w:rPr>
                <w:spacing w:val="3"/>
              </w:rPr>
              <w:t xml:space="preserve"> </w:t>
            </w:r>
            <w:r>
              <w:t>资格的律师、注册会计师或者其他证券服务机</w:t>
            </w:r>
            <w:r>
              <w:rPr>
                <w:spacing w:val="-1"/>
              </w:rPr>
              <w:t>构的专业人员，自</w:t>
            </w:r>
            <w:r>
              <w:t xml:space="preserve"> </w:t>
            </w:r>
            <w:r>
              <w:rPr>
                <w:spacing w:val="-3"/>
              </w:rPr>
              <w:t>被吊销执业证书或者被取消资格之日起未逾五年。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55" w:type="dxa"/>
            <w:tcBorders>
              <w:top w:val="nil"/>
              <w:bottom w:val="single" w:color="000000" w:sz="2" w:space="0"/>
              <w:right w:val="single" w:color="000000" w:sz="2" w:space="0"/>
            </w:tcBorders>
            <w:vAlign w:val="top"/>
          </w:tcPr>
          <w:p>
            <w:pPr>
              <w:pStyle w:val="8"/>
              <w:spacing w:before="29" w:line="202" w:lineRule="auto"/>
              <w:ind w:left="33"/>
            </w:pPr>
            <w:r>
              <w:rPr>
                <w:spacing w:val="-7"/>
              </w:rPr>
              <w:t>师或者</w:t>
            </w:r>
          </w:p>
        </w:tc>
        <w:tc>
          <w:tcPr>
            <w:tcW w:w="6343" w:type="dxa"/>
            <w:gridSpan w:val="4"/>
            <w:tcBorders>
              <w:top w:val="single" w:color="000000" w:sz="2" w:space="0"/>
              <w:left w:val="single" w:color="000000" w:sz="2" w:space="0"/>
              <w:bottom w:val="single" w:color="000000" w:sz="2" w:space="0"/>
            </w:tcBorders>
            <w:shd w:val="clear" w:color="auto" w:fill="D9D9D9"/>
            <w:vAlign w:val="top"/>
          </w:tcPr>
          <w:p>
            <w:pPr>
              <w:pStyle w:val="8"/>
              <w:spacing w:before="29" w:line="202" w:lineRule="auto"/>
              <w:ind w:left="3"/>
            </w:pPr>
            <w:r>
              <w:rPr>
                <w:spacing w:val="3"/>
              </w:rPr>
              <w:t>投资咨询机构、财务顾问机构、资信评级机构、资产评估机</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462" w:type="dxa"/>
            <w:gridSpan w:val="2"/>
            <w:tcBorders>
              <w:top w:val="single" w:color="000000" w:sz="2" w:space="0"/>
              <w:bottom w:val="single" w:color="000000" w:sz="2" w:space="0"/>
              <w:right w:val="single" w:color="000000" w:sz="2" w:space="0"/>
            </w:tcBorders>
            <w:shd w:val="clear" w:color="auto" w:fill="D9D9D9"/>
            <w:vAlign w:val="top"/>
          </w:tcPr>
          <w:p>
            <w:pPr>
              <w:pStyle w:val="8"/>
              <w:spacing w:before="34" w:line="198" w:lineRule="auto"/>
              <w:ind w:left="15"/>
            </w:pPr>
            <w:r>
              <w:rPr>
                <w:spacing w:val="-2"/>
              </w:rPr>
              <w:t>构、验证机构</w:t>
            </w:r>
          </w:p>
        </w:tc>
        <w:tc>
          <w:tcPr>
            <w:tcW w:w="1921" w:type="dxa"/>
            <w:vMerge w:val="restart"/>
            <w:tcBorders>
              <w:top w:val="single" w:color="000000" w:sz="2" w:space="0"/>
              <w:left w:val="nil"/>
              <w:bottom w:val="nil"/>
              <w:right w:val="nil"/>
            </w:tcBorders>
            <w:vAlign w:val="top"/>
          </w:tcPr>
          <w:p>
            <w:pPr>
              <w:pStyle w:val="8"/>
              <w:spacing w:before="35" w:line="218" w:lineRule="auto"/>
              <w:jc w:val="right"/>
            </w:pPr>
            <w:r>
              <w:rPr>
                <w:spacing w:val="-4"/>
              </w:rPr>
              <w:t>的专业人员，自被</w:t>
            </w:r>
          </w:p>
        </w:tc>
        <w:tc>
          <w:tcPr>
            <w:tcW w:w="483"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34" w:line="198" w:lineRule="auto"/>
              <w:jc w:val="right"/>
            </w:pPr>
            <w:r>
              <w:rPr>
                <w:spacing w:val="-7"/>
              </w:rPr>
              <w:t>撤销</w:t>
            </w:r>
          </w:p>
        </w:tc>
        <w:tc>
          <w:tcPr>
            <w:tcW w:w="3232" w:type="dxa"/>
            <w:vMerge w:val="restart"/>
            <w:tcBorders>
              <w:top w:val="single" w:color="000000" w:sz="2" w:space="0"/>
              <w:left w:val="nil"/>
              <w:bottom w:val="nil"/>
            </w:tcBorders>
            <w:vAlign w:val="top"/>
          </w:tcPr>
          <w:p>
            <w:pPr>
              <w:pStyle w:val="8"/>
              <w:spacing w:before="31" w:line="218" w:lineRule="auto"/>
              <w:ind w:left="13"/>
            </w:pPr>
            <w:r>
              <w:rPr>
                <w:spacing w:val="-7"/>
              </w:rPr>
              <w:t>资格之日起未逾五年。</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62" w:type="dxa"/>
            <w:gridSpan w:val="2"/>
            <w:tcBorders>
              <w:top w:val="single" w:color="000000" w:sz="2" w:space="0"/>
              <w:right w:val="nil"/>
            </w:tcBorders>
            <w:vAlign w:val="top"/>
          </w:tcPr>
          <w:p>
            <w:pPr>
              <w:rPr>
                <w:rFonts w:ascii="Arial"/>
                <w:sz w:val="21"/>
              </w:rPr>
            </w:pPr>
          </w:p>
        </w:tc>
        <w:tc>
          <w:tcPr>
            <w:tcW w:w="1921" w:type="dxa"/>
            <w:vMerge w:val="continue"/>
            <w:tcBorders>
              <w:top w:val="nil"/>
              <w:left w:val="nil"/>
              <w:right w:val="nil"/>
            </w:tcBorders>
            <w:vAlign w:val="top"/>
          </w:tcPr>
          <w:p>
            <w:pPr>
              <w:rPr>
                <w:rFonts w:ascii="Arial"/>
                <w:sz w:val="21"/>
              </w:rPr>
            </w:pPr>
          </w:p>
        </w:tc>
        <w:tc>
          <w:tcPr>
            <w:tcW w:w="483" w:type="dxa"/>
            <w:tcBorders>
              <w:top w:val="single" w:color="000000" w:sz="2" w:space="0"/>
              <w:left w:val="nil"/>
              <w:right w:val="nil"/>
            </w:tcBorders>
            <w:vAlign w:val="top"/>
          </w:tcPr>
          <w:p>
            <w:pPr>
              <w:rPr>
                <w:rFonts w:ascii="Arial"/>
                <w:sz w:val="21"/>
              </w:rPr>
            </w:pPr>
          </w:p>
        </w:tc>
        <w:tc>
          <w:tcPr>
            <w:tcW w:w="3232" w:type="dxa"/>
            <w:vMerge w:val="continue"/>
            <w:tcBorders>
              <w:top w:val="nil"/>
              <w:left w:val="nil"/>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7098" w:type="dxa"/>
            <w:gridSpan w:val="5"/>
            <w:vAlign w:val="top"/>
          </w:tcPr>
          <w:p>
            <w:pPr>
              <w:pStyle w:val="8"/>
              <w:spacing w:before="39" w:line="231" w:lineRule="auto"/>
              <w:ind w:left="14" w:firstLine="498"/>
              <w:jc w:val="both"/>
            </w:pPr>
            <w:r>
              <w:rPr>
                <w:rFonts w:ascii="黑体" w:hAnsi="黑体" w:eastAsia="黑体" w:cs="黑体"/>
                <w:spacing w:val="12"/>
              </w:rPr>
              <w:t xml:space="preserve">第一百零九条  </w:t>
            </w:r>
            <w:r>
              <w:rPr>
                <w:spacing w:val="12"/>
              </w:rPr>
              <w:t>因违法行为或者违</w:t>
            </w:r>
            <w:r>
              <w:rPr>
                <w:spacing w:val="12"/>
                <w:u w:val="single" w:color="auto"/>
              </w:rPr>
              <w:t>纪行为被</w:t>
            </w:r>
            <w:r>
              <w:rPr>
                <w:spacing w:val="12"/>
              </w:rPr>
              <w:t>开除的证券交易</w:t>
            </w:r>
            <w:r>
              <w:rPr>
                <w:spacing w:val="4"/>
              </w:rPr>
              <w:t xml:space="preserve"> </w:t>
            </w:r>
            <w:r>
              <w:rPr>
                <w:spacing w:val="3"/>
              </w:rPr>
              <w:t>所、证券登记结算机构、证券服务机构、</w:t>
            </w:r>
            <w:r>
              <w:rPr>
                <w:position w:val="-7"/>
              </w:rPr>
              <w:drawing>
                <wp:inline distT="0" distB="0" distL="0" distR="0">
                  <wp:extent cx="2540" cy="19494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76"/>
                          <a:stretch>
                            <a:fillRect/>
                          </a:stretch>
                        </pic:blipFill>
                        <pic:spPr>
                          <a:xfrm>
                            <a:off x="0" y="0"/>
                            <a:ext cx="3123" cy="195071"/>
                          </a:xfrm>
                          <a:prstGeom prst="rect">
                            <a:avLst/>
                          </a:prstGeom>
                        </pic:spPr>
                      </pic:pic>
                    </a:graphicData>
                  </a:graphic>
                </wp:inline>
              </w:drawing>
            </w:r>
            <w:r>
              <w:rPr>
                <w:spacing w:val="3"/>
                <w:u w:val="single" w:color="auto"/>
              </w:rPr>
              <w:t>证券公司</w:t>
            </w:r>
            <w:r>
              <w:rPr>
                <w:position w:val="-7"/>
              </w:rPr>
              <w:drawing>
                <wp:inline distT="0" distB="0" distL="0" distR="0">
                  <wp:extent cx="2540" cy="19494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76"/>
                          <a:stretch>
                            <a:fillRect/>
                          </a:stretch>
                        </pic:blipFill>
                        <pic:spPr>
                          <a:xfrm>
                            <a:off x="0" y="0"/>
                            <a:ext cx="3122" cy="195071"/>
                          </a:xfrm>
                          <a:prstGeom prst="rect">
                            <a:avLst/>
                          </a:prstGeom>
                        </pic:spPr>
                      </pic:pic>
                    </a:graphicData>
                  </a:graphic>
                </wp:inline>
              </w:drawing>
            </w:r>
            <w:r>
              <w:rPr>
                <w:spacing w:val="3"/>
              </w:rPr>
              <w:t>的从业人员和被</w:t>
            </w:r>
            <w:r>
              <w:rPr>
                <w:spacing w:val="10"/>
              </w:rPr>
              <w:t xml:space="preserve"> </w:t>
            </w:r>
            <w:r>
              <w:rPr>
                <w:spacing w:val="-2"/>
              </w:rPr>
              <w:t>开除的国家机关工作人员，不得招聘为证券交易所的从</w:t>
            </w:r>
            <w:r>
              <w:rPr>
                <w:spacing w:val="-3"/>
              </w:rPr>
              <w:t>业人员。</w:t>
            </w:r>
          </w:p>
        </w:tc>
        <w:tc>
          <w:tcPr>
            <w:tcW w:w="6809" w:type="dxa"/>
            <w:vAlign w:val="top"/>
          </w:tcPr>
          <w:p>
            <w:pPr>
              <w:pStyle w:val="8"/>
              <w:spacing w:before="37" w:line="231" w:lineRule="auto"/>
              <w:ind w:left="11" w:right="6" w:firstLine="501"/>
              <w:jc w:val="both"/>
            </w:pPr>
            <w:r>
              <w:rPr>
                <w:rFonts w:ascii="黑体" w:hAnsi="黑体" w:eastAsia="黑体" w:cs="黑体"/>
                <w:spacing w:val="1"/>
              </w:rPr>
              <w:t xml:space="preserve">第一百零四条  </w:t>
            </w:r>
            <w:r>
              <w:rPr>
                <w:spacing w:val="1"/>
              </w:rPr>
              <w:t>因违法行为或者违纪行为被开除的证券交易</w:t>
            </w:r>
            <w:r>
              <w:rPr>
                <w:spacing w:val="5"/>
              </w:rPr>
              <w:t xml:space="preserve"> </w:t>
            </w:r>
            <w:r>
              <w:rPr>
                <w:rFonts w:ascii="黑体" w:hAnsi="黑体" w:eastAsia="黑体" w:cs="黑体"/>
                <w:spacing w:val="2"/>
              </w:rPr>
              <w:t>场</w:t>
            </w:r>
            <w:r>
              <w:rPr>
                <w:spacing w:val="2"/>
              </w:rPr>
              <w:t>所、证券公司、证券登记结算机构、证券服务机构的从业</w:t>
            </w:r>
            <w:r>
              <w:rPr>
                <w:spacing w:val="1"/>
              </w:rPr>
              <w:t>人员</w:t>
            </w:r>
            <w:r>
              <w:t xml:space="preserve"> </w:t>
            </w:r>
            <w:r>
              <w:rPr>
                <w:spacing w:val="-2"/>
              </w:rPr>
              <w:t>和被开除的国家机关工作人员， 不得招聘为证</w:t>
            </w:r>
            <w:r>
              <w:rPr>
                <w:spacing w:val="-3"/>
              </w:rPr>
              <w:t>券交易所的从业人</w:t>
            </w:r>
            <w:r>
              <w:t xml:space="preserve"> </w:t>
            </w:r>
            <w:r>
              <w:rPr>
                <w:spacing w:val="-15"/>
              </w:rPr>
              <w:t>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098" w:type="dxa"/>
            <w:gridSpan w:val="5"/>
            <w:vAlign w:val="top"/>
          </w:tcPr>
          <w:p>
            <w:pPr>
              <w:pStyle w:val="8"/>
              <w:spacing w:before="40" w:line="220" w:lineRule="auto"/>
              <w:jc w:val="right"/>
            </w:pPr>
            <w:r>
              <w:rPr>
                <w:rFonts w:ascii="黑体" w:hAnsi="黑体" w:eastAsia="黑体" w:cs="黑体"/>
                <w:spacing w:val="3"/>
              </w:rPr>
              <w:t xml:space="preserve">第一百一十条  </w:t>
            </w:r>
            <w:r>
              <w:rPr>
                <w:spacing w:val="3"/>
              </w:rPr>
              <w:t>进入证券交易所参与集中交易的，必须是证券</w:t>
            </w:r>
          </w:p>
          <w:p>
            <w:pPr>
              <w:pStyle w:val="8"/>
              <w:spacing w:before="27" w:line="217" w:lineRule="auto"/>
              <w:ind w:left="21"/>
            </w:pPr>
            <w:r>
              <w:rPr>
                <w:spacing w:val="-9"/>
              </w:rPr>
              <w:t>交易所的会员。</w:t>
            </w:r>
          </w:p>
        </w:tc>
        <w:tc>
          <w:tcPr>
            <w:tcW w:w="6809" w:type="dxa"/>
            <w:vAlign w:val="top"/>
          </w:tcPr>
          <w:p>
            <w:pPr>
              <w:pStyle w:val="8"/>
              <w:spacing w:before="39" w:line="228" w:lineRule="auto"/>
              <w:ind w:left="18" w:right="4" w:firstLine="494"/>
              <w:jc w:val="both"/>
            </w:pPr>
            <w:r>
              <w:rPr>
                <w:rFonts w:ascii="黑体" w:hAnsi="黑体" w:eastAsia="黑体" w:cs="黑体"/>
                <w:spacing w:val="1"/>
              </w:rPr>
              <w:t xml:space="preserve">第一百零五条  </w:t>
            </w:r>
            <w:r>
              <w:rPr>
                <w:spacing w:val="1"/>
              </w:rPr>
              <w:t>进入</w:t>
            </w:r>
            <w:r>
              <w:rPr>
                <w:rFonts w:ascii="黑体" w:hAnsi="黑体" w:eastAsia="黑体" w:cs="黑体"/>
                <w:spacing w:val="1"/>
              </w:rPr>
              <w:t>实行会员制的</w:t>
            </w:r>
            <w:r>
              <w:rPr>
                <w:spacing w:val="1"/>
              </w:rPr>
              <w:t>证券交易所参与集中交易</w:t>
            </w:r>
            <w:r>
              <w:rPr>
                <w:spacing w:val="8"/>
              </w:rPr>
              <w:t xml:space="preserve"> </w:t>
            </w:r>
            <w:r>
              <w:rPr>
                <w:spacing w:val="-3"/>
              </w:rPr>
              <w:t>的， 必须是证券交易所的会员。证券交易所不得允许非会员直接</w:t>
            </w:r>
            <w:r>
              <w:rPr>
                <w:spacing w:val="13"/>
              </w:rPr>
              <w:t xml:space="preserve"> </w:t>
            </w:r>
            <w:r>
              <w:rPr>
                <w:spacing w:val="-6"/>
              </w:rPr>
              <w:t>参与股票的集中交易。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098" w:type="dxa"/>
            <w:gridSpan w:val="5"/>
            <w:vAlign w:val="top"/>
          </w:tcPr>
          <w:p>
            <w:pPr>
              <w:pStyle w:val="8"/>
              <w:spacing w:before="40" w:line="227" w:lineRule="auto"/>
              <w:ind w:left="13" w:firstLine="499"/>
              <w:jc w:val="both"/>
            </w:pPr>
            <w:r>
              <w:rPr>
                <w:rFonts w:ascii="黑体" w:hAnsi="黑体" w:eastAsia="黑体" w:cs="黑体"/>
                <w:spacing w:val="2"/>
              </w:rPr>
              <w:t xml:space="preserve">第一百一十一条  </w:t>
            </w:r>
            <w:r>
              <w:rPr>
                <w:spacing w:val="2"/>
                <w:u w:val="single" w:color="auto"/>
              </w:rPr>
              <w:t>投资者应</w:t>
            </w:r>
            <w:r>
              <w:rPr>
                <w:spacing w:val="2"/>
              </w:rPr>
              <w:t>当与证券公司签订证券</w:t>
            </w:r>
            <w:r>
              <w:rPr>
                <w:spacing w:val="2"/>
                <w:u w:val="single" w:color="auto"/>
              </w:rPr>
              <w:t>交易委托</w:t>
            </w:r>
            <w:r>
              <w:rPr>
                <w:spacing w:val="-102"/>
                <w:u w:val="single" w:color="auto"/>
              </w:rPr>
              <w:t xml:space="preserve"> </w:t>
            </w:r>
            <w:r>
              <w:rPr>
                <w:position w:val="-7"/>
              </w:rPr>
              <w:drawing>
                <wp:inline distT="0" distB="0" distL="0" distR="0">
                  <wp:extent cx="1270" cy="1270"/>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74"/>
                          <a:stretch>
                            <a:fillRect/>
                          </a:stretch>
                        </pic:blipFill>
                        <pic:spPr>
                          <a:xfrm>
                            <a:off x="0" y="0"/>
                            <a:ext cx="1523" cy="1523"/>
                          </a:xfrm>
                          <a:prstGeom prst="rect">
                            <a:avLst/>
                          </a:prstGeom>
                        </pic:spPr>
                      </pic:pic>
                    </a:graphicData>
                  </a:graphic>
                </wp:inline>
              </w:drawing>
            </w:r>
            <w:r>
              <w:rPr>
                <w:spacing w:val="-109"/>
              </w:rPr>
              <w:t xml:space="preserve"> </w:t>
            </w:r>
            <w:r>
              <w:rPr>
                <w:spacing w:val="2"/>
              </w:rPr>
              <w:t>协</w:t>
            </w:r>
            <w:r>
              <w:t xml:space="preserve"> </w:t>
            </w:r>
            <w:r>
              <w:rPr>
                <w:spacing w:val="8"/>
              </w:rPr>
              <w:t>议，并在证券公司开立</w:t>
            </w:r>
            <w:r>
              <w:rPr>
                <w:spacing w:val="-105"/>
              </w:rPr>
              <w:t xml:space="preserve"> </w:t>
            </w:r>
            <w:r>
              <w:rPr>
                <w:position w:val="-7"/>
              </w:rPr>
              <w:drawing>
                <wp:inline distT="0" distB="0" distL="0" distR="0">
                  <wp:extent cx="6985" cy="19494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83"/>
                          <a:stretch>
                            <a:fillRect/>
                          </a:stretch>
                        </pic:blipFill>
                        <pic:spPr>
                          <a:xfrm>
                            <a:off x="0" y="0"/>
                            <a:ext cx="7370" cy="195072"/>
                          </a:xfrm>
                          <a:prstGeom prst="rect">
                            <a:avLst/>
                          </a:prstGeom>
                        </pic:spPr>
                      </pic:pic>
                    </a:graphicData>
                  </a:graphic>
                </wp:inline>
              </w:drawing>
            </w:r>
            <w:r>
              <w:rPr>
                <w:spacing w:val="8"/>
                <w:u w:val="single" w:color="auto"/>
                <w:shd w:val="clear" w:fill="D9D9D9"/>
              </w:rPr>
              <w:t>证券交易</w:t>
            </w:r>
            <w:r>
              <w:rPr>
                <w:position w:val="-7"/>
              </w:rPr>
              <w:drawing>
                <wp:inline distT="0" distB="0" distL="0" distR="0">
                  <wp:extent cx="6985" cy="19494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76"/>
                          <a:stretch>
                            <a:fillRect/>
                          </a:stretch>
                        </pic:blipFill>
                        <pic:spPr>
                          <a:xfrm>
                            <a:off x="0" y="0"/>
                            <a:ext cx="7369" cy="195072"/>
                          </a:xfrm>
                          <a:prstGeom prst="rect">
                            <a:avLst/>
                          </a:prstGeom>
                        </pic:spPr>
                      </pic:pic>
                    </a:graphicData>
                  </a:graphic>
                </wp:inline>
              </w:drawing>
            </w:r>
            <w:r>
              <w:rPr>
                <w:spacing w:val="8"/>
              </w:rPr>
              <w:t>账户，</w:t>
            </w:r>
            <w:r>
              <w:rPr>
                <w:spacing w:val="-51"/>
              </w:rPr>
              <w:t xml:space="preserve"> </w:t>
            </w:r>
            <w:r>
              <w:rPr>
                <w:spacing w:val="8"/>
              </w:rPr>
              <w:t>以书面、电</w:t>
            </w:r>
            <w:r>
              <w:rPr>
                <w:spacing w:val="7"/>
              </w:rPr>
              <w:t>话</w:t>
            </w:r>
            <w:r>
              <w:rPr>
                <w:position w:val="-7"/>
              </w:rPr>
              <w:drawing>
                <wp:inline distT="0" distB="0" distL="0" distR="0">
                  <wp:extent cx="6985" cy="19494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76"/>
                          <a:stretch>
                            <a:fillRect/>
                          </a:stretch>
                        </pic:blipFill>
                        <pic:spPr>
                          <a:xfrm>
                            <a:off x="0" y="0"/>
                            <a:ext cx="7368" cy="195072"/>
                          </a:xfrm>
                          <a:prstGeom prst="rect">
                            <a:avLst/>
                          </a:prstGeom>
                        </pic:spPr>
                      </pic:pic>
                    </a:graphicData>
                  </a:graphic>
                </wp:inline>
              </w:drawing>
            </w:r>
            <w:r>
              <w:rPr>
                <w:spacing w:val="7"/>
                <w:u w:val="single" w:color="auto"/>
                <w:shd w:val="clear" w:fill="D9D9D9"/>
              </w:rPr>
              <w:t>以及其他</w:t>
            </w:r>
            <w:r>
              <w:rPr>
                <w:position w:val="-7"/>
              </w:rPr>
              <w:drawing>
                <wp:inline distT="0" distB="0" distL="0" distR="0">
                  <wp:extent cx="6985" cy="19494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76"/>
                          <a:stretch>
                            <a:fillRect/>
                          </a:stretch>
                        </pic:blipFill>
                        <pic:spPr>
                          <a:xfrm>
                            <a:off x="0" y="0"/>
                            <a:ext cx="7370" cy="195072"/>
                          </a:xfrm>
                          <a:prstGeom prst="rect">
                            <a:avLst/>
                          </a:prstGeom>
                        </pic:spPr>
                      </pic:pic>
                    </a:graphicData>
                  </a:graphic>
                </wp:inline>
              </w:drawing>
            </w:r>
            <w:r>
              <w:rPr>
                <w:spacing w:val="7"/>
              </w:rPr>
              <w:t>方</w:t>
            </w:r>
            <w:r>
              <w:t xml:space="preserve"> </w:t>
            </w:r>
            <w:r>
              <w:rPr>
                <w:spacing w:val="-4"/>
              </w:rPr>
              <w:t>式，委托该证券公司代其买卖证券。</w:t>
            </w:r>
          </w:p>
        </w:tc>
        <w:tc>
          <w:tcPr>
            <w:tcW w:w="6809" w:type="dxa"/>
            <w:vAlign w:val="top"/>
          </w:tcPr>
          <w:p>
            <w:pPr>
              <w:pStyle w:val="8"/>
              <w:spacing w:before="36" w:line="228" w:lineRule="auto"/>
              <w:ind w:left="13" w:right="7" w:firstLine="499"/>
              <w:jc w:val="both"/>
            </w:pPr>
            <w:r>
              <w:rPr>
                <w:rFonts w:ascii="黑体" w:hAnsi="黑体" w:eastAsia="黑体" w:cs="黑体"/>
                <w:spacing w:val="1"/>
              </w:rPr>
              <w:t xml:space="preserve">第一百零六条  </w:t>
            </w:r>
            <w:r>
              <w:rPr>
                <w:spacing w:val="1"/>
              </w:rPr>
              <w:t>投资者应当与证券公司签订证券交易委托协</w:t>
            </w:r>
            <w:r>
              <w:rPr>
                <w:spacing w:val="5"/>
              </w:rPr>
              <w:t xml:space="preserve"> </w:t>
            </w:r>
            <w:r>
              <w:rPr>
                <w:spacing w:val="-4"/>
              </w:rPr>
              <w:t>议， 并在证券公司实名开立账户，以书面、电话、自助终端、网</w:t>
            </w:r>
            <w:r>
              <w:rPr>
                <w:spacing w:val="10"/>
              </w:rPr>
              <w:t xml:space="preserve"> </w:t>
            </w:r>
            <w:r>
              <w:rPr>
                <w:spacing w:val="-3"/>
              </w:rPr>
              <w:t>络等方式，委托该证券公司代其买卖证券。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7098" w:type="dxa"/>
            <w:gridSpan w:val="5"/>
            <w:vAlign w:val="top"/>
          </w:tcPr>
          <w:p>
            <w:pPr>
              <w:rPr>
                <w:rFonts w:ascii="Arial"/>
                <w:sz w:val="21"/>
              </w:rPr>
            </w:pPr>
          </w:p>
        </w:tc>
        <w:tc>
          <w:tcPr>
            <w:tcW w:w="6809" w:type="dxa"/>
            <w:vAlign w:val="top"/>
          </w:tcPr>
          <w:p>
            <w:pPr>
              <w:pStyle w:val="8"/>
              <w:spacing w:before="42" w:line="227" w:lineRule="auto"/>
              <w:ind w:left="18" w:right="7" w:firstLine="494"/>
            </w:pPr>
            <w:r>
              <w:rPr>
                <w:rFonts w:ascii="黑体" w:hAnsi="黑体" w:eastAsia="黑体" w:cs="黑体"/>
                <w:spacing w:val="1"/>
              </w:rPr>
              <w:t xml:space="preserve">第一百零七条  </w:t>
            </w:r>
            <w:r>
              <w:rPr>
                <w:spacing w:val="1"/>
              </w:rPr>
              <w:t>证券公司为投资者开立账户，应当按照规定</w:t>
            </w:r>
            <w:r>
              <w:rPr>
                <w:spacing w:val="5"/>
              </w:rPr>
              <w:t xml:space="preserve"> </w:t>
            </w:r>
            <w:r>
              <w:rPr>
                <w:spacing w:val="-4"/>
              </w:rPr>
              <w:t>对投资者提供的身份信息进行核对。</w:t>
            </w:r>
          </w:p>
          <w:p>
            <w:pPr>
              <w:pStyle w:val="8"/>
              <w:spacing w:before="32" w:line="217" w:lineRule="auto"/>
              <w:ind w:left="520"/>
            </w:pPr>
            <w:r>
              <w:rPr>
                <w:spacing w:val="-3"/>
              </w:rPr>
              <w:t>证券公司不得将投资者的账户提供给他人使用。</w:t>
            </w:r>
          </w:p>
          <w:p>
            <w:pPr>
              <w:pStyle w:val="8"/>
              <w:spacing w:before="30" w:line="201" w:lineRule="auto"/>
              <w:ind w:left="515"/>
            </w:pPr>
            <w:r>
              <w:rPr>
                <w:spacing w:val="-4"/>
              </w:rPr>
              <w:t>投资者应当使用实名开立的账户进行交易。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7098" w:type="dxa"/>
            <w:gridSpan w:val="5"/>
            <w:vAlign w:val="top"/>
          </w:tcPr>
          <w:p>
            <w:pPr>
              <w:pStyle w:val="8"/>
              <w:spacing w:before="44" w:line="230" w:lineRule="auto"/>
              <w:ind w:left="11" w:firstLine="501"/>
              <w:jc w:val="both"/>
            </w:pPr>
            <w:r>
              <w:rPr>
                <w:rFonts w:ascii="黑体" w:hAnsi="黑体" w:eastAsia="黑体" w:cs="黑体"/>
                <w:spacing w:val="-1"/>
              </w:rPr>
              <w:t xml:space="preserve">第一百一十二条  </w:t>
            </w:r>
            <w:r>
              <w:rPr>
                <w:spacing w:val="-1"/>
              </w:rPr>
              <w:t>证券公司根据投资者的委托， 按</w:t>
            </w:r>
            <w:r>
              <w:rPr>
                <w:spacing w:val="-2"/>
              </w:rPr>
              <w:t>照证券交易</w:t>
            </w:r>
            <w:r>
              <w:t xml:space="preserve"> </w:t>
            </w:r>
            <w:r>
              <w:rPr>
                <w:spacing w:val="4"/>
              </w:rPr>
              <w:t>规则提出交易申报，参与证券交易所场内的集中交易</w:t>
            </w:r>
            <w:r>
              <w:rPr>
                <w:spacing w:val="3"/>
              </w:rPr>
              <w:t>，并根据成交</w:t>
            </w:r>
            <w:r>
              <w:t xml:space="preserve"> </w:t>
            </w:r>
            <w:r>
              <w:rPr>
                <w:spacing w:val="3"/>
              </w:rPr>
              <w:t>结果承担相应的清算交收责任</w:t>
            </w:r>
            <w:r>
              <w:rPr>
                <w:spacing w:val="-102"/>
              </w:rPr>
              <w:t xml:space="preserve"> </w:t>
            </w:r>
            <w:r>
              <w:rPr>
                <w:position w:val="-6"/>
              </w:rPr>
              <w:drawing>
                <wp:inline distT="0" distB="0" distL="0" distR="0">
                  <wp:extent cx="80010" cy="1974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107"/>
                          <a:stretch>
                            <a:fillRect/>
                          </a:stretch>
                        </pic:blipFill>
                        <pic:spPr>
                          <a:xfrm>
                            <a:off x="0" y="0"/>
                            <a:ext cx="80541" cy="198119"/>
                          </a:xfrm>
                          <a:prstGeom prst="rect">
                            <a:avLst/>
                          </a:prstGeom>
                        </pic:spPr>
                      </pic:pic>
                    </a:graphicData>
                  </a:graphic>
                </wp:inline>
              </w:drawing>
            </w:r>
            <w:r>
              <w:rPr>
                <w:position w:val="23"/>
              </w:rPr>
              <w:drawing>
                <wp:inline distT="0" distB="0" distL="0" distR="0">
                  <wp:extent cx="80010" cy="1270"/>
                  <wp:effectExtent l="0" t="0" r="0" b="0"/>
                  <wp:docPr id="456" name="IM 456"/>
                  <wp:cNvGraphicFramePr/>
                  <a:graphic xmlns:a="http://schemas.openxmlformats.org/drawingml/2006/main">
                    <a:graphicData uri="http://schemas.openxmlformats.org/drawingml/2006/picture">
                      <pic:pic xmlns:pic="http://schemas.openxmlformats.org/drawingml/2006/picture">
                        <pic:nvPicPr>
                          <pic:cNvPr id="456" name="IM 456"/>
                          <pic:cNvPicPr/>
                        </pic:nvPicPr>
                        <pic:blipFill>
                          <a:blip r:embed="rId108"/>
                          <a:stretch>
                            <a:fillRect/>
                          </a:stretch>
                        </pic:blipFill>
                        <pic:spPr>
                          <a:xfrm>
                            <a:off x="0" y="0"/>
                            <a:ext cx="80541" cy="1524"/>
                          </a:xfrm>
                          <a:prstGeom prst="rect">
                            <a:avLst/>
                          </a:prstGeom>
                        </pic:spPr>
                      </pic:pic>
                    </a:graphicData>
                  </a:graphic>
                </wp:inline>
              </w:drawing>
            </w:r>
            <w:r>
              <w:rPr>
                <w:spacing w:val="3"/>
                <w:u w:val="single" w:color="auto"/>
              </w:rPr>
              <w:t>；</w:t>
            </w:r>
            <w:r>
              <w:rPr>
                <w:position w:val="-7"/>
              </w:rPr>
              <w:drawing>
                <wp:inline distT="0" distB="0" distL="0" distR="0">
                  <wp:extent cx="635" cy="196215"/>
                  <wp:effectExtent l="0" t="0" r="0" b="0"/>
                  <wp:docPr id="458" name="IM 458"/>
                  <wp:cNvGraphicFramePr/>
                  <a:graphic xmlns:a="http://schemas.openxmlformats.org/drawingml/2006/main">
                    <a:graphicData uri="http://schemas.openxmlformats.org/drawingml/2006/picture">
                      <pic:pic xmlns:pic="http://schemas.openxmlformats.org/drawingml/2006/picture">
                        <pic:nvPicPr>
                          <pic:cNvPr id="458" name="IM 458"/>
                          <pic:cNvPicPr/>
                        </pic:nvPicPr>
                        <pic:blipFill>
                          <a:blip r:embed="rId84"/>
                          <a:stretch>
                            <a:fillRect/>
                          </a:stretch>
                        </pic:blipFill>
                        <pic:spPr>
                          <a:xfrm>
                            <a:off x="0" y="0"/>
                            <a:ext cx="765" cy="196596"/>
                          </a:xfrm>
                          <a:prstGeom prst="rect">
                            <a:avLst/>
                          </a:prstGeom>
                        </pic:spPr>
                      </pic:pic>
                    </a:graphicData>
                  </a:graphic>
                </wp:inline>
              </w:drawing>
            </w:r>
            <w:r>
              <w:rPr>
                <w:spacing w:val="3"/>
              </w:rPr>
              <w:t>。证券登记结</w:t>
            </w:r>
            <w:r>
              <w:rPr>
                <w:spacing w:val="2"/>
              </w:rPr>
              <w:t>算机构根据成交结</w:t>
            </w:r>
            <w:r>
              <w:t xml:space="preserve"> </w:t>
            </w:r>
            <w:r>
              <w:rPr>
                <w:spacing w:val="-1"/>
              </w:rPr>
              <w:t>果，按照清算交收规则， 与证券公司进行证券和资金的清算交收，</w:t>
            </w:r>
          </w:p>
        </w:tc>
        <w:tc>
          <w:tcPr>
            <w:tcW w:w="6809" w:type="dxa"/>
            <w:vAlign w:val="top"/>
          </w:tcPr>
          <w:p>
            <w:pPr>
              <w:pStyle w:val="8"/>
              <w:spacing w:before="43" w:line="232" w:lineRule="auto"/>
              <w:ind w:left="11" w:right="2" w:firstLine="501"/>
              <w:jc w:val="both"/>
            </w:pPr>
            <w:r>
              <w:rPr>
                <w:rFonts w:ascii="黑体" w:hAnsi="黑体" w:eastAsia="黑体" w:cs="黑体"/>
                <w:spacing w:val="1"/>
              </w:rPr>
              <w:t xml:space="preserve">第一百零八条  </w:t>
            </w:r>
            <w:r>
              <w:rPr>
                <w:spacing w:val="1"/>
              </w:rPr>
              <w:t>证券公司根据投资者的委托，按照证券交易</w:t>
            </w:r>
            <w:r>
              <w:rPr>
                <w:spacing w:val="5"/>
              </w:rPr>
              <w:t xml:space="preserve"> </w:t>
            </w:r>
            <w:r>
              <w:rPr>
                <w:spacing w:val="-2"/>
              </w:rPr>
              <w:t>规则提出交易申报， 参与证券交易所场内的集中交</w:t>
            </w:r>
            <w:r>
              <w:rPr>
                <w:spacing w:val="-3"/>
              </w:rPr>
              <w:t>易，并根据成</w:t>
            </w:r>
            <w:r>
              <w:t xml:space="preserve"> </w:t>
            </w:r>
            <w:r>
              <w:rPr>
                <w:spacing w:val="2"/>
              </w:rPr>
              <w:t>交结果承担相应的清算交收责任。证券登记结算机构根据成交结</w:t>
            </w:r>
            <w:r>
              <w:t xml:space="preserve"> </w:t>
            </w:r>
            <w:r>
              <w:rPr>
                <w:spacing w:val="11"/>
              </w:rPr>
              <w:t>果，按照清算交收规则，与证券公司进行证券和资金的清算交</w:t>
            </w:r>
          </w:p>
        </w:tc>
      </w:tr>
    </w:tbl>
    <w:p>
      <w:pPr>
        <w:spacing w:before="118" w:line="186"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p>
      <w:pPr>
        <w:spacing w:line="186" w:lineRule="auto"/>
        <w:rPr>
          <w:rFonts w:ascii="Times New Roman" w:hAnsi="Times New Roman" w:eastAsia="Times New Roman" w:cs="Times New Roman"/>
          <w:sz w:val="18"/>
          <w:szCs w:val="18"/>
        </w:rPr>
        <w:sectPr>
          <w:footerReference r:id="rId35"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482"/>
        <w:gridCol w:w="1706"/>
        <w:gridCol w:w="194"/>
        <w:gridCol w:w="1027"/>
        <w:gridCol w:w="892"/>
        <w:gridCol w:w="1024"/>
        <w:gridCol w:w="41"/>
        <w:gridCol w:w="214"/>
        <w:gridCol w:w="274"/>
        <w:gridCol w:w="722"/>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096" w:type="dxa"/>
            <w:gridSpan w:val="11"/>
            <w:vAlign w:val="top"/>
          </w:tcPr>
          <w:p>
            <w:pPr>
              <w:pStyle w:val="8"/>
              <w:spacing w:before="42" w:line="215" w:lineRule="auto"/>
              <w:ind w:left="20"/>
            </w:pPr>
            <w:r>
              <w:rPr>
                <w:spacing w:val="-4"/>
              </w:rPr>
              <w:t>并为证券公司客户办理证券的登记过户手续。</w:t>
            </w:r>
          </w:p>
        </w:tc>
        <w:tc>
          <w:tcPr>
            <w:tcW w:w="6811" w:type="dxa"/>
            <w:vAlign w:val="top"/>
          </w:tcPr>
          <w:p>
            <w:pPr>
              <w:pStyle w:val="8"/>
              <w:spacing w:before="42" w:line="215" w:lineRule="auto"/>
              <w:ind w:left="33"/>
            </w:pPr>
            <w:r>
              <w:rPr>
                <w:spacing w:val="-4"/>
              </w:rPr>
              <w:t>收，并为证券公司客户办理证券的登记过户手续。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7096" w:type="dxa"/>
            <w:gridSpan w:val="11"/>
            <w:vAlign w:val="top"/>
          </w:tcPr>
          <w:p>
            <w:pPr>
              <w:pStyle w:val="8"/>
              <w:spacing w:before="29" w:line="231" w:lineRule="auto"/>
              <w:ind w:left="10" w:firstLine="502"/>
            </w:pPr>
            <w:r>
              <w:rPr>
                <w:rFonts w:ascii="黑体" w:hAnsi="黑体" w:eastAsia="黑体" w:cs="黑体"/>
                <w:spacing w:val="3"/>
              </w:rPr>
              <w:t xml:space="preserve">第一百一十三条  </w:t>
            </w:r>
            <w:r>
              <w:rPr>
                <w:spacing w:val="3"/>
              </w:rPr>
              <w:t>证券交易所应当为组织公平的集中交易提供</w:t>
            </w:r>
            <w:r>
              <w:rPr>
                <w:spacing w:val="2"/>
              </w:rPr>
              <w:t xml:space="preserve"> </w:t>
            </w:r>
            <w:r>
              <w:rPr>
                <w:spacing w:val="4"/>
              </w:rPr>
              <w:t>保障，公布证券交易即时行情，并按交易日</w:t>
            </w:r>
            <w:r>
              <w:rPr>
                <w:spacing w:val="3"/>
              </w:rPr>
              <w:t>制作证券市场行情表，</w:t>
            </w:r>
            <w:r>
              <w:t xml:space="preserve"> </w:t>
            </w:r>
            <w:r>
              <w:rPr>
                <w:spacing w:val="-9"/>
              </w:rPr>
              <w:t>予以公布。</w:t>
            </w:r>
          </w:p>
          <w:p>
            <w:pPr>
              <w:pStyle w:val="8"/>
              <w:spacing w:before="32" w:line="225" w:lineRule="auto"/>
              <w:ind w:left="13" w:firstLine="499"/>
            </w:pPr>
            <w:r>
              <w:rPr>
                <w:spacing w:val="3"/>
              </w:rPr>
              <w:t>未经证券交易所许可，任何单位和个人不得发布证券交易即时</w:t>
            </w:r>
            <w:r>
              <w:rPr>
                <w:spacing w:val="6"/>
              </w:rPr>
              <w:t xml:space="preserve"> </w:t>
            </w:r>
            <w:r>
              <w:rPr>
                <w:spacing w:val="-13"/>
              </w:rPr>
              <w:t>行情。</w:t>
            </w:r>
          </w:p>
        </w:tc>
        <w:tc>
          <w:tcPr>
            <w:tcW w:w="6811" w:type="dxa"/>
            <w:vAlign w:val="top"/>
          </w:tcPr>
          <w:p>
            <w:pPr>
              <w:pStyle w:val="8"/>
              <w:spacing w:before="29" w:line="231" w:lineRule="auto"/>
              <w:ind w:left="12" w:right="7" w:firstLine="502"/>
              <w:jc w:val="both"/>
            </w:pPr>
            <w:r>
              <w:rPr>
                <w:rFonts w:ascii="黑体" w:hAnsi="黑体" w:eastAsia="黑体" w:cs="黑体"/>
                <w:spacing w:val="1"/>
              </w:rPr>
              <w:t xml:space="preserve">第一百零九条  </w:t>
            </w:r>
            <w:r>
              <w:rPr>
                <w:spacing w:val="1"/>
              </w:rPr>
              <w:t>证券交易所应当为组织公平的集中交易提供</w:t>
            </w:r>
            <w:r>
              <w:rPr>
                <w:spacing w:val="5"/>
              </w:rPr>
              <w:t xml:space="preserve"> </w:t>
            </w:r>
            <w:r>
              <w:rPr>
                <w:spacing w:val="-2"/>
              </w:rPr>
              <w:t>保障，实时公布证券交易即时行情， 并按交易</w:t>
            </w:r>
            <w:r>
              <w:rPr>
                <w:spacing w:val="-3"/>
              </w:rPr>
              <w:t>日制作证券市场行</w:t>
            </w:r>
            <w:r>
              <w:t xml:space="preserve"> </w:t>
            </w:r>
            <w:r>
              <w:rPr>
                <w:spacing w:val="-22"/>
              </w:rPr>
              <w:t>情表，</w:t>
            </w:r>
            <w:r>
              <w:rPr>
                <w:spacing w:val="13"/>
              </w:rPr>
              <w:t xml:space="preserve"> </w:t>
            </w:r>
            <w:r>
              <w:rPr>
                <w:spacing w:val="-22"/>
              </w:rPr>
              <w:t>予以公布。</w:t>
            </w:r>
          </w:p>
          <w:p>
            <w:pPr>
              <w:pStyle w:val="8"/>
              <w:spacing w:before="32" w:line="225" w:lineRule="auto"/>
              <w:ind w:left="24" w:right="6" w:firstLine="489"/>
              <w:jc w:val="both"/>
            </w:pPr>
            <w:r>
              <w:rPr>
                <w:rFonts w:ascii="黑体" w:hAnsi="黑体" w:eastAsia="黑体" w:cs="黑体"/>
                <w:spacing w:val="-3"/>
              </w:rPr>
              <w:t>证券交易即时行情的权益由证券交易所依法享有。</w:t>
            </w:r>
            <w:r>
              <w:rPr>
                <w:rFonts w:ascii="黑体" w:hAnsi="黑体" w:eastAsia="黑体" w:cs="黑体"/>
                <w:spacing w:val="-4"/>
              </w:rPr>
              <w:t xml:space="preserve"> </w:t>
            </w:r>
            <w:r>
              <w:rPr>
                <w:spacing w:val="-4"/>
              </w:rPr>
              <w:t>未经证券</w:t>
            </w:r>
            <w:r>
              <w:t xml:space="preserve"> </w:t>
            </w:r>
            <w:r>
              <w:rPr>
                <w:spacing w:val="-1"/>
              </w:rPr>
              <w:t>交易所许可，任何单位和个人不得发布证券交易即时行情。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7096" w:type="dxa"/>
            <w:gridSpan w:val="11"/>
            <w:vAlign w:val="top"/>
          </w:tcPr>
          <w:p>
            <w:pPr>
              <w:rPr>
                <w:rFonts w:ascii="Arial"/>
                <w:sz w:val="21"/>
              </w:rPr>
            </w:pPr>
          </w:p>
        </w:tc>
        <w:tc>
          <w:tcPr>
            <w:tcW w:w="6811" w:type="dxa"/>
            <w:vAlign w:val="top"/>
          </w:tcPr>
          <w:p>
            <w:pPr>
              <w:pStyle w:val="8"/>
              <w:spacing w:before="33" w:line="232" w:lineRule="auto"/>
              <w:ind w:left="16" w:right="7" w:firstLine="498"/>
              <w:jc w:val="both"/>
            </w:pPr>
            <w:r>
              <w:rPr>
                <w:rFonts w:ascii="黑体" w:hAnsi="黑体" w:eastAsia="黑体" w:cs="黑体"/>
                <w:spacing w:val="1"/>
              </w:rPr>
              <w:t xml:space="preserve">第一百一十条  </w:t>
            </w:r>
            <w:r>
              <w:rPr>
                <w:spacing w:val="1"/>
              </w:rPr>
              <w:t>上市公司可以向证券交易所申请其上市交易</w:t>
            </w:r>
            <w:r>
              <w:rPr>
                <w:spacing w:val="5"/>
              </w:rPr>
              <w:t xml:space="preserve"> </w:t>
            </w:r>
            <w:r>
              <w:rPr>
                <w:spacing w:val="-3"/>
              </w:rPr>
              <w:t>股票的停牌或者复牌， 但不得滥用停牌或者复牌损害投资者的合</w:t>
            </w:r>
            <w:r>
              <w:rPr>
                <w:spacing w:val="17"/>
              </w:rPr>
              <w:t xml:space="preserve"> </w:t>
            </w:r>
            <w:r>
              <w:rPr>
                <w:spacing w:val="-12"/>
              </w:rPr>
              <w:t>法权益。</w:t>
            </w:r>
          </w:p>
          <w:p>
            <w:pPr>
              <w:pStyle w:val="8"/>
              <w:spacing w:before="30" w:line="224" w:lineRule="auto"/>
              <w:ind w:left="9" w:right="4" w:firstLine="513"/>
              <w:jc w:val="both"/>
            </w:pPr>
            <w:r>
              <w:rPr>
                <w:spacing w:val="-4"/>
              </w:rPr>
              <w:t>证券交易所可以按照业务规则的规定， 决定上市交易股票的</w:t>
            </w:r>
            <w:r>
              <w:rPr>
                <w:spacing w:val="15"/>
              </w:rPr>
              <w:t xml:space="preserve"> </w:t>
            </w:r>
            <w:r>
              <w:rPr>
                <w:spacing w:val="-7"/>
              </w:rPr>
              <w:t>停牌或者复牌。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5845" w:type="dxa"/>
            <w:gridSpan w:val="7"/>
            <w:tcBorders>
              <w:bottom w:val="nil"/>
              <w:right w:val="single" w:color="000000" w:sz="2" w:space="0"/>
            </w:tcBorders>
            <w:vAlign w:val="top"/>
          </w:tcPr>
          <w:p>
            <w:pPr>
              <w:pStyle w:val="8"/>
              <w:spacing w:before="31" w:line="204" w:lineRule="auto"/>
              <w:ind w:right="17"/>
              <w:jc w:val="right"/>
            </w:pPr>
            <w:r>
              <w:rPr>
                <w:rFonts w:ascii="黑体" w:hAnsi="黑体" w:eastAsia="黑体" w:cs="黑体"/>
                <w:spacing w:val="9"/>
              </w:rPr>
              <w:t>第一百一十四条</w:t>
            </w:r>
            <w:r>
              <w:rPr>
                <w:rFonts w:ascii="黑体" w:hAnsi="黑体" w:eastAsia="黑体" w:cs="黑体"/>
                <w:spacing w:val="41"/>
              </w:rPr>
              <w:t xml:space="preserve">  </w:t>
            </w:r>
            <w:r>
              <w:rPr>
                <w:spacing w:val="9"/>
              </w:rPr>
              <w:t>因突发性事件而影响证券交易</w:t>
            </w:r>
          </w:p>
        </w:tc>
        <w:tc>
          <w:tcPr>
            <w:tcW w:w="255" w:type="dxa"/>
            <w:gridSpan w:val="2"/>
            <w:tcBorders>
              <w:left w:val="single" w:color="000000" w:sz="2" w:space="0"/>
              <w:bottom w:val="single" w:color="000000" w:sz="2" w:space="0"/>
              <w:right w:val="single" w:color="000000" w:sz="2" w:space="0"/>
            </w:tcBorders>
            <w:shd w:val="clear" w:color="auto" w:fill="D9D9D9"/>
            <w:vAlign w:val="top"/>
          </w:tcPr>
          <w:p>
            <w:pPr>
              <w:pStyle w:val="8"/>
              <w:spacing w:before="31" w:line="204" w:lineRule="auto"/>
              <w:jc w:val="right"/>
            </w:pPr>
            <w:r>
              <w:pict>
                <v:shape id="_x0000_s1072" o:spid="_x0000_s1072" style="position:absolute;left:0pt;margin-left:-0.1pt;margin-top:0.75pt;height:0.15pt;width:12.65pt;mso-position-horizontal-relative:page;mso-position-vertical-relative:page;z-index:251703296;mso-width-relative:page;mso-height-relative:page;" fillcolor="#000000" filled="t" stroked="f" coordsize="252,3" path="m0,0l252,0,252,2,0,2,0,0xe">
                  <v:path/>
                  <v:fill on="t" focussize="0,0"/>
                  <v:stroke on="f"/>
                  <v:imagedata o:title=""/>
                  <o:lock v:ext="edit"/>
                </v:shape>
              </w:pict>
            </w:r>
            <w:r>
              <w:rPr>
                <w:spacing w:val="-30"/>
              </w:rPr>
              <w:t>的</w:t>
            </w:r>
          </w:p>
        </w:tc>
        <w:tc>
          <w:tcPr>
            <w:tcW w:w="996" w:type="dxa"/>
            <w:gridSpan w:val="2"/>
            <w:tcBorders>
              <w:left w:val="single" w:color="000000" w:sz="2" w:space="0"/>
              <w:bottom w:val="single" w:color="000000" w:sz="2" w:space="0"/>
            </w:tcBorders>
            <w:vAlign w:val="top"/>
          </w:tcPr>
          <w:p>
            <w:pPr>
              <w:pStyle w:val="8"/>
              <w:spacing w:before="31" w:line="204" w:lineRule="auto"/>
              <w:jc w:val="right"/>
            </w:pPr>
            <w:r>
              <w:rPr>
                <w:spacing w:val="3"/>
              </w:rPr>
              <w:t>正常进行</w:t>
            </w:r>
          </w:p>
        </w:tc>
        <w:tc>
          <w:tcPr>
            <w:tcW w:w="6811" w:type="dxa"/>
            <w:vMerge w:val="restart"/>
            <w:tcBorders>
              <w:bottom w:val="nil"/>
            </w:tcBorders>
            <w:vAlign w:val="top"/>
          </w:tcPr>
          <w:p>
            <w:pPr>
              <w:pStyle w:val="8"/>
              <w:spacing w:before="36" w:line="235" w:lineRule="auto"/>
              <w:ind w:left="14" w:right="3" w:firstLine="500"/>
            </w:pPr>
            <w:r>
              <w:rPr>
                <w:rFonts w:ascii="黑体" w:hAnsi="黑体" w:eastAsia="黑体" w:cs="黑体"/>
              </w:rPr>
              <w:t xml:space="preserve">第一百一十一条  </w:t>
            </w:r>
            <w:r>
              <w:t>因</w:t>
            </w:r>
            <w:r>
              <w:rPr>
                <w:rFonts w:ascii="黑体" w:hAnsi="黑体" w:eastAsia="黑体" w:cs="黑体"/>
              </w:rPr>
              <w:t>不可抗力、意外事件、重大技术故障、</w:t>
            </w:r>
            <w:r>
              <w:rPr>
                <w:rFonts w:ascii="黑体" w:hAnsi="黑体" w:eastAsia="黑体" w:cs="黑体"/>
                <w:spacing w:val="2"/>
              </w:rPr>
              <w:t xml:space="preserve"> </w:t>
            </w:r>
            <w:r>
              <w:rPr>
                <w:rFonts w:ascii="黑体" w:hAnsi="黑体" w:eastAsia="黑体" w:cs="黑体"/>
                <w:spacing w:val="-2"/>
              </w:rPr>
              <w:t>重大人为差错等</w:t>
            </w:r>
            <w:r>
              <w:rPr>
                <w:spacing w:val="-2"/>
              </w:rPr>
              <w:t>突发性事件而影响证券交易正常进</w:t>
            </w:r>
            <w:r>
              <w:rPr>
                <w:spacing w:val="-3"/>
              </w:rPr>
              <w:t xml:space="preserve">行时， </w:t>
            </w:r>
            <w:r>
              <w:rPr>
                <w:rFonts w:ascii="黑体" w:hAnsi="黑体" w:eastAsia="黑体" w:cs="黑体"/>
                <w:spacing w:val="-3"/>
              </w:rPr>
              <w:t>为维护</w:t>
            </w:r>
            <w:r>
              <w:rPr>
                <w:rFonts w:ascii="黑体" w:hAnsi="黑体" w:eastAsia="黑体" w:cs="黑体"/>
              </w:rPr>
              <w:t xml:space="preserve"> </w:t>
            </w:r>
            <w:r>
              <w:rPr>
                <w:rFonts w:ascii="黑体" w:hAnsi="黑体" w:eastAsia="黑体" w:cs="黑体"/>
                <w:spacing w:val="-2"/>
              </w:rPr>
              <w:t xml:space="preserve">证券交易正常秩序和市场公平， </w:t>
            </w:r>
            <w:r>
              <w:rPr>
                <w:spacing w:val="-2"/>
              </w:rPr>
              <w:t>证券交易所可以</w:t>
            </w:r>
            <w:r>
              <w:rPr>
                <w:rFonts w:ascii="黑体" w:hAnsi="黑体" w:eastAsia="黑体" w:cs="黑体"/>
                <w:spacing w:val="-2"/>
              </w:rPr>
              <w:t>按</w:t>
            </w:r>
            <w:r>
              <w:rPr>
                <w:rFonts w:ascii="黑体" w:hAnsi="黑体" w:eastAsia="黑体" w:cs="黑体"/>
                <w:spacing w:val="-3"/>
              </w:rPr>
              <w:t>照业务规则</w:t>
            </w:r>
            <w:r>
              <w:rPr>
                <w:spacing w:val="-3"/>
              </w:rPr>
              <w:t>采</w:t>
            </w:r>
            <w:r>
              <w:t xml:space="preserve"> </w:t>
            </w:r>
            <w:r>
              <w:rPr>
                <w:spacing w:val="2"/>
              </w:rPr>
              <w:t>取技术性停牌、临时停市等处置措施</w:t>
            </w:r>
            <w:r>
              <w:rPr>
                <w:rFonts w:ascii="黑体" w:hAnsi="黑体" w:eastAsia="黑体" w:cs="黑体"/>
                <w:spacing w:val="2"/>
              </w:rPr>
              <w:t>，并应当及时向国务</w:t>
            </w:r>
            <w:r>
              <w:rPr>
                <w:rFonts w:ascii="黑体" w:hAnsi="黑体" w:eastAsia="黑体" w:cs="黑体"/>
                <w:spacing w:val="1"/>
              </w:rPr>
              <w:t>院证券</w:t>
            </w:r>
            <w:r>
              <w:rPr>
                <w:rFonts w:ascii="黑体" w:hAnsi="黑体" w:eastAsia="黑体" w:cs="黑体"/>
              </w:rPr>
              <w:t xml:space="preserve"> </w:t>
            </w:r>
            <w:r>
              <w:rPr>
                <w:rFonts w:ascii="黑体" w:hAnsi="黑体" w:eastAsia="黑体" w:cs="黑体"/>
                <w:spacing w:val="-1"/>
              </w:rPr>
              <w:t>监督管理机构报告</w:t>
            </w:r>
            <w:r>
              <w:rPr>
                <w:spacing w:val="-1"/>
              </w:rPr>
              <w:t>。</w:t>
            </w:r>
          </w:p>
          <w:p>
            <w:pPr>
              <w:spacing w:before="25" w:line="236" w:lineRule="auto"/>
              <w:ind w:left="13" w:right="7" w:firstLine="516"/>
              <w:rPr>
                <w:rFonts w:ascii="黑体" w:hAnsi="黑体" w:eastAsia="黑体" w:cs="黑体"/>
                <w:sz w:val="24"/>
                <w:szCs w:val="24"/>
              </w:rPr>
            </w:pPr>
            <w:r>
              <w:rPr>
                <w:rFonts w:ascii="黑体" w:hAnsi="黑体" w:eastAsia="黑体" w:cs="黑体"/>
                <w:spacing w:val="-2"/>
                <w:sz w:val="24"/>
                <w:szCs w:val="24"/>
              </w:rPr>
              <w:t>因前款规定的突发性事件导致证券交易结果出现重大异常，</w:t>
            </w:r>
            <w:r>
              <w:rPr>
                <w:rFonts w:ascii="黑体" w:hAnsi="黑体" w:eastAsia="黑体" w:cs="黑体"/>
                <w:spacing w:val="16"/>
                <w:sz w:val="24"/>
                <w:szCs w:val="24"/>
              </w:rPr>
              <w:t xml:space="preserve"> </w:t>
            </w:r>
            <w:r>
              <w:rPr>
                <w:rFonts w:ascii="黑体" w:hAnsi="黑体" w:eastAsia="黑体" w:cs="黑体"/>
                <w:spacing w:val="2"/>
                <w:sz w:val="24"/>
                <w:szCs w:val="24"/>
              </w:rPr>
              <w:t>按交易结果进行交收将对证券交易正常秩序和市场公平造</w:t>
            </w:r>
            <w:r>
              <w:rPr>
                <w:rFonts w:ascii="黑体" w:hAnsi="黑体" w:eastAsia="黑体" w:cs="黑体"/>
                <w:spacing w:val="1"/>
                <w:sz w:val="24"/>
                <w:szCs w:val="24"/>
              </w:rPr>
              <w:t>成重大</w:t>
            </w:r>
            <w:r>
              <w:rPr>
                <w:rFonts w:ascii="黑体" w:hAnsi="黑体" w:eastAsia="黑体" w:cs="黑体"/>
                <w:sz w:val="24"/>
                <w:szCs w:val="24"/>
              </w:rPr>
              <w:t xml:space="preserve"> </w:t>
            </w:r>
            <w:r>
              <w:rPr>
                <w:rFonts w:ascii="黑体" w:hAnsi="黑体" w:eastAsia="黑体" w:cs="黑体"/>
                <w:spacing w:val="-2"/>
                <w:sz w:val="24"/>
                <w:szCs w:val="24"/>
              </w:rPr>
              <w:t>影响的， 证券交易所按照业务规则可以采取</w:t>
            </w:r>
            <w:r>
              <w:rPr>
                <w:rFonts w:ascii="黑体" w:hAnsi="黑体" w:eastAsia="黑体" w:cs="黑体"/>
                <w:spacing w:val="-3"/>
                <w:sz w:val="24"/>
                <w:szCs w:val="24"/>
              </w:rPr>
              <w:t>取消交易、通知证券</w:t>
            </w:r>
            <w:r>
              <w:rPr>
                <w:rFonts w:ascii="黑体" w:hAnsi="黑体" w:eastAsia="黑体" w:cs="黑体"/>
                <w:sz w:val="24"/>
                <w:szCs w:val="24"/>
              </w:rPr>
              <w:t xml:space="preserve"> </w:t>
            </w:r>
            <w:r>
              <w:rPr>
                <w:rFonts w:ascii="黑体" w:hAnsi="黑体" w:eastAsia="黑体" w:cs="黑体"/>
                <w:spacing w:val="-2"/>
                <w:sz w:val="24"/>
                <w:szCs w:val="24"/>
              </w:rPr>
              <w:t>登记结算机构暂缓交收等措施， 并应当及时</w:t>
            </w:r>
            <w:r>
              <w:rPr>
                <w:rFonts w:ascii="黑体" w:hAnsi="黑体" w:eastAsia="黑体" w:cs="黑体"/>
                <w:spacing w:val="-3"/>
                <w:sz w:val="24"/>
                <w:szCs w:val="24"/>
              </w:rPr>
              <w:t>向国务院证券监督管</w:t>
            </w:r>
            <w:r>
              <w:rPr>
                <w:rFonts w:ascii="黑体" w:hAnsi="黑体" w:eastAsia="黑体" w:cs="黑体"/>
                <w:sz w:val="24"/>
                <w:szCs w:val="24"/>
              </w:rPr>
              <w:t xml:space="preserve"> </w:t>
            </w:r>
            <w:r>
              <w:rPr>
                <w:rFonts w:ascii="黑体" w:hAnsi="黑体" w:eastAsia="黑体" w:cs="黑体"/>
                <w:spacing w:val="-4"/>
                <w:sz w:val="24"/>
                <w:szCs w:val="24"/>
              </w:rPr>
              <w:t>理机构报告并公告。</w:t>
            </w:r>
          </w:p>
          <w:p>
            <w:pPr>
              <w:spacing w:before="19" w:line="223" w:lineRule="auto"/>
              <w:ind w:left="29" w:right="7" w:firstLine="484"/>
              <w:rPr>
                <w:rFonts w:ascii="黑体" w:hAnsi="黑体" w:eastAsia="黑体" w:cs="黑体"/>
                <w:sz w:val="24"/>
                <w:szCs w:val="24"/>
              </w:rPr>
            </w:pPr>
            <w:r>
              <w:rPr>
                <w:rFonts w:ascii="黑体" w:hAnsi="黑体" w:eastAsia="黑体" w:cs="黑体"/>
                <w:spacing w:val="1"/>
                <w:sz w:val="24"/>
                <w:szCs w:val="24"/>
              </w:rPr>
              <w:t>证券交易所对其依照本条规定采取措施造成的损失，不承担</w:t>
            </w:r>
            <w:r>
              <w:rPr>
                <w:rFonts w:ascii="黑体" w:hAnsi="黑体" w:eastAsia="黑体" w:cs="黑体"/>
                <w:spacing w:val="7"/>
                <w:sz w:val="24"/>
                <w:szCs w:val="24"/>
              </w:rPr>
              <w:t xml:space="preserve"> </w:t>
            </w:r>
            <w:r>
              <w:rPr>
                <w:rFonts w:ascii="黑体" w:hAnsi="黑体" w:eastAsia="黑体" w:cs="黑体"/>
                <w:spacing w:val="-3"/>
                <w:sz w:val="24"/>
                <w:szCs w:val="24"/>
              </w:rPr>
              <w:t>民事赔偿责任，但存在重大过错的除外。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29" w:type="dxa"/>
            <w:gridSpan w:val="5"/>
            <w:tcBorders>
              <w:top w:val="nil"/>
              <w:bottom w:val="nil"/>
              <w:right w:val="single" w:color="000000" w:sz="2" w:space="0"/>
            </w:tcBorders>
            <w:vAlign w:val="top"/>
          </w:tcPr>
          <w:p>
            <w:pPr>
              <w:pStyle w:val="8"/>
              <w:spacing w:before="29" w:line="202" w:lineRule="auto"/>
              <w:ind w:left="36"/>
            </w:pPr>
            <w:r>
              <w:rPr>
                <w:spacing w:val="2"/>
              </w:rPr>
              <w:t>时，证券交易所可以采取技术性停牌</w:t>
            </w:r>
          </w:p>
        </w:tc>
        <w:tc>
          <w:tcPr>
            <w:tcW w:w="3167" w:type="dxa"/>
            <w:gridSpan w:val="6"/>
            <w:tcBorders>
              <w:top w:val="single" w:color="000000" w:sz="2" w:space="0"/>
              <w:left w:val="single" w:color="000000" w:sz="2" w:space="0"/>
              <w:bottom w:val="single" w:color="000000" w:sz="2" w:space="0"/>
            </w:tcBorders>
            <w:shd w:val="clear" w:color="auto" w:fill="D9D9D9"/>
            <w:vAlign w:val="top"/>
          </w:tcPr>
          <w:p>
            <w:pPr>
              <w:pStyle w:val="8"/>
              <w:spacing w:before="29" w:line="202" w:lineRule="auto"/>
              <w:jc w:val="right"/>
            </w:pPr>
            <w:r>
              <w:rPr>
                <w:spacing w:val="1"/>
              </w:rPr>
              <w:t>的措施；因不可抗力的突发性</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002" w:type="dxa"/>
            <w:gridSpan w:val="2"/>
            <w:tcBorders>
              <w:top w:val="single" w:color="000000" w:sz="2" w:space="0"/>
              <w:bottom w:val="single" w:color="000000" w:sz="2" w:space="0"/>
              <w:right w:val="single" w:color="000000" w:sz="2" w:space="0"/>
            </w:tcBorders>
            <w:shd w:val="clear" w:color="auto" w:fill="D9D9D9"/>
            <w:vAlign w:val="top"/>
          </w:tcPr>
          <w:p>
            <w:pPr>
              <w:pStyle w:val="8"/>
              <w:spacing w:before="34" w:line="198" w:lineRule="auto"/>
              <w:ind w:left="23"/>
            </w:pPr>
            <w:r>
              <w:rPr>
                <w:spacing w:val="-1"/>
              </w:rPr>
              <w:t>事件或者</w:t>
            </w:r>
          </w:p>
        </w:tc>
        <w:tc>
          <w:tcPr>
            <w:tcW w:w="1706" w:type="dxa"/>
            <w:vMerge w:val="restart"/>
            <w:tcBorders>
              <w:top w:val="nil"/>
              <w:left w:val="nil"/>
              <w:bottom w:val="nil"/>
              <w:right w:val="nil"/>
            </w:tcBorders>
            <w:vAlign w:val="top"/>
          </w:tcPr>
          <w:p>
            <w:pPr>
              <w:pStyle w:val="8"/>
              <w:spacing w:before="34" w:line="217" w:lineRule="auto"/>
              <w:ind w:left="8"/>
            </w:pPr>
            <w:r>
              <w:t>为维护证券交易</w:t>
            </w:r>
          </w:p>
        </w:tc>
        <w:tc>
          <w:tcPr>
            <w:tcW w:w="3178" w:type="dxa"/>
            <w:gridSpan w:val="5"/>
            <w:vMerge w:val="restart"/>
            <w:tcBorders>
              <w:top w:val="nil"/>
              <w:left w:val="nil"/>
              <w:bottom w:val="nil"/>
              <w:right w:val="nil"/>
            </w:tcBorders>
            <w:vAlign w:val="top"/>
          </w:tcPr>
          <w:p>
            <w:pPr>
              <w:pStyle w:val="8"/>
              <w:spacing w:before="4" w:line="236" w:lineRule="auto"/>
            </w:pPr>
            <w:r>
              <w:rPr>
                <w:position w:val="-7"/>
              </w:rPr>
              <w:drawing>
                <wp:inline distT="0" distB="0" distL="0" distR="0">
                  <wp:extent cx="2540" cy="194945"/>
                  <wp:effectExtent l="0" t="0" r="0" b="0"/>
                  <wp:docPr id="460" name="IM 460"/>
                  <wp:cNvGraphicFramePr/>
                  <a:graphic xmlns:a="http://schemas.openxmlformats.org/drawingml/2006/main">
                    <a:graphicData uri="http://schemas.openxmlformats.org/drawingml/2006/picture">
                      <pic:pic xmlns:pic="http://schemas.openxmlformats.org/drawingml/2006/picture">
                        <pic:nvPicPr>
                          <pic:cNvPr id="460" name="IM 460"/>
                          <pic:cNvPicPr/>
                        </pic:nvPicPr>
                        <pic:blipFill>
                          <a:blip r:embed="rId76"/>
                          <a:stretch>
                            <a:fillRect/>
                          </a:stretch>
                        </pic:blipFill>
                        <pic:spPr>
                          <a:xfrm>
                            <a:off x="0" y="0"/>
                            <a:ext cx="3044" cy="195072"/>
                          </a:xfrm>
                          <a:prstGeom prst="rect">
                            <a:avLst/>
                          </a:prstGeom>
                        </pic:spPr>
                      </pic:pic>
                    </a:graphicData>
                  </a:graphic>
                </wp:inline>
              </w:drawing>
            </w:r>
            <w:r>
              <w:rPr>
                <w:spacing w:val="-6"/>
                <w:u w:val="single" w:color="auto"/>
                <w:shd w:val="clear" w:fill="D9D9D9"/>
              </w:rPr>
              <w:t>的</w:t>
            </w:r>
            <w:r>
              <w:rPr>
                <w:position w:val="-7"/>
              </w:rPr>
              <w:drawing>
                <wp:inline distT="0" distB="0" distL="0" distR="0">
                  <wp:extent cx="2540" cy="194945"/>
                  <wp:effectExtent l="0" t="0" r="0" b="0"/>
                  <wp:docPr id="462" name="IM 462"/>
                  <wp:cNvGraphicFramePr/>
                  <a:graphic xmlns:a="http://schemas.openxmlformats.org/drawingml/2006/main">
                    <a:graphicData uri="http://schemas.openxmlformats.org/drawingml/2006/picture">
                      <pic:pic xmlns:pic="http://schemas.openxmlformats.org/drawingml/2006/picture">
                        <pic:nvPicPr>
                          <pic:cNvPr id="462" name="IM 462"/>
                          <pic:cNvPicPr/>
                        </pic:nvPicPr>
                        <pic:blipFill>
                          <a:blip r:embed="rId76"/>
                          <a:stretch>
                            <a:fillRect/>
                          </a:stretch>
                        </pic:blipFill>
                        <pic:spPr>
                          <a:xfrm>
                            <a:off x="0" y="0"/>
                            <a:ext cx="3044" cy="195072"/>
                          </a:xfrm>
                          <a:prstGeom prst="rect">
                            <a:avLst/>
                          </a:prstGeom>
                        </pic:spPr>
                      </pic:pic>
                    </a:graphicData>
                  </a:graphic>
                </wp:inline>
              </w:drawing>
            </w:r>
            <w:r>
              <w:rPr>
                <w:spacing w:val="-6"/>
              </w:rPr>
              <w:t>正常秩序， 证券交易所可以</w:t>
            </w:r>
          </w:p>
        </w:tc>
        <w:tc>
          <w:tcPr>
            <w:tcW w:w="488"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34" w:line="198" w:lineRule="auto"/>
              <w:jc w:val="right"/>
            </w:pPr>
            <w:r>
              <w:rPr>
                <w:spacing w:val="-4"/>
              </w:rPr>
              <w:t>决定</w:t>
            </w:r>
          </w:p>
        </w:tc>
        <w:tc>
          <w:tcPr>
            <w:tcW w:w="722" w:type="dxa"/>
            <w:vMerge w:val="restart"/>
            <w:tcBorders>
              <w:top w:val="single" w:color="000000" w:sz="2" w:space="0"/>
              <w:left w:val="nil"/>
              <w:bottom w:val="nil"/>
            </w:tcBorders>
            <w:vAlign w:val="top"/>
          </w:tcPr>
          <w:p>
            <w:pPr>
              <w:pStyle w:val="8"/>
              <w:spacing w:before="34" w:line="218" w:lineRule="auto"/>
              <w:jc w:val="right"/>
            </w:pPr>
            <w:r>
              <w:rPr>
                <w:spacing w:val="-9"/>
              </w:rPr>
              <w:t>临时停</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20" w:type="dxa"/>
            <w:vMerge w:val="restart"/>
            <w:tcBorders>
              <w:top w:val="single" w:color="000000" w:sz="2" w:space="0"/>
              <w:bottom w:val="nil"/>
              <w:right w:val="nil"/>
            </w:tcBorders>
            <w:vAlign w:val="top"/>
          </w:tcPr>
          <w:p>
            <w:pPr>
              <w:pStyle w:val="8"/>
              <w:spacing w:before="43" w:line="217" w:lineRule="auto"/>
              <w:ind w:left="23"/>
            </w:pPr>
            <w:r>
              <w:rPr>
                <w:spacing w:val="-18"/>
              </w:rPr>
              <w:t>市。</w:t>
            </w:r>
          </w:p>
        </w:tc>
        <w:tc>
          <w:tcPr>
            <w:tcW w:w="482" w:type="dxa"/>
            <w:tcBorders>
              <w:top w:val="single" w:color="000000" w:sz="2" w:space="0"/>
              <w:left w:val="nil"/>
              <w:bottom w:val="single" w:color="000000" w:sz="2" w:space="0"/>
              <w:right w:val="nil"/>
            </w:tcBorders>
            <w:vAlign w:val="top"/>
          </w:tcPr>
          <w:p>
            <w:pPr>
              <w:rPr>
                <w:rFonts w:ascii="Arial"/>
                <w:sz w:val="21"/>
              </w:rPr>
            </w:pPr>
          </w:p>
        </w:tc>
        <w:tc>
          <w:tcPr>
            <w:tcW w:w="1706" w:type="dxa"/>
            <w:vMerge w:val="continue"/>
            <w:tcBorders>
              <w:top w:val="nil"/>
              <w:left w:val="nil"/>
              <w:bottom w:val="single" w:color="000000" w:sz="2" w:space="0"/>
              <w:right w:val="nil"/>
            </w:tcBorders>
            <w:vAlign w:val="top"/>
          </w:tcPr>
          <w:p>
            <w:pPr>
              <w:rPr>
                <w:rFonts w:ascii="Arial"/>
                <w:sz w:val="21"/>
              </w:rPr>
            </w:pPr>
          </w:p>
        </w:tc>
        <w:tc>
          <w:tcPr>
            <w:tcW w:w="3178" w:type="dxa"/>
            <w:gridSpan w:val="5"/>
            <w:vMerge w:val="continue"/>
            <w:tcBorders>
              <w:top w:val="nil"/>
              <w:left w:val="nil"/>
              <w:bottom w:val="single" w:color="000000" w:sz="2" w:space="0"/>
              <w:right w:val="nil"/>
            </w:tcBorders>
            <w:vAlign w:val="top"/>
          </w:tcPr>
          <w:p>
            <w:pPr>
              <w:rPr>
                <w:rFonts w:ascii="Arial"/>
                <w:sz w:val="21"/>
              </w:rPr>
            </w:pPr>
          </w:p>
        </w:tc>
        <w:tc>
          <w:tcPr>
            <w:tcW w:w="488" w:type="dxa"/>
            <w:gridSpan w:val="2"/>
            <w:tcBorders>
              <w:top w:val="single" w:color="000000" w:sz="2" w:space="0"/>
              <w:left w:val="nil"/>
              <w:bottom w:val="single" w:color="000000" w:sz="2" w:space="0"/>
              <w:right w:val="nil"/>
            </w:tcBorders>
            <w:vAlign w:val="top"/>
          </w:tcPr>
          <w:p>
            <w:pPr>
              <w:rPr>
                <w:rFonts w:ascii="Arial"/>
                <w:sz w:val="21"/>
              </w:rPr>
            </w:pPr>
          </w:p>
        </w:tc>
        <w:tc>
          <w:tcPr>
            <w:tcW w:w="722" w:type="dxa"/>
            <w:vMerge w:val="continue"/>
            <w:tcBorders>
              <w:top w:val="nil"/>
              <w:left w:val="nil"/>
              <w:bottom w:val="single" w:color="000000" w:sz="2" w:space="0"/>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20" w:type="dxa"/>
            <w:vMerge w:val="continue"/>
            <w:tcBorders>
              <w:top w:val="nil"/>
              <w:bottom w:val="single" w:color="000000" w:sz="2" w:space="0"/>
              <w:right w:val="nil"/>
            </w:tcBorders>
            <w:vAlign w:val="top"/>
          </w:tcPr>
          <w:p>
            <w:pPr>
              <w:rPr>
                <w:rFonts w:ascii="Arial"/>
                <w:sz w:val="21"/>
              </w:rPr>
            </w:pPr>
          </w:p>
        </w:tc>
        <w:tc>
          <w:tcPr>
            <w:tcW w:w="6576" w:type="dxa"/>
            <w:gridSpan w:val="10"/>
            <w:tcBorders>
              <w:top w:val="single" w:color="000000" w:sz="2" w:space="0"/>
              <w:left w:val="single" w:color="000000" w:sz="2" w:space="0"/>
              <w:bottom w:val="single" w:color="000000" w:sz="2" w:space="0"/>
            </w:tcBorders>
            <w:shd w:val="clear" w:color="auto" w:fill="D9D9D9"/>
            <w:vAlign w:val="top"/>
          </w:tcPr>
          <w:p>
            <w:pPr>
              <w:pStyle w:val="8"/>
              <w:spacing w:before="34" w:line="198" w:lineRule="auto"/>
              <w:jc w:val="right"/>
            </w:pPr>
            <w:r>
              <w:rPr>
                <w:spacing w:val="-2"/>
              </w:rPr>
              <w:t>证券交易所采取技术性停牌或者决定临时停市， 必须及时报告</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2902" w:type="dxa"/>
            <w:gridSpan w:val="4"/>
            <w:tcBorders>
              <w:top w:val="single" w:color="000000" w:sz="2" w:space="0"/>
              <w:bottom w:val="single" w:color="000000" w:sz="2" w:space="0"/>
              <w:right w:val="single" w:color="000000" w:sz="2" w:space="0"/>
            </w:tcBorders>
            <w:shd w:val="clear" w:color="auto" w:fill="D9D9D9"/>
            <w:vAlign w:val="top"/>
          </w:tcPr>
          <w:p>
            <w:pPr>
              <w:pStyle w:val="8"/>
              <w:spacing w:before="39" w:line="194" w:lineRule="auto"/>
              <w:ind w:left="36"/>
            </w:pPr>
            <w:r>
              <w:rPr>
                <w:spacing w:val="-7"/>
              </w:rPr>
              <w:t>国务院证券监督管理机构。</w:t>
            </w:r>
          </w:p>
        </w:tc>
        <w:tc>
          <w:tcPr>
            <w:tcW w:w="4194" w:type="dxa"/>
            <w:gridSpan w:val="7"/>
            <w:vMerge w:val="restart"/>
            <w:tcBorders>
              <w:top w:val="single" w:color="000000" w:sz="2" w:space="0"/>
              <w:left w:val="nil"/>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8" w:hRule="atLeast"/>
        </w:trPr>
        <w:tc>
          <w:tcPr>
            <w:tcW w:w="2902" w:type="dxa"/>
            <w:gridSpan w:val="4"/>
            <w:tcBorders>
              <w:top w:val="single" w:color="000000" w:sz="2" w:space="0"/>
              <w:right w:val="nil"/>
            </w:tcBorders>
            <w:vAlign w:val="top"/>
          </w:tcPr>
          <w:p>
            <w:pPr>
              <w:rPr>
                <w:rFonts w:ascii="Arial"/>
                <w:sz w:val="21"/>
              </w:rPr>
            </w:pPr>
          </w:p>
        </w:tc>
        <w:tc>
          <w:tcPr>
            <w:tcW w:w="4194" w:type="dxa"/>
            <w:gridSpan w:val="7"/>
            <w:vMerge w:val="continue"/>
            <w:tcBorders>
              <w:top w:val="nil"/>
              <w:left w:val="nil"/>
            </w:tcBorders>
            <w:vAlign w:val="top"/>
          </w:tcPr>
          <w:p>
            <w:pPr>
              <w:rPr>
                <w:rFonts w:ascii="Arial"/>
                <w:sz w:val="21"/>
              </w:rPr>
            </w:pP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7096" w:type="dxa"/>
            <w:gridSpan w:val="11"/>
            <w:tcBorders>
              <w:bottom w:val="single" w:color="000000" w:sz="2" w:space="0"/>
            </w:tcBorders>
            <w:vAlign w:val="top"/>
          </w:tcPr>
          <w:p>
            <w:pPr>
              <w:pStyle w:val="8"/>
              <w:spacing w:before="39" w:line="219" w:lineRule="auto"/>
              <w:ind w:left="31" w:firstLine="481"/>
            </w:pPr>
            <w:r>
              <w:rPr>
                <w:rFonts w:ascii="黑体" w:hAnsi="黑体" w:eastAsia="黑体" w:cs="黑体"/>
                <w:spacing w:val="3"/>
              </w:rPr>
              <w:t xml:space="preserve">第一百一十五条  </w:t>
            </w:r>
            <w:r>
              <w:rPr>
                <w:spacing w:val="3"/>
              </w:rPr>
              <w:t>证券交易所对证券交易实行实时监控，并按</w:t>
            </w:r>
            <w:r>
              <w:rPr>
                <w:spacing w:val="2"/>
              </w:rPr>
              <w:t xml:space="preserve"> </w:t>
            </w:r>
            <w:r>
              <w:rPr>
                <w:spacing w:val="-3"/>
              </w:rPr>
              <w:t>照国务院证券监督管理机构的要求，对异常的交易情况提出报告。</w:t>
            </w:r>
          </w:p>
        </w:tc>
        <w:tc>
          <w:tcPr>
            <w:tcW w:w="6811" w:type="dxa"/>
            <w:vMerge w:val="restart"/>
            <w:tcBorders>
              <w:bottom w:val="nil"/>
            </w:tcBorders>
            <w:vAlign w:val="top"/>
          </w:tcPr>
          <w:p>
            <w:pPr>
              <w:pStyle w:val="8"/>
              <w:spacing w:before="39" w:line="233" w:lineRule="auto"/>
              <w:ind w:left="16" w:right="4" w:firstLine="498"/>
              <w:jc w:val="both"/>
            </w:pPr>
            <w:r>
              <w:rPr>
                <w:rFonts w:ascii="黑体" w:hAnsi="黑体" w:eastAsia="黑体" w:cs="黑体"/>
                <w:spacing w:val="-3"/>
              </w:rPr>
              <w:t xml:space="preserve">第一百一十二条  </w:t>
            </w:r>
            <w:r>
              <w:rPr>
                <w:spacing w:val="-3"/>
              </w:rPr>
              <w:t>证券交易所对证券交易实行实时监控， 并</w:t>
            </w:r>
            <w:r>
              <w:t xml:space="preserve"> </w:t>
            </w:r>
            <w:r>
              <w:rPr>
                <w:spacing w:val="2"/>
              </w:rPr>
              <w:t>按照国务院证券监督管理机构的要求，对异常的交易情况</w:t>
            </w:r>
            <w:r>
              <w:rPr>
                <w:spacing w:val="1"/>
              </w:rPr>
              <w:t>提出报</w:t>
            </w:r>
            <w:r>
              <w:t xml:space="preserve"> </w:t>
            </w:r>
            <w:r>
              <w:rPr>
                <w:spacing w:val="-15"/>
              </w:rPr>
              <w:t>告。</w:t>
            </w:r>
          </w:p>
          <w:p>
            <w:pPr>
              <w:pStyle w:val="8"/>
              <w:spacing w:before="24" w:line="230" w:lineRule="auto"/>
              <w:ind w:left="15" w:right="6" w:firstLine="506"/>
              <w:jc w:val="both"/>
            </w:pPr>
            <w:r>
              <w:rPr>
                <w:spacing w:val="1"/>
              </w:rPr>
              <w:t>证券交易所根据需要，可以</w:t>
            </w:r>
            <w:r>
              <w:rPr>
                <w:rFonts w:ascii="黑体" w:hAnsi="黑体" w:eastAsia="黑体" w:cs="黑体"/>
                <w:spacing w:val="1"/>
              </w:rPr>
              <w:t>按照业务规则</w:t>
            </w:r>
            <w:r>
              <w:rPr>
                <w:spacing w:val="1"/>
              </w:rPr>
              <w:t>对出现重大异常交</w:t>
            </w:r>
            <w:r>
              <w:t xml:space="preserve"> </w:t>
            </w:r>
            <w:r>
              <w:rPr>
                <w:spacing w:val="2"/>
              </w:rPr>
              <w:t>易情况的证券账户</w:t>
            </w:r>
            <w:r>
              <w:rPr>
                <w:rFonts w:ascii="黑体" w:hAnsi="黑体" w:eastAsia="黑体" w:cs="黑体"/>
                <w:spacing w:val="2"/>
              </w:rPr>
              <w:t>的投资者</w:t>
            </w:r>
            <w:r>
              <w:rPr>
                <w:spacing w:val="2"/>
              </w:rPr>
              <w:t>限制交易，并及时</w:t>
            </w:r>
            <w:r>
              <w:rPr>
                <w:rFonts w:ascii="黑体" w:hAnsi="黑体" w:eastAsia="黑体" w:cs="黑体"/>
                <w:spacing w:val="2"/>
              </w:rPr>
              <w:t>报告</w:t>
            </w:r>
            <w:r>
              <w:rPr>
                <w:spacing w:val="2"/>
              </w:rPr>
              <w:t>国务</w:t>
            </w:r>
            <w:r>
              <w:rPr>
                <w:spacing w:val="1"/>
              </w:rPr>
              <w:t>院证券监</w:t>
            </w:r>
            <w:r>
              <w:t xml:space="preserve"> </w:t>
            </w:r>
            <w:r>
              <w:rPr>
                <w:spacing w:val="-9"/>
              </w:rPr>
              <w:t>督管理机构。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20" w:type="dxa"/>
            <w:tcBorders>
              <w:top w:val="nil"/>
              <w:bottom w:val="single" w:color="000000" w:sz="2" w:space="0"/>
              <w:right w:val="single" w:color="000000" w:sz="2" w:space="0"/>
            </w:tcBorders>
            <w:vAlign w:val="top"/>
          </w:tcPr>
          <w:p>
            <w:pPr>
              <w:rPr>
                <w:rFonts w:ascii="Arial"/>
                <w:sz w:val="21"/>
              </w:rPr>
            </w:pPr>
          </w:p>
        </w:tc>
        <w:tc>
          <w:tcPr>
            <w:tcW w:w="6576" w:type="dxa"/>
            <w:gridSpan w:val="10"/>
            <w:tcBorders>
              <w:top w:val="single" w:color="000000" w:sz="2" w:space="0"/>
              <w:left w:val="single" w:color="000000" w:sz="2" w:space="0"/>
              <w:bottom w:val="single" w:color="000000" w:sz="2" w:space="0"/>
            </w:tcBorders>
            <w:shd w:val="clear" w:color="auto" w:fill="D9D9D9"/>
            <w:vAlign w:val="top"/>
          </w:tcPr>
          <w:p>
            <w:pPr>
              <w:pStyle w:val="8"/>
              <w:spacing w:before="38" w:line="195" w:lineRule="auto"/>
              <w:jc w:val="right"/>
            </w:pPr>
            <w:r>
              <w:rPr>
                <w:spacing w:val="3"/>
              </w:rPr>
              <w:t>证券交易所应当对上市公司及相关信息披露义务人</w:t>
            </w:r>
            <w:r>
              <w:rPr>
                <w:spacing w:val="2"/>
              </w:rPr>
              <w:t>披露信息进</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4821" w:type="dxa"/>
            <w:gridSpan w:val="6"/>
            <w:tcBorders>
              <w:top w:val="single" w:color="000000" w:sz="2" w:space="0"/>
              <w:bottom w:val="single" w:color="000000" w:sz="2" w:space="0"/>
              <w:right w:val="single" w:color="000000" w:sz="2" w:space="0"/>
            </w:tcBorders>
            <w:shd w:val="clear" w:color="auto" w:fill="D9D9D9"/>
            <w:vAlign w:val="top"/>
          </w:tcPr>
          <w:p>
            <w:pPr>
              <w:pStyle w:val="8"/>
              <w:spacing w:before="40" w:line="194" w:lineRule="auto"/>
              <w:ind w:left="15"/>
            </w:pPr>
            <w:r>
              <w:rPr>
                <w:spacing w:val="-3"/>
              </w:rPr>
              <w:t>行监督，督促其依法及时、准确地披露信息。</w:t>
            </w:r>
          </w:p>
        </w:tc>
        <w:tc>
          <w:tcPr>
            <w:tcW w:w="2275" w:type="dxa"/>
            <w:gridSpan w:val="5"/>
            <w:tcBorders>
              <w:top w:val="single" w:color="000000" w:sz="2" w:space="0"/>
              <w:left w:val="single" w:color="000000" w:sz="2" w:space="0"/>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096" w:type="dxa"/>
            <w:gridSpan w:val="11"/>
            <w:tcBorders>
              <w:top w:val="single" w:color="000000" w:sz="2" w:space="0"/>
            </w:tcBorders>
            <w:vAlign w:val="top"/>
          </w:tcPr>
          <w:p>
            <w:pPr>
              <w:pStyle w:val="8"/>
              <w:spacing w:before="47" w:line="224" w:lineRule="auto"/>
              <w:ind w:left="24" w:firstLine="495"/>
            </w:pPr>
            <w:r>
              <w:rPr>
                <w:spacing w:val="3"/>
              </w:rPr>
              <w:t>证券交易</w:t>
            </w:r>
            <w:r>
              <w:rPr>
                <w:spacing w:val="3"/>
                <w:u w:val="single" w:color="auto"/>
              </w:rPr>
              <w:t>所根</w:t>
            </w:r>
            <w:r>
              <w:rPr>
                <w:spacing w:val="3"/>
              </w:rPr>
              <w:t>据需要，可以对出现重</w:t>
            </w:r>
            <w:r>
              <w:rPr>
                <w:spacing w:val="3"/>
                <w:u w:val="single" w:color="auto"/>
              </w:rPr>
              <w:t>大异常</w:t>
            </w:r>
            <w:r>
              <w:rPr>
                <w:spacing w:val="3"/>
              </w:rPr>
              <w:t>交易情况的证</w:t>
            </w:r>
            <w:r>
              <w:rPr>
                <w:spacing w:val="2"/>
              </w:rPr>
              <w:t>券账</w:t>
            </w:r>
            <w:r>
              <w:t xml:space="preserve"> </w:t>
            </w:r>
            <w:r>
              <w:rPr>
                <w:spacing w:val="-1"/>
              </w:rPr>
              <w:t>户限制交易，并</w:t>
            </w:r>
            <w:r>
              <w:rPr>
                <w:position w:val="-7"/>
              </w:rPr>
              <w:drawing>
                <wp:inline distT="0" distB="0" distL="0" distR="0">
                  <wp:extent cx="1270" cy="193675"/>
                  <wp:effectExtent l="0" t="0" r="0" b="0"/>
                  <wp:docPr id="464" name="IM 464"/>
                  <wp:cNvGraphicFramePr/>
                  <a:graphic xmlns:a="http://schemas.openxmlformats.org/drawingml/2006/main">
                    <a:graphicData uri="http://schemas.openxmlformats.org/drawingml/2006/picture">
                      <pic:pic xmlns:pic="http://schemas.openxmlformats.org/drawingml/2006/picture">
                        <pic:nvPicPr>
                          <pic:cNvPr id="464" name="IM 464"/>
                          <pic:cNvPicPr/>
                        </pic:nvPicPr>
                        <pic:blipFill>
                          <a:blip r:embed="rId76"/>
                          <a:stretch>
                            <a:fillRect/>
                          </a:stretch>
                        </pic:blipFill>
                        <pic:spPr>
                          <a:xfrm>
                            <a:off x="0" y="0"/>
                            <a:ext cx="1681" cy="193815"/>
                          </a:xfrm>
                          <a:prstGeom prst="rect">
                            <a:avLst/>
                          </a:prstGeom>
                        </pic:spPr>
                      </pic:pic>
                    </a:graphicData>
                  </a:graphic>
                </wp:inline>
              </w:drawing>
            </w:r>
            <w:r>
              <w:rPr>
                <w:spacing w:val="-1"/>
                <w:u w:val="single" w:color="auto"/>
                <w:shd w:val="clear" w:fill="D9D9D9"/>
              </w:rPr>
              <w:t>报</w:t>
            </w:r>
            <w:r>
              <w:rPr>
                <w:position w:val="-6"/>
              </w:rPr>
              <w:drawing>
                <wp:inline distT="0" distB="0" distL="0" distR="0">
                  <wp:extent cx="1270" cy="192405"/>
                  <wp:effectExtent l="0" t="0" r="0" b="0"/>
                  <wp:docPr id="466" name="IM 466"/>
                  <wp:cNvGraphicFramePr/>
                  <a:graphic xmlns:a="http://schemas.openxmlformats.org/drawingml/2006/main">
                    <a:graphicData uri="http://schemas.openxmlformats.org/drawingml/2006/picture">
                      <pic:pic xmlns:pic="http://schemas.openxmlformats.org/drawingml/2006/picture">
                        <pic:nvPicPr>
                          <pic:cNvPr id="466" name="IM 466"/>
                          <pic:cNvPicPr/>
                        </pic:nvPicPr>
                        <pic:blipFill>
                          <a:blip r:embed="rId94"/>
                          <a:stretch>
                            <a:fillRect/>
                          </a:stretch>
                        </pic:blipFill>
                        <pic:spPr>
                          <a:xfrm>
                            <a:off x="0" y="0"/>
                            <a:ext cx="1681" cy="192426"/>
                          </a:xfrm>
                          <a:prstGeom prst="rect">
                            <a:avLst/>
                          </a:prstGeom>
                        </pic:spPr>
                      </pic:pic>
                    </a:graphicData>
                  </a:graphic>
                </wp:inline>
              </w:drawing>
            </w:r>
            <w:r>
              <w:rPr>
                <w:spacing w:val="-1"/>
              </w:rPr>
              <w:t>国务院证券监督管理机构</w:t>
            </w:r>
            <w:r>
              <w:rPr>
                <w:position w:val="-7"/>
              </w:rPr>
              <w:drawing>
                <wp:inline distT="0" distB="0" distL="0" distR="0">
                  <wp:extent cx="1270" cy="193675"/>
                  <wp:effectExtent l="0" t="0" r="0" b="0"/>
                  <wp:docPr id="468" name="IM 468"/>
                  <wp:cNvGraphicFramePr/>
                  <a:graphic xmlns:a="http://schemas.openxmlformats.org/drawingml/2006/main">
                    <a:graphicData uri="http://schemas.openxmlformats.org/drawingml/2006/picture">
                      <pic:pic xmlns:pic="http://schemas.openxmlformats.org/drawingml/2006/picture">
                        <pic:nvPicPr>
                          <pic:cNvPr id="468" name="IM 468"/>
                          <pic:cNvPicPr/>
                        </pic:nvPicPr>
                        <pic:blipFill>
                          <a:blip r:embed="rId76"/>
                          <a:stretch>
                            <a:fillRect/>
                          </a:stretch>
                        </pic:blipFill>
                        <pic:spPr>
                          <a:xfrm>
                            <a:off x="0" y="0"/>
                            <a:ext cx="1681" cy="193815"/>
                          </a:xfrm>
                          <a:prstGeom prst="rect">
                            <a:avLst/>
                          </a:prstGeom>
                        </pic:spPr>
                      </pic:pic>
                    </a:graphicData>
                  </a:graphic>
                </wp:inline>
              </w:drawing>
            </w:r>
            <w:r>
              <w:rPr>
                <w:spacing w:val="-2"/>
                <w:u w:val="single" w:color="auto"/>
                <w:shd w:val="clear" w:fill="D9D9D9"/>
              </w:rPr>
              <w:t>备案</w:t>
            </w:r>
            <w:r>
              <w:rPr>
                <w:position w:val="-7"/>
              </w:rPr>
              <w:drawing>
                <wp:inline distT="0" distB="0" distL="0" distR="0">
                  <wp:extent cx="1270" cy="193675"/>
                  <wp:effectExtent l="0" t="0" r="0" b="0"/>
                  <wp:docPr id="470" name="IM 470"/>
                  <wp:cNvGraphicFramePr/>
                  <a:graphic xmlns:a="http://schemas.openxmlformats.org/drawingml/2006/main">
                    <a:graphicData uri="http://schemas.openxmlformats.org/drawingml/2006/picture">
                      <pic:pic xmlns:pic="http://schemas.openxmlformats.org/drawingml/2006/picture">
                        <pic:nvPicPr>
                          <pic:cNvPr id="470" name="IM 470"/>
                          <pic:cNvPicPr/>
                        </pic:nvPicPr>
                        <pic:blipFill>
                          <a:blip r:embed="rId76"/>
                          <a:stretch>
                            <a:fillRect/>
                          </a:stretch>
                        </pic:blipFill>
                        <pic:spPr>
                          <a:xfrm>
                            <a:off x="0" y="0"/>
                            <a:ext cx="1681" cy="193815"/>
                          </a:xfrm>
                          <a:prstGeom prst="rect">
                            <a:avLst/>
                          </a:prstGeom>
                        </pic:spPr>
                      </pic:pic>
                    </a:graphicData>
                  </a:graphic>
                </wp:inline>
              </w:drawing>
            </w:r>
            <w:r>
              <w:rPr>
                <w:spacing w:val="-2"/>
              </w:rPr>
              <w:t>。</w:t>
            </w:r>
          </w:p>
        </w:tc>
        <w:tc>
          <w:tcPr>
            <w:tcW w:w="6811" w:type="dxa"/>
            <w:vMerge w:val="continue"/>
            <w:tcBorders>
              <w:top w:val="nil"/>
            </w:tcBorders>
            <w:vAlign w:val="top"/>
          </w:tcPr>
          <w:p>
            <w:pPr>
              <w:rPr>
                <w:rFonts w:ascii="Arial"/>
                <w:sz w:val="21"/>
              </w:rPr>
            </w:pPr>
          </w:p>
        </w:tc>
      </w:tr>
    </w:tbl>
    <w:p>
      <w:pPr>
        <w:spacing w:before="238" w:line="133" w:lineRule="exact"/>
        <w:ind w:left="6915"/>
        <w:rPr>
          <w:rFonts w:ascii="Times New Roman" w:hAnsi="Times New Roman" w:eastAsia="Times New Roman" w:cs="Times New Roman"/>
          <w:sz w:val="18"/>
          <w:szCs w:val="18"/>
        </w:rPr>
      </w:pPr>
      <w:r>
        <w:rPr>
          <w:rFonts w:ascii="Times New Roman" w:hAnsi="Times New Roman" w:eastAsia="Times New Roman" w:cs="Times New Roman"/>
          <w:spacing w:val="22"/>
          <w:w w:val="113"/>
          <w:position w:val="1"/>
          <w:sz w:val="18"/>
          <w:szCs w:val="18"/>
        </w:rPr>
        <w:t>;;</w:t>
      </w:r>
    </w:p>
    <w:p>
      <w:pPr>
        <w:spacing w:line="133" w:lineRule="exact"/>
        <w:rPr>
          <w:rFonts w:ascii="Times New Roman" w:hAnsi="Times New Roman" w:eastAsia="Times New Roman" w:cs="Times New Roman"/>
          <w:sz w:val="18"/>
          <w:szCs w:val="18"/>
        </w:rPr>
        <w:sectPr>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9"/>
        <w:gridCol w:w="729"/>
        <w:gridCol w:w="973"/>
        <w:gridCol w:w="493"/>
        <w:gridCol w:w="636"/>
        <w:gridCol w:w="827"/>
        <w:gridCol w:w="971"/>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9" w:hRule="atLeast"/>
        </w:trPr>
        <w:tc>
          <w:tcPr>
            <w:tcW w:w="7098" w:type="dxa"/>
            <w:gridSpan w:val="7"/>
            <w:vAlign w:val="top"/>
          </w:tcPr>
          <w:p>
            <w:pPr>
              <w:rPr>
                <w:rFonts w:ascii="Arial"/>
                <w:sz w:val="21"/>
              </w:rPr>
            </w:pPr>
          </w:p>
        </w:tc>
        <w:tc>
          <w:tcPr>
            <w:tcW w:w="6809" w:type="dxa"/>
            <w:vAlign w:val="top"/>
          </w:tcPr>
          <w:p>
            <w:pPr>
              <w:spacing w:before="39" w:line="236" w:lineRule="auto"/>
              <w:ind w:left="11" w:right="4" w:firstLine="501"/>
              <w:jc w:val="both"/>
              <w:rPr>
                <w:rFonts w:ascii="黑体" w:hAnsi="黑体" w:eastAsia="黑体" w:cs="黑体"/>
                <w:sz w:val="24"/>
                <w:szCs w:val="24"/>
              </w:rPr>
            </w:pPr>
            <w:r>
              <w:rPr>
                <w:rFonts w:ascii="黑体" w:hAnsi="黑体" w:eastAsia="黑体" w:cs="黑体"/>
                <w:spacing w:val="1"/>
                <w:sz w:val="24"/>
                <w:szCs w:val="24"/>
              </w:rPr>
              <w:t>第一百一十三条  证券交易所应当加强对证券交易的风险监</w:t>
            </w:r>
            <w:r>
              <w:rPr>
                <w:rFonts w:ascii="黑体" w:hAnsi="黑体" w:eastAsia="黑体" w:cs="黑体"/>
                <w:spacing w:val="8"/>
                <w:sz w:val="24"/>
                <w:szCs w:val="24"/>
              </w:rPr>
              <w:t xml:space="preserve"> </w:t>
            </w:r>
            <w:r>
              <w:rPr>
                <w:rFonts w:ascii="黑体" w:hAnsi="黑体" w:eastAsia="黑体" w:cs="黑体"/>
                <w:spacing w:val="-6"/>
                <w:sz w:val="24"/>
                <w:szCs w:val="24"/>
              </w:rPr>
              <w:t>测， 出现重大异常波动的， 证券交易所可以按照</w:t>
            </w:r>
            <w:r>
              <w:rPr>
                <w:rFonts w:ascii="黑体" w:hAnsi="黑体" w:eastAsia="黑体" w:cs="黑体"/>
                <w:spacing w:val="-7"/>
                <w:sz w:val="24"/>
                <w:szCs w:val="24"/>
              </w:rPr>
              <w:t>业务规则采取限</w:t>
            </w:r>
            <w:r>
              <w:rPr>
                <w:rFonts w:ascii="黑体" w:hAnsi="黑体" w:eastAsia="黑体" w:cs="黑体"/>
                <w:sz w:val="24"/>
                <w:szCs w:val="24"/>
              </w:rPr>
              <w:t xml:space="preserve"> </w:t>
            </w:r>
            <w:r>
              <w:rPr>
                <w:rFonts w:ascii="黑体" w:hAnsi="黑体" w:eastAsia="黑体" w:cs="黑体"/>
                <w:spacing w:val="-2"/>
                <w:sz w:val="24"/>
                <w:szCs w:val="24"/>
              </w:rPr>
              <w:t>制交易、强制停牌等处置措施， 并向国务院</w:t>
            </w:r>
            <w:r>
              <w:rPr>
                <w:rFonts w:ascii="黑体" w:hAnsi="黑体" w:eastAsia="黑体" w:cs="黑体"/>
                <w:spacing w:val="-3"/>
                <w:sz w:val="24"/>
                <w:szCs w:val="24"/>
              </w:rPr>
              <w:t>证券监督管理机构报</w:t>
            </w:r>
            <w:r>
              <w:rPr>
                <w:rFonts w:ascii="黑体" w:hAnsi="黑体" w:eastAsia="黑体" w:cs="黑体"/>
                <w:sz w:val="24"/>
                <w:szCs w:val="24"/>
              </w:rPr>
              <w:t xml:space="preserve"> </w:t>
            </w:r>
            <w:r>
              <w:rPr>
                <w:rFonts w:ascii="黑体" w:hAnsi="黑体" w:eastAsia="黑体" w:cs="黑体"/>
                <w:spacing w:val="-6"/>
                <w:sz w:val="24"/>
                <w:szCs w:val="24"/>
              </w:rPr>
              <w:t>告；</w:t>
            </w:r>
            <w:r>
              <w:rPr>
                <w:rFonts w:ascii="黑体" w:hAnsi="黑体" w:eastAsia="黑体" w:cs="黑体"/>
                <w:spacing w:val="-13"/>
                <w:sz w:val="24"/>
                <w:szCs w:val="24"/>
              </w:rPr>
              <w:t xml:space="preserve"> </w:t>
            </w:r>
            <w:r>
              <w:rPr>
                <w:rFonts w:ascii="黑体" w:hAnsi="黑体" w:eastAsia="黑体" w:cs="黑体"/>
                <w:spacing w:val="-6"/>
                <w:sz w:val="24"/>
                <w:szCs w:val="24"/>
              </w:rPr>
              <w:t>严重影响证券市场稳定的， 证券交易所可以按照业务规则采</w:t>
            </w:r>
            <w:r>
              <w:rPr>
                <w:rFonts w:ascii="黑体" w:hAnsi="黑体" w:eastAsia="黑体" w:cs="黑体"/>
                <w:sz w:val="24"/>
                <w:szCs w:val="24"/>
              </w:rPr>
              <w:t xml:space="preserve"> </w:t>
            </w:r>
            <w:r>
              <w:rPr>
                <w:rFonts w:ascii="黑体" w:hAnsi="黑体" w:eastAsia="黑体" w:cs="黑体"/>
                <w:spacing w:val="-3"/>
                <w:sz w:val="24"/>
                <w:szCs w:val="24"/>
              </w:rPr>
              <w:t>取临时停市等处置措施并公告。</w:t>
            </w:r>
          </w:p>
          <w:p>
            <w:pPr>
              <w:spacing w:before="23" w:line="226" w:lineRule="auto"/>
              <w:ind w:left="27" w:right="7" w:firstLine="484"/>
              <w:jc w:val="both"/>
              <w:rPr>
                <w:rFonts w:ascii="黑体" w:hAnsi="黑体" w:eastAsia="黑体" w:cs="黑体"/>
                <w:sz w:val="24"/>
                <w:szCs w:val="24"/>
              </w:rPr>
            </w:pPr>
            <w:r>
              <w:rPr>
                <w:rFonts w:ascii="黑体" w:hAnsi="黑体" w:eastAsia="黑体" w:cs="黑体"/>
                <w:spacing w:val="1"/>
                <w:sz w:val="24"/>
                <w:szCs w:val="24"/>
              </w:rPr>
              <w:t>证券交易所对其依照本条规定采取措施造成的损失，不承担</w:t>
            </w:r>
            <w:r>
              <w:rPr>
                <w:rFonts w:ascii="黑体" w:hAnsi="黑体" w:eastAsia="黑体" w:cs="黑体"/>
                <w:spacing w:val="7"/>
                <w:sz w:val="24"/>
                <w:szCs w:val="24"/>
              </w:rPr>
              <w:t xml:space="preserve"> </w:t>
            </w:r>
            <w:r>
              <w:rPr>
                <w:rFonts w:ascii="黑体" w:hAnsi="黑体" w:eastAsia="黑体" w:cs="黑体"/>
                <w:spacing w:val="-3"/>
                <w:sz w:val="24"/>
                <w:szCs w:val="24"/>
              </w:rPr>
              <w:t>民事赔偿责任，但存在重大过错的除外。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7" w:hRule="atLeast"/>
        </w:trPr>
        <w:tc>
          <w:tcPr>
            <w:tcW w:w="7098" w:type="dxa"/>
            <w:gridSpan w:val="7"/>
            <w:vAlign w:val="top"/>
          </w:tcPr>
          <w:p>
            <w:pPr>
              <w:pStyle w:val="8"/>
              <w:spacing w:before="26" w:line="232" w:lineRule="auto"/>
              <w:ind w:left="21" w:firstLine="491"/>
            </w:pPr>
            <w:r>
              <w:rPr>
                <w:rFonts w:ascii="黑体" w:hAnsi="黑体" w:eastAsia="黑体" w:cs="黑体"/>
                <w:spacing w:val="3"/>
              </w:rPr>
              <w:t xml:space="preserve">第一百一十六条  </w:t>
            </w:r>
            <w:r>
              <w:rPr>
                <w:spacing w:val="3"/>
              </w:rPr>
              <w:t>证券交易所应当从其收取的交易费用和会员</w:t>
            </w:r>
            <w:r>
              <w:rPr>
                <w:spacing w:val="2"/>
              </w:rPr>
              <w:t xml:space="preserve"> </w:t>
            </w:r>
            <w:r>
              <w:rPr>
                <w:spacing w:val="3"/>
              </w:rPr>
              <w:t>费、席位费中提取一定比例的金额设立风险基金。风险基金由证券</w:t>
            </w:r>
            <w:r>
              <w:rPr>
                <w:spacing w:val="13"/>
              </w:rPr>
              <w:t xml:space="preserve"> </w:t>
            </w:r>
            <w:r>
              <w:rPr>
                <w:spacing w:val="-7"/>
              </w:rPr>
              <w:t>交易所理事会管理。</w:t>
            </w:r>
          </w:p>
          <w:p>
            <w:pPr>
              <w:pStyle w:val="8"/>
              <w:spacing w:before="30" w:line="228" w:lineRule="auto"/>
              <w:ind w:left="11" w:firstLine="502"/>
            </w:pPr>
            <w:r>
              <w:rPr>
                <w:spacing w:val="1"/>
              </w:rPr>
              <w:t>风险基金提取的具体比例和使用办法，</w:t>
            </w:r>
            <w:r>
              <w:rPr>
                <w:spacing w:val="-60"/>
              </w:rPr>
              <w:t xml:space="preserve"> </w:t>
            </w:r>
            <w:r>
              <w:rPr>
                <w:spacing w:val="1"/>
              </w:rPr>
              <w:t>由国务院证券监督管理</w:t>
            </w:r>
            <w:r>
              <w:t xml:space="preserve"> </w:t>
            </w:r>
            <w:r>
              <w:rPr>
                <w:spacing w:val="-4"/>
              </w:rPr>
              <w:t>机构会同国务院财政部门规定。</w:t>
            </w:r>
          </w:p>
          <w:p>
            <w:pPr>
              <w:pStyle w:val="8"/>
              <w:spacing w:before="27" w:line="228" w:lineRule="auto"/>
              <w:ind w:left="11" w:firstLine="501"/>
            </w:pPr>
            <w:r>
              <w:rPr>
                <w:rFonts w:ascii="黑体" w:hAnsi="黑体" w:eastAsia="黑体" w:cs="黑体"/>
                <w:spacing w:val="3"/>
              </w:rPr>
              <w:t xml:space="preserve">第一百一十七条  </w:t>
            </w:r>
            <w:r>
              <w:rPr>
                <w:spacing w:val="3"/>
              </w:rPr>
              <w:t>证券交易所应当将收存的风险基金存入开户</w:t>
            </w:r>
            <w:r>
              <w:rPr>
                <w:spacing w:val="4"/>
              </w:rPr>
              <w:t xml:space="preserve"> </w:t>
            </w:r>
            <w:r>
              <w:rPr>
                <w:spacing w:val="-4"/>
              </w:rPr>
              <w:t>银行专门账户，不得擅自使用。</w:t>
            </w:r>
          </w:p>
        </w:tc>
        <w:tc>
          <w:tcPr>
            <w:tcW w:w="6809" w:type="dxa"/>
            <w:vAlign w:val="top"/>
          </w:tcPr>
          <w:p>
            <w:pPr>
              <w:pStyle w:val="8"/>
              <w:spacing w:before="26" w:line="232" w:lineRule="auto"/>
              <w:ind w:left="21" w:right="4" w:firstLine="491"/>
            </w:pPr>
            <w:r>
              <w:rPr>
                <w:rFonts w:ascii="黑体" w:hAnsi="黑体" w:eastAsia="黑体" w:cs="黑体"/>
                <w:spacing w:val="1"/>
              </w:rPr>
              <w:t xml:space="preserve">第一百一十四条  </w:t>
            </w:r>
            <w:r>
              <w:rPr>
                <w:spacing w:val="1"/>
              </w:rPr>
              <w:t>证券交易所应当从其收取的交易费用和会</w:t>
            </w:r>
            <w:r>
              <w:rPr>
                <w:spacing w:val="8"/>
              </w:rPr>
              <w:t xml:space="preserve"> </w:t>
            </w:r>
            <w:r>
              <w:rPr>
                <w:spacing w:val="1"/>
              </w:rPr>
              <w:t>员费、席位费中提取一定比例的金额设立风险基金。风险基金由</w:t>
            </w:r>
            <w:r>
              <w:rPr>
                <w:spacing w:val="16"/>
              </w:rPr>
              <w:t xml:space="preserve"> </w:t>
            </w:r>
            <w:r>
              <w:rPr>
                <w:spacing w:val="-6"/>
              </w:rPr>
              <w:t>证券交易所理事会管理。</w:t>
            </w:r>
          </w:p>
          <w:p>
            <w:pPr>
              <w:pStyle w:val="8"/>
              <w:spacing w:before="30" w:line="228" w:lineRule="auto"/>
              <w:ind w:left="16" w:right="7" w:firstLine="497"/>
            </w:pPr>
            <w:r>
              <w:rPr>
                <w:spacing w:val="1"/>
              </w:rPr>
              <w:t>风险基金提取的具体比例和使用办法，由国务院证券监督管</w:t>
            </w:r>
            <w:r>
              <w:rPr>
                <w:spacing w:val="5"/>
              </w:rPr>
              <w:t xml:space="preserve"> </w:t>
            </w:r>
            <w:r>
              <w:rPr>
                <w:spacing w:val="-4"/>
              </w:rPr>
              <w:t>理机构会同国务院财政部门规定。</w:t>
            </w:r>
          </w:p>
          <w:p>
            <w:pPr>
              <w:pStyle w:val="8"/>
              <w:spacing w:before="27" w:line="229" w:lineRule="auto"/>
              <w:ind w:left="18" w:right="59" w:firstLine="501"/>
            </w:pPr>
            <w:r>
              <w:rPr>
                <w:spacing w:val="-1"/>
              </w:rPr>
              <w:t>证券交易所应当将收存的风险基金存入开户银行专门账户，</w:t>
            </w:r>
            <w:r>
              <w:t xml:space="preserve"> </w:t>
            </w:r>
            <w:r>
              <w:rPr>
                <w:spacing w:val="-8"/>
              </w:rPr>
              <w:t>不得擅自使用。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4171" w:type="dxa"/>
            <w:gridSpan w:val="3"/>
            <w:tcBorders>
              <w:bottom w:val="nil"/>
              <w:right w:val="single" w:color="000000" w:sz="2" w:space="0"/>
            </w:tcBorders>
            <w:vAlign w:val="top"/>
          </w:tcPr>
          <w:p>
            <w:pPr>
              <w:pStyle w:val="8"/>
              <w:spacing w:before="19" w:line="206" w:lineRule="auto"/>
              <w:ind w:right="2"/>
              <w:jc w:val="right"/>
            </w:pPr>
            <w:r>
              <w:rPr>
                <w:rFonts w:ascii="黑体" w:hAnsi="黑体" w:eastAsia="黑体" w:cs="黑体"/>
                <w:spacing w:val="2"/>
              </w:rPr>
              <w:t xml:space="preserve">第一百一十八条  </w:t>
            </w:r>
            <w:r>
              <w:rPr>
                <w:spacing w:val="2"/>
              </w:rPr>
              <w:t>证券交易所依照</w:t>
            </w:r>
          </w:p>
        </w:tc>
        <w:tc>
          <w:tcPr>
            <w:tcW w:w="493" w:type="dxa"/>
            <w:tcBorders>
              <w:left w:val="single" w:color="000000" w:sz="2" w:space="0"/>
              <w:bottom w:val="single" w:color="000000" w:sz="2" w:space="0"/>
              <w:right w:val="single" w:color="000000" w:sz="2" w:space="0"/>
            </w:tcBorders>
            <w:shd w:val="clear" w:color="auto" w:fill="D9D9D9"/>
            <w:vAlign w:val="top"/>
          </w:tcPr>
          <w:p>
            <w:pPr>
              <w:pStyle w:val="8"/>
              <w:spacing w:before="20" w:line="205" w:lineRule="auto"/>
              <w:ind w:left="15"/>
            </w:pPr>
            <w:r>
              <w:rPr>
                <w:spacing w:val="-7"/>
              </w:rPr>
              <w:t>证券</w:t>
            </w:r>
          </w:p>
        </w:tc>
        <w:tc>
          <w:tcPr>
            <w:tcW w:w="2434" w:type="dxa"/>
            <w:gridSpan w:val="3"/>
            <w:tcBorders>
              <w:left w:val="single" w:color="000000" w:sz="2" w:space="0"/>
              <w:bottom w:val="nil"/>
            </w:tcBorders>
            <w:vAlign w:val="top"/>
          </w:tcPr>
          <w:p>
            <w:pPr>
              <w:pStyle w:val="8"/>
              <w:spacing w:before="20" w:line="205" w:lineRule="auto"/>
              <w:jc w:val="right"/>
            </w:pPr>
            <w:r>
              <w:t>法律、行政法规制定上</w:t>
            </w:r>
          </w:p>
        </w:tc>
        <w:tc>
          <w:tcPr>
            <w:tcW w:w="6809" w:type="dxa"/>
            <w:vMerge w:val="restart"/>
            <w:tcBorders>
              <w:bottom w:val="nil"/>
            </w:tcBorders>
            <w:vAlign w:val="top"/>
          </w:tcPr>
          <w:p>
            <w:pPr>
              <w:pStyle w:val="8"/>
              <w:spacing w:before="24" w:line="231" w:lineRule="auto"/>
              <w:ind w:left="21" w:right="4" w:firstLine="491"/>
              <w:jc w:val="both"/>
            </w:pPr>
            <w:r>
              <w:rPr>
                <w:rFonts w:ascii="黑体" w:hAnsi="黑体" w:eastAsia="黑体" w:cs="黑体"/>
                <w:spacing w:val="1"/>
              </w:rPr>
              <w:t xml:space="preserve">第一百一十五条  </w:t>
            </w:r>
            <w:r>
              <w:rPr>
                <w:spacing w:val="1"/>
              </w:rPr>
              <w:t>证券交易所依照法律、行政法规和国务院</w:t>
            </w:r>
            <w:r>
              <w:rPr>
                <w:spacing w:val="8"/>
              </w:rPr>
              <w:t xml:space="preserve"> </w:t>
            </w:r>
            <w:r>
              <w:rPr>
                <w:spacing w:val="-3"/>
              </w:rPr>
              <w:t>证券监督管理机构的规定， 制定上市规则、交易规则、会员管理</w:t>
            </w:r>
            <w:r>
              <w:rPr>
                <w:spacing w:val="11"/>
              </w:rPr>
              <w:t xml:space="preserve"> </w:t>
            </w:r>
            <w:r>
              <w:rPr>
                <w:spacing w:val="-2"/>
              </w:rPr>
              <w:t>规则和其他有关业务规则，并报国务院证券</w:t>
            </w:r>
            <w:r>
              <w:rPr>
                <w:spacing w:val="-3"/>
              </w:rPr>
              <w:t>监督管理机构批准。</w:t>
            </w:r>
          </w:p>
          <w:p>
            <w:pPr>
              <w:pStyle w:val="8"/>
              <w:spacing w:before="29" w:line="228" w:lineRule="auto"/>
              <w:ind w:left="15" w:right="6" w:firstLine="476"/>
              <w:jc w:val="both"/>
            </w:pPr>
            <w:r>
              <w:rPr>
                <w:rFonts w:ascii="黑体" w:hAnsi="黑体" w:eastAsia="黑体" w:cs="黑体"/>
                <w:spacing w:val="2"/>
              </w:rPr>
              <w:t>在证券交易所从事证券交易，</w:t>
            </w:r>
            <w:r>
              <w:rPr>
                <w:spacing w:val="2"/>
              </w:rPr>
              <w:t xml:space="preserve">应当遵守证券交易所依法制定 </w:t>
            </w:r>
            <w:r>
              <w:rPr>
                <w:spacing w:val="-3"/>
              </w:rPr>
              <w:t>的业务规则。违反业务规则的， 由证券交易所对给予纪律处分或</w:t>
            </w:r>
            <w:r>
              <w:rPr>
                <w:spacing w:val="16"/>
              </w:rPr>
              <w:t xml:space="preserve"> </w:t>
            </w:r>
            <w:r>
              <w:rPr>
                <w:spacing w:val="-5"/>
              </w:rPr>
              <w:t>者采取其他自律管理措施。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098" w:type="dxa"/>
            <w:gridSpan w:val="7"/>
            <w:tcBorders>
              <w:top w:val="nil"/>
              <w:bottom w:val="single" w:color="000000" w:sz="2" w:space="0"/>
            </w:tcBorders>
            <w:vAlign w:val="top"/>
          </w:tcPr>
          <w:p>
            <w:pPr>
              <w:pStyle w:val="8"/>
              <w:spacing w:before="33" w:line="223" w:lineRule="auto"/>
              <w:ind w:left="16" w:firstLine="7"/>
            </w:pPr>
            <w:r>
              <w:rPr>
                <w:spacing w:val="3"/>
              </w:rPr>
              <w:t>市规则、交易规则、会员管理规则和其他有关规则，并报国务院证</w:t>
            </w:r>
            <w:r>
              <w:rPr>
                <w:spacing w:val="11"/>
              </w:rPr>
              <w:t xml:space="preserve"> </w:t>
            </w:r>
            <w:r>
              <w:rPr>
                <w:spacing w:val="-6"/>
              </w:rPr>
              <w:t>券监督管理机构批准。</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3" w:hRule="atLeast"/>
        </w:trPr>
        <w:tc>
          <w:tcPr>
            <w:tcW w:w="2469" w:type="dxa"/>
            <w:tcBorders>
              <w:top w:val="nil"/>
              <w:bottom w:val="single" w:color="000000" w:sz="2" w:space="0"/>
              <w:right w:val="single" w:color="000000" w:sz="2" w:space="0"/>
            </w:tcBorders>
            <w:vAlign w:val="top"/>
          </w:tcPr>
          <w:p>
            <w:pPr>
              <w:spacing w:before="23" w:line="207" w:lineRule="auto"/>
              <w:ind w:left="513"/>
              <w:rPr>
                <w:rFonts w:ascii="黑体" w:hAnsi="黑体" w:eastAsia="黑体" w:cs="黑体"/>
                <w:sz w:val="24"/>
                <w:szCs w:val="24"/>
              </w:rPr>
            </w:pPr>
            <w:r>
              <w:rPr>
                <w:rFonts w:ascii="黑体" w:hAnsi="黑体" w:eastAsia="黑体" w:cs="黑体"/>
                <w:spacing w:val="2"/>
                <w:sz w:val="24"/>
                <w:szCs w:val="24"/>
              </w:rPr>
              <w:t>第一百二十一条</w:t>
            </w:r>
          </w:p>
        </w:tc>
        <w:tc>
          <w:tcPr>
            <w:tcW w:w="4629" w:type="dxa"/>
            <w:gridSpan w:val="6"/>
            <w:tcBorders>
              <w:top w:val="single" w:color="000000" w:sz="2" w:space="0"/>
              <w:left w:val="single" w:color="000000" w:sz="2" w:space="0"/>
              <w:bottom w:val="single" w:color="000000" w:sz="2" w:space="0"/>
            </w:tcBorders>
            <w:shd w:val="clear" w:color="auto" w:fill="D9D9D9"/>
            <w:vAlign w:val="top"/>
          </w:tcPr>
          <w:p>
            <w:pPr>
              <w:pStyle w:val="8"/>
              <w:spacing w:before="25" w:line="206" w:lineRule="auto"/>
              <w:jc w:val="right"/>
            </w:pPr>
            <w:r>
              <w:rPr>
                <w:spacing w:val="2"/>
              </w:rPr>
              <w:t>在证券交易所内从事证券交易的人员，违反</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198" w:type="dxa"/>
            <w:gridSpan w:val="2"/>
            <w:tcBorders>
              <w:top w:val="single" w:color="000000" w:sz="2" w:space="0"/>
              <w:bottom w:val="single" w:color="000000" w:sz="2" w:space="0"/>
              <w:right w:val="single" w:color="000000" w:sz="2" w:space="0"/>
            </w:tcBorders>
            <w:shd w:val="clear" w:color="auto" w:fill="D9D9D9"/>
            <w:vAlign w:val="top"/>
          </w:tcPr>
          <w:p>
            <w:pPr>
              <w:pStyle w:val="8"/>
              <w:spacing w:before="28" w:line="204" w:lineRule="auto"/>
              <w:ind w:left="23"/>
            </w:pPr>
            <w:r>
              <w:rPr>
                <w:spacing w:val="2"/>
              </w:rPr>
              <w:t>证券交易所有关交易规则的，</w:t>
            </w:r>
          </w:p>
        </w:tc>
        <w:tc>
          <w:tcPr>
            <w:tcW w:w="2929" w:type="dxa"/>
            <w:gridSpan w:val="4"/>
            <w:tcBorders>
              <w:top w:val="single" w:color="000000" w:sz="2" w:space="0"/>
              <w:left w:val="single" w:color="000000" w:sz="2" w:space="0"/>
              <w:bottom w:val="single" w:color="000000" w:sz="2" w:space="0"/>
              <w:right w:val="single" w:color="000000" w:sz="2" w:space="0"/>
            </w:tcBorders>
            <w:vAlign w:val="top"/>
          </w:tcPr>
          <w:p>
            <w:pPr>
              <w:pStyle w:val="8"/>
              <w:spacing w:before="28" w:line="204" w:lineRule="auto"/>
              <w:ind w:left="36"/>
            </w:pPr>
            <w:r>
              <w:t>由证券交易所给予纪律处分</w:t>
            </w:r>
          </w:p>
        </w:tc>
        <w:tc>
          <w:tcPr>
            <w:tcW w:w="971" w:type="dxa"/>
            <w:tcBorders>
              <w:top w:val="single" w:color="000000" w:sz="2" w:space="0"/>
              <w:left w:val="single" w:color="000000" w:sz="2" w:space="0"/>
              <w:bottom w:val="single" w:color="000000" w:sz="2" w:space="0"/>
            </w:tcBorders>
            <w:shd w:val="clear" w:color="auto" w:fill="D9D9D9"/>
            <w:vAlign w:val="top"/>
          </w:tcPr>
          <w:p>
            <w:pPr>
              <w:pStyle w:val="8"/>
              <w:spacing w:before="28" w:line="204" w:lineRule="auto"/>
              <w:ind w:left="18"/>
            </w:pPr>
            <w:r>
              <w:rPr>
                <w:spacing w:val="20"/>
              </w:rPr>
              <w:t>;对情节</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5300" w:type="dxa"/>
            <w:gridSpan w:val="5"/>
            <w:tcBorders>
              <w:top w:val="single" w:color="000000" w:sz="2" w:space="0"/>
              <w:right w:val="single" w:color="000000" w:sz="2" w:space="0"/>
            </w:tcBorders>
            <w:shd w:val="clear" w:color="auto" w:fill="D9D9D9"/>
            <w:vAlign w:val="top"/>
          </w:tcPr>
          <w:p>
            <w:pPr>
              <w:pStyle w:val="8"/>
              <w:spacing w:before="29" w:line="206" w:lineRule="auto"/>
              <w:ind w:left="11"/>
            </w:pPr>
            <w:r>
              <w:rPr>
                <w:spacing w:val="-3"/>
              </w:rPr>
              <w:t>严重的，撤销其资格，禁止其入场进行证券交易。</w:t>
            </w:r>
          </w:p>
        </w:tc>
        <w:tc>
          <w:tcPr>
            <w:tcW w:w="1798" w:type="dxa"/>
            <w:gridSpan w:val="2"/>
            <w:tcBorders>
              <w:top w:val="single" w:color="000000" w:sz="2" w:space="0"/>
              <w:left w:val="single" w:color="000000" w:sz="2" w:space="0"/>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098" w:type="dxa"/>
            <w:gridSpan w:val="7"/>
            <w:vAlign w:val="top"/>
          </w:tcPr>
          <w:p>
            <w:pPr>
              <w:pStyle w:val="8"/>
              <w:spacing w:before="10" w:line="236" w:lineRule="auto"/>
              <w:ind w:left="26" w:firstLine="486"/>
              <w:jc w:val="both"/>
            </w:pPr>
            <w:r>
              <w:rPr>
                <w:rFonts w:ascii="黑体" w:hAnsi="黑体" w:eastAsia="黑体" w:cs="黑体"/>
                <w:spacing w:val="1"/>
              </w:rPr>
              <w:t xml:space="preserve">第一百一十九条  </w:t>
            </w:r>
            <w:r>
              <w:rPr>
                <w:spacing w:val="1"/>
              </w:rPr>
              <w:t>证券交易所的负责人和其他从业人员</w:t>
            </w:r>
            <w:r>
              <w:rPr>
                <w:position w:val="-7"/>
              </w:rPr>
              <w:drawing>
                <wp:inline distT="0" distB="0" distL="0" distR="0">
                  <wp:extent cx="1905" cy="194945"/>
                  <wp:effectExtent l="0" t="0" r="0" b="0"/>
                  <wp:docPr id="472" name="IM 472"/>
                  <wp:cNvGraphicFramePr/>
                  <a:graphic xmlns:a="http://schemas.openxmlformats.org/drawingml/2006/main">
                    <a:graphicData uri="http://schemas.openxmlformats.org/drawingml/2006/picture">
                      <pic:pic xmlns:pic="http://schemas.openxmlformats.org/drawingml/2006/picture">
                        <pic:nvPicPr>
                          <pic:cNvPr id="472" name="IM 472"/>
                          <pic:cNvPicPr/>
                        </pic:nvPicPr>
                        <pic:blipFill>
                          <a:blip r:embed="rId84"/>
                          <a:stretch>
                            <a:fillRect/>
                          </a:stretch>
                        </pic:blipFill>
                        <pic:spPr>
                          <a:xfrm>
                            <a:off x="0" y="0"/>
                            <a:ext cx="2418" cy="195071"/>
                          </a:xfrm>
                          <a:prstGeom prst="rect">
                            <a:avLst/>
                          </a:prstGeom>
                        </pic:spPr>
                      </pic:pic>
                    </a:graphicData>
                  </a:graphic>
                </wp:inline>
              </w:drawing>
            </w:r>
            <w:r>
              <w:rPr>
                <w:position w:val="-7"/>
              </w:rPr>
              <w:drawing>
                <wp:inline distT="0" distB="0" distL="0" distR="0">
                  <wp:extent cx="1905" cy="1270"/>
                  <wp:effectExtent l="0" t="0" r="0" b="0"/>
                  <wp:docPr id="474" name="IM 474"/>
                  <wp:cNvGraphicFramePr/>
                  <a:graphic xmlns:a="http://schemas.openxmlformats.org/drawingml/2006/main">
                    <a:graphicData uri="http://schemas.openxmlformats.org/drawingml/2006/picture">
                      <pic:pic xmlns:pic="http://schemas.openxmlformats.org/drawingml/2006/picture">
                        <pic:nvPicPr>
                          <pic:cNvPr id="474" name="IM 474"/>
                          <pic:cNvPicPr/>
                        </pic:nvPicPr>
                        <pic:blipFill>
                          <a:blip r:embed="rId74"/>
                          <a:stretch>
                            <a:fillRect/>
                          </a:stretch>
                        </pic:blipFill>
                        <pic:spPr>
                          <a:xfrm>
                            <a:off x="0" y="0"/>
                            <a:ext cx="2418" cy="1523"/>
                          </a:xfrm>
                          <a:prstGeom prst="rect">
                            <a:avLst/>
                          </a:prstGeom>
                        </pic:spPr>
                      </pic:pic>
                    </a:graphicData>
                  </a:graphic>
                </wp:inline>
              </w:drawing>
            </w:r>
            <w:r>
              <w:rPr>
                <w:spacing w:val="-91"/>
                <w:u w:val="single" w:color="auto"/>
                <w:shd w:val="clear" w:fill="D9D9D9"/>
              </w:rPr>
              <w:t xml:space="preserve"> </w:t>
            </w:r>
            <w:r>
              <w:rPr>
                <w:spacing w:val="1"/>
                <w:u w:val="single" w:color="auto"/>
                <w:shd w:val="clear" w:fill="D9D9D9"/>
              </w:rPr>
              <w:t>在</w:t>
            </w:r>
            <w:r>
              <w:rPr>
                <w:position w:val="-7"/>
              </w:rPr>
              <w:drawing>
                <wp:inline distT="0" distB="0" distL="0" distR="0">
                  <wp:extent cx="1905" cy="194945"/>
                  <wp:effectExtent l="0" t="0" r="0" b="0"/>
                  <wp:docPr id="476" name="IM 476"/>
                  <wp:cNvGraphicFramePr/>
                  <a:graphic xmlns:a="http://schemas.openxmlformats.org/drawingml/2006/main">
                    <a:graphicData uri="http://schemas.openxmlformats.org/drawingml/2006/picture">
                      <pic:pic xmlns:pic="http://schemas.openxmlformats.org/drawingml/2006/picture">
                        <pic:nvPicPr>
                          <pic:cNvPr id="476" name="IM 476"/>
                          <pic:cNvPicPr/>
                        </pic:nvPicPr>
                        <pic:blipFill>
                          <a:blip r:embed="rId84"/>
                          <a:stretch>
                            <a:fillRect/>
                          </a:stretch>
                        </pic:blipFill>
                        <pic:spPr>
                          <a:xfrm>
                            <a:off x="0" y="0"/>
                            <a:ext cx="2418" cy="195071"/>
                          </a:xfrm>
                          <a:prstGeom prst="rect">
                            <a:avLst/>
                          </a:prstGeom>
                        </pic:spPr>
                      </pic:pic>
                    </a:graphicData>
                  </a:graphic>
                </wp:inline>
              </w:drawing>
            </w:r>
            <w:r>
              <w:rPr>
                <w:position w:val="-7"/>
              </w:rPr>
              <w:drawing>
                <wp:inline distT="0" distB="0" distL="0" distR="0">
                  <wp:extent cx="1905" cy="1270"/>
                  <wp:effectExtent l="0" t="0" r="0" b="0"/>
                  <wp:docPr id="478" name="IM 478"/>
                  <wp:cNvGraphicFramePr/>
                  <a:graphic xmlns:a="http://schemas.openxmlformats.org/drawingml/2006/main">
                    <a:graphicData uri="http://schemas.openxmlformats.org/drawingml/2006/picture">
                      <pic:pic xmlns:pic="http://schemas.openxmlformats.org/drawingml/2006/picture">
                        <pic:nvPicPr>
                          <pic:cNvPr id="478" name="IM 478"/>
                          <pic:cNvPicPr/>
                        </pic:nvPicPr>
                        <pic:blipFill>
                          <a:blip r:embed="rId74"/>
                          <a:stretch>
                            <a:fillRect/>
                          </a:stretch>
                        </pic:blipFill>
                        <pic:spPr>
                          <a:xfrm>
                            <a:off x="0" y="0"/>
                            <a:ext cx="2418" cy="1523"/>
                          </a:xfrm>
                          <a:prstGeom prst="rect">
                            <a:avLst/>
                          </a:prstGeom>
                        </pic:spPr>
                      </pic:pic>
                    </a:graphicData>
                  </a:graphic>
                </wp:inline>
              </w:drawing>
            </w:r>
            <w:r>
              <w:rPr>
                <w:spacing w:val="-105"/>
              </w:rPr>
              <w:t xml:space="preserve"> </w:t>
            </w:r>
            <w:r>
              <w:rPr>
                <w:spacing w:val="1"/>
              </w:rPr>
              <w:t>执行</w:t>
            </w:r>
            <w:r>
              <w:t xml:space="preserve"> </w:t>
            </w:r>
            <w:r>
              <w:rPr>
                <w:spacing w:val="3"/>
              </w:rPr>
              <w:t>与证券交易有关的职务时，与其本人或者其亲属有利害关系的，应</w:t>
            </w:r>
            <w:r>
              <w:rPr>
                <w:spacing w:val="8"/>
              </w:rPr>
              <w:t xml:space="preserve"> </w:t>
            </w:r>
            <w:r>
              <w:rPr>
                <w:spacing w:val="-14"/>
              </w:rPr>
              <w:t>当回避。</w:t>
            </w:r>
          </w:p>
        </w:tc>
        <w:tc>
          <w:tcPr>
            <w:tcW w:w="6809" w:type="dxa"/>
            <w:vAlign w:val="top"/>
          </w:tcPr>
          <w:p>
            <w:pPr>
              <w:pStyle w:val="8"/>
              <w:spacing w:before="41" w:line="228" w:lineRule="auto"/>
              <w:ind w:left="19" w:right="4" w:firstLine="493"/>
            </w:pPr>
            <w:r>
              <w:rPr>
                <w:rFonts w:ascii="黑体" w:hAnsi="黑体" w:eastAsia="黑体" w:cs="黑体"/>
                <w:spacing w:val="1"/>
              </w:rPr>
              <w:t xml:space="preserve">第一百一十六条  </w:t>
            </w:r>
            <w:r>
              <w:rPr>
                <w:spacing w:val="1"/>
              </w:rPr>
              <w:t>证券交易所的负责人和其他从业人员执行</w:t>
            </w:r>
            <w:r>
              <w:rPr>
                <w:spacing w:val="8"/>
              </w:rPr>
              <w:t xml:space="preserve"> </w:t>
            </w:r>
            <w:r>
              <w:rPr>
                <w:spacing w:val="-5"/>
              </w:rPr>
              <w:t>与证券交易有关的职务时， 与其本人或者其亲属有利害关系的，</w:t>
            </w:r>
            <w:r>
              <w:rPr>
                <w:spacing w:val="16"/>
              </w:rPr>
              <w:t xml:space="preserve"> </w:t>
            </w:r>
            <w:r>
              <w:rPr>
                <w:spacing w:val="-11"/>
              </w:rPr>
              <w:t>应当回避。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52" w:hRule="atLeast"/>
        </w:trPr>
        <w:tc>
          <w:tcPr>
            <w:tcW w:w="7098" w:type="dxa"/>
            <w:gridSpan w:val="7"/>
            <w:vAlign w:val="top"/>
          </w:tcPr>
          <w:p>
            <w:pPr>
              <w:pStyle w:val="8"/>
              <w:spacing w:before="40" w:line="232" w:lineRule="auto"/>
              <w:ind w:left="16" w:firstLine="496"/>
              <w:jc w:val="both"/>
            </w:pPr>
            <w:r>
              <w:rPr>
                <w:rFonts w:ascii="黑体" w:hAnsi="黑体" w:eastAsia="黑体" w:cs="黑体"/>
                <w:spacing w:val="-1"/>
              </w:rPr>
              <w:t xml:space="preserve">第一百二十条  </w:t>
            </w:r>
            <w:r>
              <w:rPr>
                <w:spacing w:val="-1"/>
              </w:rPr>
              <w:t>按照依法制定的交易规则进行的交易，</w:t>
            </w:r>
            <w:r>
              <w:rPr>
                <w:spacing w:val="-2"/>
              </w:rPr>
              <w:t xml:space="preserve"> 不得改</w:t>
            </w:r>
            <w:r>
              <w:t xml:space="preserve"> </w:t>
            </w:r>
            <w:r>
              <w:rPr>
                <w:spacing w:val="3"/>
              </w:rPr>
              <w:t>变其交易结果。对交易中违规交易者应负的民事责任不得免除；在</w:t>
            </w:r>
            <w:r>
              <w:rPr>
                <w:spacing w:val="18"/>
              </w:rPr>
              <w:t xml:space="preserve"> </w:t>
            </w:r>
            <w:r>
              <w:rPr>
                <w:spacing w:val="-13"/>
              </w:rPr>
              <w:t>违规交易中所获利益，</w:t>
            </w:r>
            <w:r>
              <w:rPr>
                <w:spacing w:val="69"/>
              </w:rPr>
              <w:t xml:space="preserve"> </w:t>
            </w:r>
            <w:r>
              <w:rPr>
                <w:spacing w:val="-13"/>
              </w:rPr>
              <w:t>依照有关规定处理。</w:t>
            </w:r>
          </w:p>
        </w:tc>
        <w:tc>
          <w:tcPr>
            <w:tcW w:w="6809" w:type="dxa"/>
            <w:vAlign w:val="top"/>
          </w:tcPr>
          <w:p>
            <w:pPr>
              <w:pStyle w:val="8"/>
              <w:spacing w:before="40" w:line="231" w:lineRule="auto"/>
              <w:ind w:left="17" w:right="4" w:firstLine="495"/>
            </w:pPr>
            <w:r>
              <w:rPr>
                <w:rFonts w:ascii="黑体" w:hAnsi="黑体" w:eastAsia="黑体" w:cs="黑体"/>
                <w:spacing w:val="-3"/>
              </w:rPr>
              <w:t xml:space="preserve">第一百一十七条  </w:t>
            </w:r>
            <w:r>
              <w:rPr>
                <w:spacing w:val="-3"/>
              </w:rPr>
              <w:t>按照依法制定的交易规则进行的交易， 不</w:t>
            </w:r>
            <w:r>
              <w:t xml:space="preserve"> 得改变其交易结果，</w:t>
            </w:r>
            <w:r>
              <w:rPr>
                <w:rFonts w:ascii="黑体" w:hAnsi="黑体" w:eastAsia="黑体" w:cs="黑体"/>
              </w:rPr>
              <w:t>但本法第一百一十一条第二款规定的除外。</w:t>
            </w:r>
            <w:r>
              <w:rPr>
                <w:rFonts w:ascii="黑体" w:hAnsi="黑体" w:eastAsia="黑体" w:cs="黑体"/>
                <w:spacing w:val="17"/>
              </w:rPr>
              <w:t xml:space="preserve"> </w:t>
            </w:r>
            <w:r>
              <w:rPr>
                <w:spacing w:val="2"/>
              </w:rPr>
              <w:t>对交易中违规交易者应负的民事责任不得免除</w:t>
            </w:r>
            <w:r>
              <w:rPr>
                <w:spacing w:val="1"/>
              </w:rPr>
              <w:t>；在违规交易中所</w:t>
            </w:r>
            <w:r>
              <w:t xml:space="preserve"> </w:t>
            </w:r>
            <w:r>
              <w:rPr>
                <w:spacing w:val="-5"/>
              </w:rPr>
              <w:t>获利益，依照有关规定处理。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7098" w:type="dxa"/>
            <w:gridSpan w:val="7"/>
            <w:vAlign w:val="top"/>
          </w:tcPr>
          <w:p>
            <w:pPr>
              <w:spacing w:before="37" w:line="222" w:lineRule="auto"/>
              <w:ind w:left="2591"/>
              <w:rPr>
                <w:rFonts w:ascii="黑体" w:hAnsi="黑体" w:eastAsia="黑体" w:cs="黑体"/>
                <w:sz w:val="24"/>
                <w:szCs w:val="24"/>
              </w:rPr>
            </w:pPr>
            <w:r>
              <w:rPr>
                <w:rFonts w:ascii="黑体" w:hAnsi="黑体" w:eastAsia="黑体" w:cs="黑体"/>
                <w:spacing w:val="-1"/>
                <w:sz w:val="24"/>
                <w:szCs w:val="24"/>
              </w:rPr>
              <w:t>第六章  证券公司</w:t>
            </w:r>
          </w:p>
        </w:tc>
        <w:tc>
          <w:tcPr>
            <w:tcW w:w="6809" w:type="dxa"/>
            <w:vAlign w:val="top"/>
          </w:tcPr>
          <w:p>
            <w:pPr>
              <w:spacing w:before="37" w:line="222" w:lineRule="auto"/>
              <w:ind w:left="2444"/>
              <w:rPr>
                <w:rFonts w:ascii="黑体" w:hAnsi="黑体" w:eastAsia="黑体" w:cs="黑体"/>
                <w:sz w:val="24"/>
                <w:szCs w:val="24"/>
              </w:rPr>
            </w:pPr>
            <w:r>
              <w:rPr>
                <w:rFonts w:ascii="黑体" w:hAnsi="黑体" w:eastAsia="黑体" w:cs="黑体"/>
                <w:spacing w:val="-1"/>
                <w:sz w:val="24"/>
                <w:szCs w:val="24"/>
              </w:rPr>
              <w:t>第八章  证券公司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4171" w:type="dxa"/>
            <w:gridSpan w:val="3"/>
            <w:tcBorders>
              <w:right w:val="single" w:color="000000" w:sz="2" w:space="0"/>
            </w:tcBorders>
            <w:vAlign w:val="top"/>
          </w:tcPr>
          <w:p>
            <w:pPr>
              <w:pStyle w:val="8"/>
              <w:spacing w:before="48" w:line="217" w:lineRule="auto"/>
              <w:ind w:right="21"/>
              <w:jc w:val="right"/>
            </w:pPr>
            <w:r>
              <w:rPr>
                <w:rFonts w:ascii="黑体" w:hAnsi="黑体" w:eastAsia="黑体" w:cs="黑体"/>
                <w:spacing w:val="1"/>
              </w:rPr>
              <w:t xml:space="preserve">第一百二十二条  </w:t>
            </w:r>
            <w:r>
              <w:rPr>
                <w:spacing w:val="1"/>
              </w:rPr>
              <w:t>设立证券公司，</w:t>
            </w:r>
          </w:p>
        </w:tc>
        <w:tc>
          <w:tcPr>
            <w:tcW w:w="493" w:type="dxa"/>
            <w:tcBorders>
              <w:left w:val="single" w:color="000000" w:sz="2" w:space="0"/>
              <w:right w:val="single" w:color="000000" w:sz="2" w:space="0"/>
            </w:tcBorders>
            <w:shd w:val="clear" w:color="auto" w:fill="D9D9D9"/>
            <w:vAlign w:val="top"/>
          </w:tcPr>
          <w:p>
            <w:pPr>
              <w:pStyle w:val="8"/>
              <w:spacing w:before="50" w:line="216" w:lineRule="auto"/>
              <w:ind w:right="2"/>
              <w:jc w:val="right"/>
            </w:pPr>
            <w:r>
              <w:rPr>
                <w:spacing w:val="-6"/>
              </w:rPr>
              <w:t>必须</w:t>
            </w:r>
          </w:p>
        </w:tc>
        <w:tc>
          <w:tcPr>
            <w:tcW w:w="2434" w:type="dxa"/>
            <w:gridSpan w:val="3"/>
            <w:tcBorders>
              <w:left w:val="single" w:color="000000" w:sz="2" w:space="0"/>
            </w:tcBorders>
            <w:vAlign w:val="top"/>
          </w:tcPr>
          <w:p>
            <w:pPr>
              <w:pStyle w:val="8"/>
              <w:spacing w:before="50" w:line="216" w:lineRule="auto"/>
              <w:ind w:left="10"/>
            </w:pPr>
            <w:r>
              <w:rPr>
                <w:spacing w:val="1"/>
              </w:rPr>
              <w:t>经国务院证券监督管理</w:t>
            </w:r>
          </w:p>
        </w:tc>
        <w:tc>
          <w:tcPr>
            <w:tcW w:w="6809" w:type="dxa"/>
            <w:vAlign w:val="top"/>
          </w:tcPr>
          <w:p>
            <w:pPr>
              <w:pStyle w:val="8"/>
              <w:spacing w:before="36" w:line="219" w:lineRule="auto"/>
              <w:ind w:right="4"/>
              <w:jc w:val="right"/>
            </w:pPr>
            <w:r>
              <w:rPr>
                <w:rFonts w:ascii="黑体" w:hAnsi="黑体" w:eastAsia="黑体" w:cs="黑体"/>
                <w:spacing w:val="1"/>
              </w:rPr>
              <w:t xml:space="preserve">第一百一十八条  </w:t>
            </w:r>
            <w:r>
              <w:rPr>
                <w:spacing w:val="1"/>
              </w:rPr>
              <w:t>设立证券公司，应当具备下列条件，并经</w:t>
            </w:r>
          </w:p>
        </w:tc>
      </w:tr>
    </w:tbl>
    <w:p>
      <w:pPr>
        <w:spacing w:line="168" w:lineRule="exact"/>
        <w:rPr>
          <w:rFonts w:ascii="Arial"/>
          <w:sz w:val="14"/>
        </w:rPr>
      </w:pPr>
    </w:p>
    <w:p>
      <w:pPr>
        <w:spacing w:line="168" w:lineRule="exact"/>
        <w:rPr>
          <w:rFonts w:ascii="Arial" w:hAnsi="Arial" w:eastAsia="Arial" w:cs="Arial"/>
          <w:sz w:val="14"/>
          <w:szCs w:val="14"/>
        </w:rPr>
        <w:sectPr>
          <w:footerReference r:id="rId36"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4"/>
        <w:gridCol w:w="969"/>
        <w:gridCol w:w="3849"/>
        <w:gridCol w:w="803"/>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trPr>
        <w:tc>
          <w:tcPr>
            <w:tcW w:w="7095" w:type="dxa"/>
            <w:gridSpan w:val="4"/>
            <w:tcBorders>
              <w:bottom w:val="single" w:color="000000" w:sz="2" w:space="0"/>
            </w:tcBorders>
            <w:vAlign w:val="top"/>
          </w:tcPr>
          <w:p>
            <w:pPr>
              <w:pStyle w:val="8"/>
              <w:spacing w:before="15" w:line="233" w:lineRule="auto"/>
              <w:jc w:val="right"/>
            </w:pPr>
            <w:r>
              <w:pict>
                <v:shape id="_x0000_s1073" o:spid="_x0000_s1073" style="position:absolute;left:0pt;margin-left:13.15pt;margin-top:17.65pt;height:0.5pt;width:24pt;mso-position-horizontal-relative:page;mso-position-vertical-relative:page;z-index:-251611136;mso-width-relative:page;mso-height-relative:page;" fillcolor="#000000" filled="t" stroked="f" coordsize="480,10" path="m0,0l479,0,479,9,0,9,0,0xe">
                  <v:path/>
                  <v:fill on="t" focussize="0,0"/>
                  <v:stroke on="f"/>
                  <v:imagedata o:title=""/>
                  <o:lock v:ext="edit"/>
                </v:shape>
              </w:pict>
            </w:r>
            <w:r>
              <w:pict>
                <v:rect id="_x0000_s1074" o:spid="_x0000_s1074" o:spt="1" style="position:absolute;left:0pt;margin-left:122.7pt;margin-top:34.2pt;height:0.5pt;width:231.45pt;mso-position-horizontal-relative:page;mso-position-vertical-relative:page;z-index:251707392;mso-width-relative:page;mso-height-relative:page;" fillcolor="#000000" filled="t" stroked="f" coordsize="21600,21600">
                  <v:path/>
                  <v:fill on="t" focussize="0,0"/>
                  <v:stroke on="f"/>
                  <v:imagedata o:title=""/>
                  <o:lock v:ext="edit"/>
                </v:rect>
              </w:pict>
            </w:r>
            <w:r>
              <w:rPr>
                <w:spacing w:val="2"/>
              </w:rPr>
              <w:t>机构批准</w:t>
            </w:r>
            <w:r>
              <w:rPr>
                <w:position w:val="-6"/>
              </w:rPr>
              <w:drawing>
                <wp:inline distT="0" distB="0" distL="0" distR="0">
                  <wp:extent cx="6985" cy="198120"/>
                  <wp:effectExtent l="0" t="0" r="0" b="0"/>
                  <wp:docPr id="480" name="IM 480"/>
                  <wp:cNvGraphicFramePr/>
                  <a:graphic xmlns:a="http://schemas.openxmlformats.org/drawingml/2006/main">
                    <a:graphicData uri="http://schemas.openxmlformats.org/drawingml/2006/picture">
                      <pic:pic xmlns:pic="http://schemas.openxmlformats.org/drawingml/2006/picture">
                        <pic:nvPicPr>
                          <pic:cNvPr id="480" name="IM 480"/>
                          <pic:cNvPicPr/>
                        </pic:nvPicPr>
                        <pic:blipFill>
                          <a:blip r:embed="rId96"/>
                          <a:stretch>
                            <a:fillRect/>
                          </a:stretch>
                        </pic:blipFill>
                        <pic:spPr>
                          <a:xfrm>
                            <a:off x="0" y="0"/>
                            <a:ext cx="7061" cy="198425"/>
                          </a:xfrm>
                          <a:prstGeom prst="rect">
                            <a:avLst/>
                          </a:prstGeom>
                        </pic:spPr>
                      </pic:pic>
                    </a:graphicData>
                  </a:graphic>
                </wp:inline>
              </w:drawing>
            </w:r>
            <w:r>
              <w:rPr>
                <w:spacing w:val="2"/>
                <w:shd w:val="clear" w:fill="D9D9D9"/>
              </w:rPr>
              <w:t>。</w:t>
            </w:r>
            <w:r>
              <w:rPr>
                <w:spacing w:val="-94"/>
                <w:shd w:val="clear" w:fill="D9D9D9"/>
              </w:rPr>
              <w:t xml:space="preserve"> </w:t>
            </w:r>
            <w:r>
              <w:rPr>
                <w:position w:val="-6"/>
              </w:rPr>
              <w:drawing>
                <wp:inline distT="0" distB="0" distL="0" distR="0">
                  <wp:extent cx="6985" cy="198120"/>
                  <wp:effectExtent l="0" t="0" r="0" b="0"/>
                  <wp:docPr id="482" name="IM 482"/>
                  <wp:cNvGraphicFramePr/>
                  <a:graphic xmlns:a="http://schemas.openxmlformats.org/drawingml/2006/main">
                    <a:graphicData uri="http://schemas.openxmlformats.org/drawingml/2006/picture">
                      <pic:pic xmlns:pic="http://schemas.openxmlformats.org/drawingml/2006/picture">
                        <pic:nvPicPr>
                          <pic:cNvPr id="482" name="IM 482"/>
                          <pic:cNvPicPr/>
                        </pic:nvPicPr>
                        <pic:blipFill>
                          <a:blip r:embed="rId96"/>
                          <a:stretch>
                            <a:fillRect/>
                          </a:stretch>
                        </pic:blipFill>
                        <pic:spPr>
                          <a:xfrm>
                            <a:off x="0" y="0"/>
                            <a:ext cx="7061" cy="198425"/>
                          </a:xfrm>
                          <a:prstGeom prst="rect">
                            <a:avLst/>
                          </a:prstGeom>
                        </pic:spPr>
                      </pic:pic>
                    </a:graphicData>
                  </a:graphic>
                </wp:inline>
              </w:drawing>
            </w:r>
            <w:r>
              <w:rPr>
                <w:spacing w:val="2"/>
              </w:rPr>
              <w:t>未经国务院证券监督管理机构批准，任何单位和个人不</w:t>
            </w:r>
          </w:p>
          <w:p>
            <w:pPr>
              <w:spacing w:line="9" w:lineRule="exact"/>
              <w:ind w:left="976"/>
            </w:pPr>
            <w:r>
              <w:drawing>
                <wp:inline distT="0" distB="0" distL="0" distR="0">
                  <wp:extent cx="167005" cy="5715"/>
                  <wp:effectExtent l="0" t="0" r="0" b="0"/>
                  <wp:docPr id="484" name="IM 484"/>
                  <wp:cNvGraphicFramePr/>
                  <a:graphic xmlns:a="http://schemas.openxmlformats.org/drawingml/2006/main">
                    <a:graphicData uri="http://schemas.openxmlformats.org/drawingml/2006/picture">
                      <pic:pic xmlns:pic="http://schemas.openxmlformats.org/drawingml/2006/picture">
                        <pic:nvPicPr>
                          <pic:cNvPr id="484" name="IM 484"/>
                          <pic:cNvPicPr/>
                        </pic:nvPicPr>
                        <pic:blipFill>
                          <a:blip r:embed="rId109"/>
                          <a:stretch>
                            <a:fillRect/>
                          </a:stretch>
                        </pic:blipFill>
                        <pic:spPr>
                          <a:xfrm>
                            <a:off x="0" y="0"/>
                            <a:ext cx="167639" cy="6095"/>
                          </a:xfrm>
                          <a:prstGeom prst="rect">
                            <a:avLst/>
                          </a:prstGeom>
                        </pic:spPr>
                      </pic:pic>
                    </a:graphicData>
                  </a:graphic>
                </wp:inline>
              </w:drawing>
            </w:r>
          </w:p>
          <w:p>
            <w:pPr>
              <w:pStyle w:val="8"/>
              <w:spacing w:line="247" w:lineRule="auto"/>
              <w:ind w:left="17"/>
            </w:pPr>
            <w:r>
              <w:pict>
                <v:shape id="_x0000_s1075" o:spid="_x0000_s1075" o:spt="202" type="#_x0000_t202" style="position:absolute;left:0pt;margin-left:37pt;margin-top:1.3pt;height:16.2pt;width:58.75pt;z-index:251708416;mso-width-relative:page;mso-height-relative:page;" filled="f" stroked="f" coordsize="21600,21600">
                  <v:path/>
                  <v:fill on="f" focussize="0,0"/>
                  <v:stroke on="f"/>
                  <v:imagedata o:title=""/>
                  <o:lock v:ext="edit" aspectratio="f"/>
                  <v:textbox inset="0mm,0mm,0mm,0mm">
                    <w:txbxContent>
                      <w:p>
                        <w:pPr>
                          <w:pStyle w:val="8"/>
                          <w:spacing w:before="20" w:line="218" w:lineRule="auto"/>
                          <w:ind w:left="20"/>
                        </w:pPr>
                        <w:r>
                          <w:rPr>
                            <w:spacing w:val="-11"/>
                          </w:rPr>
                          <w:t>证券业务。</w:t>
                        </w:r>
                      </w:p>
                    </w:txbxContent>
                  </v:textbox>
                </v:shape>
              </w:pict>
            </w:r>
            <w:r>
              <w:rPr>
                <w:spacing w:val="-10"/>
              </w:rPr>
              <w:t>得</w:t>
            </w:r>
            <w:r>
              <w:rPr>
                <w:position w:val="24"/>
              </w:rPr>
              <w:drawing>
                <wp:inline distT="0" distB="0" distL="0" distR="0">
                  <wp:extent cx="2540" cy="5715"/>
                  <wp:effectExtent l="0" t="0" r="0" b="0"/>
                  <wp:docPr id="486" name="IM 486"/>
                  <wp:cNvGraphicFramePr/>
                  <a:graphic xmlns:a="http://schemas.openxmlformats.org/drawingml/2006/main">
                    <a:graphicData uri="http://schemas.openxmlformats.org/drawingml/2006/picture">
                      <pic:pic xmlns:pic="http://schemas.openxmlformats.org/drawingml/2006/picture">
                        <pic:nvPicPr>
                          <pic:cNvPr id="486" name="IM 486"/>
                          <pic:cNvPicPr/>
                        </pic:nvPicPr>
                        <pic:blipFill>
                          <a:blip r:embed="rId74"/>
                          <a:stretch>
                            <a:fillRect/>
                          </a:stretch>
                        </pic:blipFill>
                        <pic:spPr>
                          <a:xfrm>
                            <a:off x="0" y="0"/>
                            <a:ext cx="3111" cy="6095"/>
                          </a:xfrm>
                          <a:prstGeom prst="rect">
                            <a:avLst/>
                          </a:prstGeom>
                        </pic:spPr>
                      </pic:pic>
                    </a:graphicData>
                  </a:graphic>
                </wp:inline>
              </w:drawing>
            </w:r>
            <w:r>
              <w:rPr>
                <w:position w:val="-7"/>
              </w:rPr>
              <w:drawing>
                <wp:inline distT="0" distB="0" distL="0" distR="0">
                  <wp:extent cx="2540" cy="203835"/>
                  <wp:effectExtent l="0" t="0" r="0" b="0"/>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80"/>
                          <a:stretch>
                            <a:fillRect/>
                          </a:stretch>
                        </pic:blipFill>
                        <pic:spPr>
                          <a:xfrm>
                            <a:off x="0" y="0"/>
                            <a:ext cx="3111" cy="204215"/>
                          </a:xfrm>
                          <a:prstGeom prst="rect">
                            <a:avLst/>
                          </a:prstGeom>
                        </pic:spPr>
                      </pic:pic>
                    </a:graphicData>
                  </a:graphic>
                </wp:inline>
              </w:drawing>
            </w:r>
            <w:r>
              <w:rPr>
                <w:position w:val="-7"/>
              </w:rPr>
              <w:drawing>
                <wp:inline distT="0" distB="0" distL="0" distR="0">
                  <wp:extent cx="2540" cy="5715"/>
                  <wp:effectExtent l="0" t="0" r="0" b="0"/>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81"/>
                          <a:stretch>
                            <a:fillRect/>
                          </a:stretch>
                        </pic:blipFill>
                        <pic:spPr>
                          <a:xfrm>
                            <a:off x="0" y="0"/>
                            <a:ext cx="3111" cy="6096"/>
                          </a:xfrm>
                          <a:prstGeom prst="rect">
                            <a:avLst/>
                          </a:prstGeom>
                        </pic:spPr>
                      </pic:pic>
                    </a:graphicData>
                  </a:graphic>
                </wp:inline>
              </w:drawing>
            </w:r>
            <w:r>
              <w:rPr>
                <w:spacing w:val="-105"/>
                <w:u w:val="single" w:color="auto"/>
                <w:shd w:val="clear" w:fill="D9D9D9"/>
              </w:rPr>
              <w:t xml:space="preserve"> </w:t>
            </w:r>
            <w:r>
              <w:rPr>
                <w:spacing w:val="-10"/>
                <w:u w:val="single" w:color="auto"/>
                <w:shd w:val="clear" w:fill="D9D9D9"/>
              </w:rPr>
              <w:t>经营</w:t>
            </w:r>
            <w:r>
              <w:rPr>
                <w:position w:val="-6"/>
              </w:rPr>
              <w:drawing>
                <wp:inline distT="0" distB="0" distL="0" distR="0">
                  <wp:extent cx="2540" cy="198120"/>
                  <wp:effectExtent l="0" t="0" r="0" b="0"/>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88"/>
                          <a:stretch>
                            <a:fillRect/>
                          </a:stretch>
                        </pic:blipFill>
                        <pic:spPr>
                          <a:xfrm>
                            <a:off x="0" y="0"/>
                            <a:ext cx="3111" cy="198120"/>
                          </a:xfrm>
                          <a:prstGeom prst="rect">
                            <a:avLst/>
                          </a:prstGeom>
                        </pic:spPr>
                      </pic:pic>
                    </a:graphicData>
                  </a:graphic>
                </wp:inline>
              </w:drawing>
            </w:r>
          </w:p>
          <w:p>
            <w:pPr>
              <w:pStyle w:val="8"/>
              <w:spacing w:before="8" w:line="233" w:lineRule="auto"/>
              <w:ind w:right="10"/>
              <w:jc w:val="right"/>
            </w:pPr>
            <w:r>
              <w:pict>
                <v:shape id="_x0000_s1076" o:spid="_x0000_s1076" o:spt="202" type="#_x0000_t202" style="position:absolute;left:0pt;margin-left:24.65pt;margin-top:1.25pt;height:16.45pt;width:86.3pt;z-index:251709440;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4"/>
                            <w:szCs w:val="24"/>
                          </w:rPr>
                        </w:pPr>
                        <w:r>
                          <w:rPr>
                            <w:rFonts w:ascii="黑体" w:hAnsi="黑体" w:eastAsia="黑体" w:cs="黑体"/>
                            <w:sz w:val="24"/>
                            <w:szCs w:val="24"/>
                          </w:rPr>
                          <w:t>第一百二十三条</w:t>
                        </w:r>
                      </w:p>
                    </w:txbxContent>
                  </v:textbox>
                </v:shape>
              </w:pict>
            </w:r>
            <w:r>
              <w:rPr>
                <w:position w:val="-6"/>
              </w:rPr>
              <w:drawing>
                <wp:inline distT="0" distB="0" distL="0" distR="0">
                  <wp:extent cx="5715" cy="193675"/>
                  <wp:effectExtent l="0" t="0" r="0" b="0"/>
                  <wp:docPr id="494" name="IM 494"/>
                  <wp:cNvGraphicFramePr/>
                  <a:graphic xmlns:a="http://schemas.openxmlformats.org/drawingml/2006/main">
                    <a:graphicData uri="http://schemas.openxmlformats.org/drawingml/2006/picture">
                      <pic:pic xmlns:pic="http://schemas.openxmlformats.org/drawingml/2006/picture">
                        <pic:nvPicPr>
                          <pic:cNvPr id="494" name="IM 494"/>
                          <pic:cNvPicPr/>
                        </pic:nvPicPr>
                        <pic:blipFill>
                          <a:blip r:embed="rId97"/>
                          <a:stretch>
                            <a:fillRect/>
                          </a:stretch>
                        </pic:blipFill>
                        <pic:spPr>
                          <a:xfrm>
                            <a:off x="0" y="0"/>
                            <a:ext cx="6095" cy="194259"/>
                          </a:xfrm>
                          <a:prstGeom prst="rect">
                            <a:avLst/>
                          </a:prstGeom>
                        </pic:spPr>
                      </pic:pic>
                    </a:graphicData>
                  </a:graphic>
                </wp:inline>
              </w:drawing>
            </w:r>
            <w:r>
              <w:rPr>
                <w:spacing w:val="2"/>
                <w:shd w:val="clear" w:fill="D9D9D9"/>
              </w:rPr>
              <w:t>本法所称证券公司是指依照《中华人民共和</w:t>
            </w:r>
          </w:p>
        </w:tc>
        <w:tc>
          <w:tcPr>
            <w:tcW w:w="6812" w:type="dxa"/>
            <w:vMerge w:val="restart"/>
            <w:tcBorders>
              <w:bottom w:val="nil"/>
            </w:tcBorders>
            <w:vAlign w:val="top"/>
          </w:tcPr>
          <w:p>
            <w:pPr>
              <w:pStyle w:val="8"/>
              <w:spacing w:before="42" w:line="217" w:lineRule="auto"/>
              <w:ind w:left="37"/>
            </w:pPr>
            <w:r>
              <w:rPr>
                <w:spacing w:val="-7"/>
              </w:rPr>
              <w:t>国务院证券监督管理机构批准：</w:t>
            </w:r>
          </w:p>
          <w:p>
            <w:pPr>
              <w:pStyle w:val="8"/>
              <w:spacing w:before="29" w:line="216" w:lineRule="auto"/>
              <w:ind w:left="506"/>
            </w:pPr>
            <w:r>
              <w:rPr>
                <w:spacing w:val="-3"/>
              </w:rPr>
              <w:t>（一）有符合法律、行政法规规定的公司章程；</w:t>
            </w:r>
          </w:p>
          <w:p>
            <w:pPr>
              <w:pStyle w:val="8"/>
              <w:spacing w:before="29" w:line="228" w:lineRule="auto"/>
              <w:ind w:left="16" w:right="27" w:firstLine="489"/>
            </w:pPr>
            <w:r>
              <w:rPr>
                <w:spacing w:val="1"/>
              </w:rPr>
              <w:t>（二）主要股东及公司的实际控制人具有良好的</w:t>
            </w:r>
            <w:r>
              <w:t xml:space="preserve">财务状况和 </w:t>
            </w:r>
            <w:r>
              <w:rPr>
                <w:spacing w:val="-4"/>
              </w:rPr>
              <w:t>诚信记录，最近三年无重大违法违规记录；</w:t>
            </w:r>
          </w:p>
          <w:p>
            <w:pPr>
              <w:pStyle w:val="8"/>
              <w:spacing w:before="30" w:line="216" w:lineRule="auto"/>
              <w:ind w:left="506"/>
            </w:pPr>
            <w:r>
              <w:rPr>
                <w:spacing w:val="-4"/>
              </w:rPr>
              <w:t>（三）有符合本法规定的公司注册资本；</w:t>
            </w:r>
          </w:p>
          <w:p>
            <w:pPr>
              <w:pStyle w:val="8"/>
              <w:spacing w:before="28" w:line="229" w:lineRule="auto"/>
              <w:ind w:left="37" w:right="22" w:firstLine="469"/>
            </w:pPr>
            <w:r>
              <w:rPr>
                <w:spacing w:val="1"/>
              </w:rPr>
              <w:t xml:space="preserve">（四）董事、监事、高级管理人员、从业人员符合本法规定 </w:t>
            </w:r>
            <w:r>
              <w:rPr>
                <w:spacing w:val="-18"/>
              </w:rPr>
              <w:t>的条件；</w:t>
            </w:r>
          </w:p>
          <w:p>
            <w:pPr>
              <w:pStyle w:val="8"/>
              <w:spacing w:before="28" w:line="217" w:lineRule="auto"/>
              <w:ind w:left="506"/>
            </w:pPr>
            <w:r>
              <w:rPr>
                <w:spacing w:val="-4"/>
              </w:rPr>
              <w:t>（五）有完善的风险管理与内部控制制度；</w:t>
            </w:r>
          </w:p>
          <w:p>
            <w:pPr>
              <w:pStyle w:val="8"/>
              <w:spacing w:before="28" w:line="221" w:lineRule="auto"/>
              <w:ind w:left="506"/>
            </w:pPr>
            <w:r>
              <w:t>（六）有合格的经营场所、业务设施和</w:t>
            </w:r>
            <w:r>
              <w:rPr>
                <w:rFonts w:ascii="黑体" w:hAnsi="黑体" w:eastAsia="黑体" w:cs="黑体"/>
              </w:rPr>
              <w:t>信息技术系统</w:t>
            </w:r>
            <w:r>
              <w:t>；</w:t>
            </w:r>
          </w:p>
          <w:p>
            <w:pPr>
              <w:pStyle w:val="8"/>
              <w:spacing w:before="26" w:line="228" w:lineRule="auto"/>
              <w:ind w:left="19" w:right="42" w:firstLine="486"/>
            </w:pPr>
            <w:r>
              <w:t>（七）法律、行政法规和经国务院批准的国务院证券监督管</w:t>
            </w:r>
            <w:r>
              <w:rPr>
                <w:spacing w:val="6"/>
              </w:rPr>
              <w:t xml:space="preserve"> </w:t>
            </w:r>
            <w:r>
              <w:rPr>
                <w:spacing w:val="-6"/>
              </w:rPr>
              <w:t>理机构规定的其他条件。</w:t>
            </w:r>
          </w:p>
          <w:p>
            <w:pPr>
              <w:spacing w:before="28" w:line="230" w:lineRule="auto"/>
              <w:ind w:left="22" w:right="7" w:firstLine="492"/>
              <w:rPr>
                <w:rFonts w:ascii="黑体" w:hAnsi="黑体" w:eastAsia="黑体" w:cs="黑体"/>
                <w:sz w:val="24"/>
                <w:szCs w:val="24"/>
              </w:rPr>
            </w:pPr>
            <w:r>
              <w:rPr>
                <w:rFonts w:ascii="黑体" w:hAnsi="黑体" w:eastAsia="黑体" w:cs="黑体"/>
                <w:spacing w:val="-3"/>
                <w:sz w:val="24"/>
                <w:szCs w:val="24"/>
              </w:rPr>
              <w:t>未经国务院证券监督管理机构批准， 任何单位</w:t>
            </w:r>
            <w:r>
              <w:rPr>
                <w:rFonts w:ascii="黑体" w:hAnsi="黑体" w:eastAsia="黑体" w:cs="黑体"/>
                <w:spacing w:val="-4"/>
                <w:sz w:val="24"/>
                <w:szCs w:val="24"/>
              </w:rPr>
              <w:t>和个人不得以</w:t>
            </w:r>
            <w:r>
              <w:rPr>
                <w:rFonts w:ascii="黑体" w:hAnsi="黑体" w:eastAsia="黑体" w:cs="黑体"/>
                <w:sz w:val="24"/>
                <w:szCs w:val="24"/>
              </w:rPr>
              <w:t xml:space="preserve"> </w:t>
            </w:r>
            <w:r>
              <w:rPr>
                <w:rFonts w:ascii="黑体" w:hAnsi="黑体" w:eastAsia="黑体" w:cs="黑体"/>
                <w:spacing w:val="-3"/>
                <w:sz w:val="24"/>
                <w:szCs w:val="24"/>
              </w:rPr>
              <w:t>“证券公司”名义开展证券业务活动。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5" w:type="dxa"/>
            <w:gridSpan w:val="4"/>
            <w:tcBorders>
              <w:top w:val="single" w:color="000000" w:sz="2" w:space="0"/>
              <w:bottom w:val="single" w:color="000000" w:sz="2" w:space="0"/>
            </w:tcBorders>
            <w:shd w:val="clear" w:color="auto" w:fill="D9D9D9"/>
            <w:vAlign w:val="top"/>
          </w:tcPr>
          <w:p>
            <w:pPr>
              <w:pStyle w:val="8"/>
              <w:spacing w:before="46" w:line="207" w:lineRule="auto"/>
              <w:ind w:left="43"/>
            </w:pPr>
            <w:r>
              <w:rPr>
                <w:spacing w:val="2"/>
              </w:rPr>
              <w:t>国公司法》和本法规定设立的经营证券业务的有限责任公司或者股</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474" w:type="dxa"/>
            <w:tcBorders>
              <w:top w:val="single" w:color="000000" w:sz="2" w:space="0"/>
              <w:bottom w:val="single" w:color="000000" w:sz="2" w:space="0"/>
              <w:right w:val="single" w:color="000000" w:sz="2" w:space="0"/>
            </w:tcBorders>
            <w:shd w:val="clear" w:color="auto" w:fill="D9D9D9"/>
            <w:vAlign w:val="top"/>
          </w:tcPr>
          <w:p>
            <w:pPr>
              <w:pStyle w:val="8"/>
              <w:spacing w:before="47" w:line="204" w:lineRule="auto"/>
              <w:ind w:left="20"/>
            </w:pPr>
            <w:r>
              <w:rPr>
                <w:spacing w:val="-8"/>
              </w:rPr>
              <w:t>份有限公司。</w:t>
            </w:r>
          </w:p>
        </w:tc>
        <w:tc>
          <w:tcPr>
            <w:tcW w:w="4818" w:type="dxa"/>
            <w:gridSpan w:val="2"/>
            <w:tcBorders>
              <w:top w:val="single" w:color="000000" w:sz="2" w:space="0"/>
              <w:left w:val="single" w:color="000000" w:sz="2" w:space="0"/>
              <w:bottom w:val="single" w:color="000000" w:sz="2" w:space="0"/>
              <w:right w:val="nil"/>
            </w:tcBorders>
            <w:vAlign w:val="top"/>
          </w:tcPr>
          <w:p>
            <w:pPr>
              <w:rPr>
                <w:rFonts w:ascii="Arial"/>
                <w:sz w:val="21"/>
              </w:rPr>
            </w:pPr>
          </w:p>
        </w:tc>
        <w:tc>
          <w:tcPr>
            <w:tcW w:w="803" w:type="dxa"/>
            <w:vMerge w:val="restart"/>
            <w:tcBorders>
              <w:top w:val="single" w:color="000000" w:sz="2" w:space="0"/>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443" w:type="dxa"/>
            <w:gridSpan w:val="2"/>
            <w:tcBorders>
              <w:top w:val="single" w:color="000000" w:sz="2" w:space="0"/>
              <w:bottom w:val="nil"/>
              <w:right w:val="single" w:color="000000" w:sz="2" w:space="0"/>
            </w:tcBorders>
            <w:vAlign w:val="top"/>
          </w:tcPr>
          <w:p>
            <w:pPr>
              <w:spacing w:before="50" w:line="200" w:lineRule="auto"/>
              <w:ind w:left="513"/>
              <w:rPr>
                <w:rFonts w:ascii="黑体" w:hAnsi="黑体" w:eastAsia="黑体" w:cs="黑体"/>
                <w:sz w:val="24"/>
                <w:szCs w:val="24"/>
              </w:rPr>
            </w:pPr>
            <w:r>
              <w:rPr>
                <w:rFonts w:ascii="黑体" w:hAnsi="黑体" w:eastAsia="黑体" w:cs="黑体"/>
                <w:spacing w:val="-1"/>
                <w:sz w:val="24"/>
                <w:szCs w:val="24"/>
              </w:rPr>
              <w:t>第一百二十四条</w:t>
            </w:r>
          </w:p>
        </w:tc>
        <w:tc>
          <w:tcPr>
            <w:tcW w:w="3849"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1" w:line="199" w:lineRule="auto"/>
              <w:ind w:left="4"/>
            </w:pPr>
            <w:r>
              <w:rPr>
                <w:spacing w:val="-5"/>
              </w:rPr>
              <w:t>设立证券公司，应当具备下列条件：</w:t>
            </w:r>
          </w:p>
        </w:tc>
        <w:tc>
          <w:tcPr>
            <w:tcW w:w="803" w:type="dxa"/>
            <w:vMerge w:val="continue"/>
            <w:tcBorders>
              <w:top w:val="nil"/>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7095" w:type="dxa"/>
            <w:gridSpan w:val="4"/>
            <w:tcBorders>
              <w:top w:val="single" w:color="000000" w:sz="2" w:space="0"/>
              <w:bottom w:val="single" w:color="000000" w:sz="2" w:space="0"/>
            </w:tcBorders>
            <w:vAlign w:val="top"/>
          </w:tcPr>
          <w:p>
            <w:pPr>
              <w:pStyle w:val="8"/>
              <w:spacing w:before="44" w:line="213" w:lineRule="auto"/>
              <w:ind w:left="503"/>
            </w:pPr>
            <w:r>
              <w:rPr>
                <w:spacing w:val="-9"/>
              </w:rPr>
              <w:t>（一）有符合法</w:t>
            </w:r>
            <w:r>
              <w:rPr>
                <w:spacing w:val="-9"/>
                <w:u w:val="single" w:color="auto"/>
              </w:rPr>
              <w:t>律、行政法规规定的公司章程；</w:t>
            </w:r>
            <w:r>
              <w:rPr>
                <w:spacing w:val="-100"/>
                <w:u w:val="single" w:color="auto"/>
              </w:rPr>
              <w:t xml:space="preserve"> </w:t>
            </w:r>
            <w:r>
              <w:rPr>
                <w:position w:val="-8"/>
              </w:rPr>
              <w:drawing>
                <wp:inline distT="0" distB="0" distL="0" distR="0">
                  <wp:extent cx="5715" cy="5715"/>
                  <wp:effectExtent l="0" t="0" r="0" b="0"/>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74"/>
                          <a:stretch>
                            <a:fillRect/>
                          </a:stretch>
                        </pic:blipFill>
                        <pic:spPr>
                          <a:xfrm>
                            <a:off x="0" y="0"/>
                            <a:ext cx="6096" cy="6096"/>
                          </a:xfrm>
                          <a:prstGeom prst="rect">
                            <a:avLst/>
                          </a:prstGeom>
                        </pic:spPr>
                      </pic:pic>
                    </a:graphicData>
                  </a:graphic>
                </wp:inline>
              </w:drawing>
            </w:r>
          </w:p>
          <w:p>
            <w:pPr>
              <w:pStyle w:val="8"/>
              <w:spacing w:before="1" w:line="243" w:lineRule="auto"/>
              <w:ind w:left="23" w:right="27" w:firstLine="480"/>
            </w:pPr>
            <w:r>
              <w:rPr>
                <w:spacing w:val="-3"/>
                <w:position w:val="7"/>
              </w:rPr>
              <w:t>（二）主要</w:t>
            </w:r>
            <w:r>
              <w:rPr>
                <w:spacing w:val="-3"/>
                <w:position w:val="7"/>
                <w:u w:val="single" w:color="auto"/>
              </w:rPr>
              <w:t>股东</w:t>
            </w:r>
            <w:r>
              <w:drawing>
                <wp:inline distT="0" distB="0" distL="0" distR="0">
                  <wp:extent cx="4445" cy="204470"/>
                  <wp:effectExtent l="0" t="0" r="0" b="0"/>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110"/>
                          <a:stretch>
                            <a:fillRect/>
                          </a:stretch>
                        </pic:blipFill>
                        <pic:spPr>
                          <a:xfrm>
                            <a:off x="0" y="0"/>
                            <a:ext cx="4692" cy="204596"/>
                          </a:xfrm>
                          <a:prstGeom prst="rect">
                            <a:avLst/>
                          </a:prstGeom>
                        </pic:spPr>
                      </pic:pic>
                    </a:graphicData>
                  </a:graphic>
                </wp:inline>
              </w:drawing>
            </w:r>
            <w:r>
              <w:drawing>
                <wp:inline distT="0" distB="0" distL="0" distR="0">
                  <wp:extent cx="4445" cy="5715"/>
                  <wp:effectExtent l="0" t="0" r="0" b="0"/>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99"/>
                          <a:stretch>
                            <a:fillRect/>
                          </a:stretch>
                        </pic:blipFill>
                        <pic:spPr>
                          <a:xfrm>
                            <a:off x="0" y="0"/>
                            <a:ext cx="4692" cy="6096"/>
                          </a:xfrm>
                          <a:prstGeom prst="rect">
                            <a:avLst/>
                          </a:prstGeom>
                        </pic:spPr>
                      </pic:pic>
                    </a:graphicData>
                  </a:graphic>
                </wp:inline>
              </w:drawing>
            </w:r>
            <w:r>
              <w:rPr>
                <w:spacing w:val="-91"/>
                <w:position w:val="7"/>
                <w:u w:val="single" w:color="auto"/>
                <w:shd w:val="clear" w:fill="D9D9D9"/>
              </w:rPr>
              <w:t xml:space="preserve"> </w:t>
            </w:r>
            <w:r>
              <w:rPr>
                <w:spacing w:val="-3"/>
                <w:position w:val="7"/>
                <w:u w:val="single" w:color="auto"/>
                <w:shd w:val="clear" w:fill="D9D9D9"/>
              </w:rPr>
              <w:t>具有持续盈利能力，信誉</w:t>
            </w:r>
            <w:r>
              <w:rPr>
                <w:spacing w:val="-64"/>
                <w:position w:val="7"/>
                <w:u w:val="single" w:color="auto"/>
                <w:shd w:val="clear" w:fill="D9D9D9"/>
              </w:rPr>
              <w:t xml:space="preserve"> </w:t>
            </w:r>
            <w:r>
              <w:rPr>
                <w:spacing w:val="-3"/>
                <w:position w:val="7"/>
                <w:u w:val="single" w:color="auto"/>
                <w:shd w:val="clear" w:fill="D9D9D9"/>
              </w:rPr>
              <w:t>良好</w:t>
            </w:r>
            <w:r>
              <w:drawing>
                <wp:inline distT="0" distB="0" distL="0" distR="0">
                  <wp:extent cx="4445" cy="204470"/>
                  <wp:effectExtent l="0" t="0" r="0" b="0"/>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85"/>
                          <a:stretch>
                            <a:fillRect/>
                          </a:stretch>
                        </pic:blipFill>
                        <pic:spPr>
                          <a:xfrm>
                            <a:off x="0" y="0"/>
                            <a:ext cx="4692" cy="204596"/>
                          </a:xfrm>
                          <a:prstGeom prst="rect">
                            <a:avLst/>
                          </a:prstGeom>
                        </pic:spPr>
                      </pic:pic>
                    </a:graphicData>
                  </a:graphic>
                </wp:inline>
              </w:drawing>
            </w:r>
            <w:r>
              <w:drawing>
                <wp:inline distT="0" distB="0" distL="0" distR="0">
                  <wp:extent cx="4445" cy="5715"/>
                  <wp:effectExtent l="0" t="0" r="0" b="0"/>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95"/>
                          <a:stretch>
                            <a:fillRect/>
                          </a:stretch>
                        </pic:blipFill>
                        <pic:spPr>
                          <a:xfrm>
                            <a:off x="0" y="0"/>
                            <a:ext cx="4692" cy="6096"/>
                          </a:xfrm>
                          <a:prstGeom prst="rect">
                            <a:avLst/>
                          </a:prstGeom>
                        </pic:spPr>
                      </pic:pic>
                    </a:graphicData>
                  </a:graphic>
                </wp:inline>
              </w:drawing>
            </w:r>
            <w:r>
              <w:rPr>
                <w:spacing w:val="-87"/>
                <w:position w:val="7"/>
              </w:rPr>
              <w:t xml:space="preserve"> </w:t>
            </w:r>
            <w:r>
              <w:rPr>
                <w:spacing w:val="-3"/>
                <w:position w:val="7"/>
              </w:rPr>
              <w:t>，最近三年无重</w:t>
            </w:r>
            <w:r>
              <w:rPr>
                <w:position w:val="7"/>
              </w:rPr>
              <w:t xml:space="preserve"> </w:t>
            </w:r>
            <w:r>
              <w:rPr>
                <w:spacing w:val="-2"/>
              </w:rPr>
              <w:t>大违法违规记录</w:t>
            </w:r>
            <w:r>
              <w:rPr>
                <w:position w:val="-7"/>
              </w:rPr>
              <w:drawing>
                <wp:inline distT="0" distB="0" distL="0" distR="0">
                  <wp:extent cx="5715" cy="203835"/>
                  <wp:effectExtent l="0" t="0" r="0" b="0"/>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76"/>
                          <a:stretch>
                            <a:fillRect/>
                          </a:stretch>
                        </pic:blipFill>
                        <pic:spPr>
                          <a:xfrm>
                            <a:off x="0" y="0"/>
                            <a:ext cx="6222" cy="204216"/>
                          </a:xfrm>
                          <a:prstGeom prst="rect">
                            <a:avLst/>
                          </a:prstGeom>
                        </pic:spPr>
                      </pic:pic>
                    </a:graphicData>
                  </a:graphic>
                </wp:inline>
              </w:drawing>
            </w:r>
            <w:r>
              <w:rPr>
                <w:spacing w:val="-2"/>
                <w:u w:val="single" w:color="auto"/>
                <w:shd w:val="clear" w:fill="D9D9D9"/>
              </w:rPr>
              <w:t>，净资产不低于人民币二亿元</w:t>
            </w:r>
            <w:r>
              <w:rPr>
                <w:spacing w:val="-98"/>
                <w:u w:val="single" w:color="auto"/>
                <w:shd w:val="clear" w:fill="D9D9D9"/>
              </w:rPr>
              <w:t xml:space="preserve"> </w:t>
            </w:r>
            <w:r>
              <w:rPr>
                <w:position w:val="-7"/>
              </w:rPr>
              <w:drawing>
                <wp:inline distT="0" distB="0" distL="0" distR="0">
                  <wp:extent cx="5715" cy="203835"/>
                  <wp:effectExtent l="0" t="0" r="0" b="0"/>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70"/>
                          <a:stretch>
                            <a:fillRect/>
                          </a:stretch>
                        </pic:blipFill>
                        <pic:spPr>
                          <a:xfrm>
                            <a:off x="0" y="0"/>
                            <a:ext cx="6223" cy="204216"/>
                          </a:xfrm>
                          <a:prstGeom prst="rect">
                            <a:avLst/>
                          </a:prstGeom>
                        </pic:spPr>
                      </pic:pic>
                    </a:graphicData>
                  </a:graphic>
                </wp:inline>
              </w:drawing>
            </w:r>
            <w:r>
              <w:rPr>
                <w:spacing w:val="-2"/>
              </w:rPr>
              <w:t>；</w:t>
            </w:r>
          </w:p>
          <w:p>
            <w:pPr>
              <w:pStyle w:val="8"/>
              <w:spacing w:before="34" w:line="219" w:lineRule="auto"/>
              <w:ind w:left="503"/>
            </w:pPr>
            <w:r>
              <w:rPr>
                <w:spacing w:val="-1"/>
              </w:rPr>
              <w:t>（三）有符合本法规定的注册资本；</w:t>
            </w:r>
            <w:r>
              <w:rPr>
                <w:spacing w:val="6"/>
                <w:u w:val="single" w:color="auto"/>
              </w:rPr>
              <w:t xml:space="preserve">            </w:t>
            </w:r>
            <w:r>
              <w:rPr>
                <w:position w:val="-7"/>
              </w:rPr>
              <w:drawing>
                <wp:inline distT="0" distB="0" distL="0" distR="0">
                  <wp:extent cx="5715" cy="5715"/>
                  <wp:effectExtent l="0" t="0" r="0" b="0"/>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74"/>
                          <a:stretch>
                            <a:fillRect/>
                          </a:stretch>
                        </pic:blipFill>
                        <pic:spPr>
                          <a:xfrm>
                            <a:off x="0" y="0"/>
                            <a:ext cx="6096" cy="6096"/>
                          </a:xfrm>
                          <a:prstGeom prst="rect">
                            <a:avLst/>
                          </a:prstGeom>
                        </pic:spPr>
                      </pic:pic>
                    </a:graphicData>
                  </a:graphic>
                </wp:inline>
              </w:drawing>
            </w:r>
            <w:r>
              <w:rPr>
                <w:spacing w:val="1"/>
              </w:rPr>
              <w:t xml:space="preserve">        </w:t>
            </w:r>
            <w:r>
              <w:rPr>
                <w:position w:val="-7"/>
              </w:rPr>
              <w:drawing>
                <wp:inline distT="0" distB="0" distL="0" distR="0">
                  <wp:extent cx="5715" cy="5715"/>
                  <wp:effectExtent l="0" t="0" r="0" b="0"/>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72"/>
                          <a:stretch>
                            <a:fillRect/>
                          </a:stretch>
                        </pic:blipFill>
                        <pic:spPr>
                          <a:xfrm>
                            <a:off x="0" y="0"/>
                            <a:ext cx="6096" cy="6096"/>
                          </a:xfrm>
                          <a:prstGeom prst="rect">
                            <a:avLst/>
                          </a:prstGeom>
                        </pic:spPr>
                      </pic:pic>
                    </a:graphicData>
                  </a:graphic>
                </wp:inline>
              </w:drawing>
            </w:r>
            <w:r>
              <w:rPr>
                <w:u w:val="single" w:color="auto"/>
              </w:rPr>
              <w:t xml:space="preserve">   </w:t>
            </w:r>
          </w:p>
          <w:p>
            <w:pPr>
              <w:pStyle w:val="8"/>
              <w:spacing w:line="226" w:lineRule="auto"/>
              <w:ind w:right="9"/>
              <w:jc w:val="right"/>
            </w:pPr>
            <w:r>
              <w:rPr>
                <w:spacing w:val="-3"/>
              </w:rPr>
              <w:t>（四）董事、监事、高级管理人员</w:t>
            </w:r>
            <w:r>
              <w:rPr>
                <w:spacing w:val="-104"/>
              </w:rPr>
              <w:t xml:space="preserve"> </w:t>
            </w:r>
            <w:r>
              <w:rPr>
                <w:position w:val="-6"/>
              </w:rPr>
              <w:drawing>
                <wp:inline distT="0" distB="0" distL="0" distR="0">
                  <wp:extent cx="6985" cy="186690"/>
                  <wp:effectExtent l="0" t="0" r="0" b="0"/>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111"/>
                          <a:stretch>
                            <a:fillRect/>
                          </a:stretch>
                        </pic:blipFill>
                        <pic:spPr>
                          <a:xfrm>
                            <a:off x="0" y="0"/>
                            <a:ext cx="7162" cy="187070"/>
                          </a:xfrm>
                          <a:prstGeom prst="rect">
                            <a:avLst/>
                          </a:prstGeom>
                        </pic:spPr>
                      </pic:pic>
                    </a:graphicData>
                  </a:graphic>
                </wp:inline>
              </w:drawing>
            </w:r>
            <w:r>
              <w:rPr>
                <w:spacing w:val="-3"/>
                <w:shd w:val="clear" w:fill="D9D9D9"/>
              </w:rPr>
              <w:t xml:space="preserve">具备任职资格， </w:t>
            </w:r>
            <w:r>
              <w:rPr>
                <w:position w:val="-6"/>
              </w:rPr>
              <w:drawing>
                <wp:inline distT="0" distB="0" distL="0" distR="0">
                  <wp:extent cx="6985" cy="186690"/>
                  <wp:effectExtent l="0" t="0" r="0" b="0"/>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84"/>
                          <a:stretch>
                            <a:fillRect/>
                          </a:stretch>
                        </pic:blipFill>
                        <pic:spPr>
                          <a:xfrm>
                            <a:off x="0" y="0"/>
                            <a:ext cx="7162" cy="187070"/>
                          </a:xfrm>
                          <a:prstGeom prst="rect">
                            <a:avLst/>
                          </a:prstGeom>
                        </pic:spPr>
                      </pic:pic>
                    </a:graphicData>
                  </a:graphic>
                </wp:inline>
              </w:drawing>
            </w:r>
            <w:r>
              <w:rPr>
                <w:spacing w:val="-3"/>
              </w:rPr>
              <w:t>从业人员</w:t>
            </w:r>
            <w:r>
              <w:rPr>
                <w:position w:val="-6"/>
              </w:rPr>
              <w:drawing>
                <wp:inline distT="0" distB="0" distL="0" distR="0">
                  <wp:extent cx="6985" cy="186690"/>
                  <wp:effectExtent l="0" t="0" r="0" b="0"/>
                  <wp:docPr id="518" name="IM 518"/>
                  <wp:cNvGraphicFramePr/>
                  <a:graphic xmlns:a="http://schemas.openxmlformats.org/drawingml/2006/main">
                    <a:graphicData uri="http://schemas.openxmlformats.org/drawingml/2006/picture">
                      <pic:pic xmlns:pic="http://schemas.openxmlformats.org/drawingml/2006/picture">
                        <pic:nvPicPr>
                          <pic:cNvPr id="518" name="IM 518"/>
                          <pic:cNvPicPr/>
                        </pic:nvPicPr>
                        <pic:blipFill>
                          <a:blip r:embed="rId111"/>
                          <a:stretch>
                            <a:fillRect/>
                          </a:stretch>
                        </pic:blipFill>
                        <pic:spPr>
                          <a:xfrm>
                            <a:off x="0" y="0"/>
                            <a:ext cx="7162" cy="187070"/>
                          </a:xfrm>
                          <a:prstGeom prst="rect">
                            <a:avLst/>
                          </a:prstGeom>
                        </pic:spPr>
                      </pic:pic>
                    </a:graphicData>
                  </a:graphic>
                </wp:inline>
              </w:drawing>
            </w:r>
            <w:r>
              <w:rPr>
                <w:spacing w:val="-3"/>
                <w:shd w:val="clear" w:fill="D9D9D9"/>
              </w:rPr>
              <w:t>具</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trPr>
        <w:tc>
          <w:tcPr>
            <w:tcW w:w="7095" w:type="dxa"/>
            <w:gridSpan w:val="4"/>
            <w:tcBorders>
              <w:top w:val="single" w:color="000000" w:sz="2" w:space="0"/>
            </w:tcBorders>
            <w:vAlign w:val="top"/>
          </w:tcPr>
          <w:p>
            <w:pPr>
              <w:pStyle w:val="8"/>
              <w:spacing w:before="21"/>
              <w:ind w:left="28"/>
            </w:pPr>
            <w:r>
              <w:pict>
                <v:shape id="_x0000_s1077" o:spid="_x0000_s1077" style="position:absolute;left:0pt;margin-left:158.1pt;margin-top:33pt;height:0.5pt;width:12pt;mso-position-horizontal-relative:page;mso-position-vertical-relative:page;z-index:-251610112;mso-width-relative:page;mso-height-relative:page;" fillcolor="#000000" filled="t" stroked="f" coordsize="240,10" path="m0,0l240,0,240,9,0,9,0,0xe">
                  <v:path/>
                  <v:fill on="t" focussize="0,0"/>
                  <v:stroke on="f"/>
                  <v:imagedata o:title=""/>
                  <o:lock v:ext="edit"/>
                </v:shape>
              </w:pict>
            </w:r>
            <w:r>
              <w:pict>
                <v:shape id="_x0000_s1078" o:spid="_x0000_s1078" style="position:absolute;left:0pt;margin-left:147.65pt;margin-top:49.55pt;height:0.5pt;width:36.4pt;mso-position-horizontal-relative:page;mso-position-vertical-relative:page;z-index:-251612160;mso-width-relative:page;mso-height-relative:page;" fillcolor="#000000" filled="t" stroked="f" coordsize="728,10" path="m0,0l727,0,727,9,0,9,0,0xe">
                  <v:path/>
                  <v:fill on="t" focussize="0,0"/>
                  <v:stroke on="f"/>
                  <v:imagedata o:title=""/>
                  <o:lock v:ext="edit"/>
                </v:shape>
              </w:pict>
            </w:r>
            <w:r>
              <w:rPr>
                <w:spacing w:val="-2"/>
                <w:u w:val="single" w:color="auto"/>
                <w:shd w:val="clear" w:fill="D9D9D9"/>
              </w:rPr>
              <w:t>有证券从业资格</w:t>
            </w:r>
            <w:r>
              <w:rPr>
                <w:position w:val="-7"/>
              </w:rPr>
              <w:drawing>
                <wp:inline distT="0" distB="0" distL="0" distR="0">
                  <wp:extent cx="5715" cy="203835"/>
                  <wp:effectExtent l="0" t="0" r="0" b="0"/>
                  <wp:docPr id="520" name="IM 520"/>
                  <wp:cNvGraphicFramePr/>
                  <a:graphic xmlns:a="http://schemas.openxmlformats.org/drawingml/2006/main">
                    <a:graphicData uri="http://schemas.openxmlformats.org/drawingml/2006/picture">
                      <pic:pic xmlns:pic="http://schemas.openxmlformats.org/drawingml/2006/picture">
                        <pic:nvPicPr>
                          <pic:cNvPr id="520" name="IM 520"/>
                          <pic:cNvPicPr/>
                        </pic:nvPicPr>
                        <pic:blipFill>
                          <a:blip r:embed="rId73"/>
                          <a:stretch>
                            <a:fillRect/>
                          </a:stretch>
                        </pic:blipFill>
                        <pic:spPr>
                          <a:xfrm>
                            <a:off x="0" y="0"/>
                            <a:ext cx="6349" cy="204216"/>
                          </a:xfrm>
                          <a:prstGeom prst="rect">
                            <a:avLst/>
                          </a:prstGeom>
                        </pic:spPr>
                      </pic:pic>
                    </a:graphicData>
                  </a:graphic>
                </wp:inline>
              </w:drawing>
            </w:r>
            <w:r>
              <w:rPr>
                <w:spacing w:val="-2"/>
              </w:rPr>
              <w:t>；</w:t>
            </w:r>
          </w:p>
          <w:p>
            <w:pPr>
              <w:pStyle w:val="8"/>
              <w:spacing w:before="35" w:line="213" w:lineRule="auto"/>
              <w:ind w:left="503"/>
            </w:pPr>
            <w:r>
              <w:rPr>
                <w:spacing w:val="-4"/>
              </w:rPr>
              <w:t>（五）有完善的风险管理与内部控制制度；</w:t>
            </w:r>
          </w:p>
          <w:p>
            <w:pPr>
              <w:pStyle w:val="8"/>
              <w:spacing w:line="247" w:lineRule="auto"/>
              <w:ind w:left="503"/>
            </w:pPr>
            <w:r>
              <w:rPr>
                <w:spacing w:val="-5"/>
              </w:rPr>
              <w:t>（六）有合格的经营场所</w:t>
            </w:r>
            <w:r>
              <w:rPr>
                <w:spacing w:val="-87"/>
              </w:rPr>
              <w:t xml:space="preserve"> </w:t>
            </w:r>
            <w:r>
              <w:rPr>
                <w:position w:val="-6"/>
              </w:rPr>
              <w:drawing>
                <wp:inline distT="0" distB="0" distL="0" distR="0">
                  <wp:extent cx="3810" cy="198120"/>
                  <wp:effectExtent l="0" t="0" r="0" b="0"/>
                  <wp:docPr id="522" name="IM 522"/>
                  <wp:cNvGraphicFramePr/>
                  <a:graphic xmlns:a="http://schemas.openxmlformats.org/drawingml/2006/main">
                    <a:graphicData uri="http://schemas.openxmlformats.org/drawingml/2006/picture">
                      <pic:pic xmlns:pic="http://schemas.openxmlformats.org/drawingml/2006/picture">
                        <pic:nvPicPr>
                          <pic:cNvPr id="522" name="IM 522"/>
                          <pic:cNvPicPr/>
                        </pic:nvPicPr>
                        <pic:blipFill>
                          <a:blip r:embed="rId76"/>
                          <a:stretch>
                            <a:fillRect/>
                          </a:stretch>
                        </pic:blipFill>
                        <pic:spPr>
                          <a:xfrm>
                            <a:off x="0" y="0"/>
                            <a:ext cx="4063" cy="198120"/>
                          </a:xfrm>
                          <a:prstGeom prst="rect">
                            <a:avLst/>
                          </a:prstGeom>
                        </pic:spPr>
                      </pic:pic>
                    </a:graphicData>
                  </a:graphic>
                </wp:inline>
              </w:drawing>
            </w:r>
            <w:r>
              <w:rPr>
                <w:spacing w:val="-5"/>
                <w:u w:val="single" w:color="auto"/>
                <w:shd w:val="clear" w:fill="D9D9D9"/>
              </w:rPr>
              <w:t>和</w:t>
            </w:r>
            <w:r>
              <w:rPr>
                <w:position w:val="24"/>
              </w:rPr>
              <w:drawing>
                <wp:inline distT="0" distB="0" distL="0" distR="0">
                  <wp:extent cx="3810" cy="5715"/>
                  <wp:effectExtent l="0" t="0" r="0" b="0"/>
                  <wp:docPr id="524" name="IM 524"/>
                  <wp:cNvGraphicFramePr/>
                  <a:graphic xmlns:a="http://schemas.openxmlformats.org/drawingml/2006/main">
                    <a:graphicData uri="http://schemas.openxmlformats.org/drawingml/2006/picture">
                      <pic:pic xmlns:pic="http://schemas.openxmlformats.org/drawingml/2006/picture">
                        <pic:nvPicPr>
                          <pic:cNvPr id="524" name="IM 524"/>
                          <pic:cNvPicPr/>
                        </pic:nvPicPr>
                        <pic:blipFill>
                          <a:blip r:embed="rId75"/>
                          <a:stretch>
                            <a:fillRect/>
                          </a:stretch>
                        </pic:blipFill>
                        <pic:spPr>
                          <a:xfrm>
                            <a:off x="0" y="0"/>
                            <a:ext cx="4063" cy="6096"/>
                          </a:xfrm>
                          <a:prstGeom prst="rect">
                            <a:avLst/>
                          </a:prstGeom>
                        </pic:spPr>
                      </pic:pic>
                    </a:graphicData>
                  </a:graphic>
                </wp:inline>
              </w:drawing>
            </w:r>
            <w:r>
              <w:rPr>
                <w:position w:val="-7"/>
              </w:rPr>
              <w:drawing>
                <wp:inline distT="0" distB="0" distL="0" distR="0">
                  <wp:extent cx="3810" cy="20383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77"/>
                          <a:stretch>
                            <a:fillRect/>
                          </a:stretch>
                        </pic:blipFill>
                        <pic:spPr>
                          <a:xfrm>
                            <a:off x="0" y="0"/>
                            <a:ext cx="4063" cy="204216"/>
                          </a:xfrm>
                          <a:prstGeom prst="rect">
                            <a:avLst/>
                          </a:prstGeom>
                        </pic:spPr>
                      </pic:pic>
                    </a:graphicData>
                  </a:graphic>
                </wp:inline>
              </w:drawing>
            </w:r>
            <w:r>
              <w:rPr>
                <w:spacing w:val="-5"/>
              </w:rPr>
              <w:t>业务设施；</w:t>
            </w:r>
          </w:p>
          <w:p>
            <w:pPr>
              <w:pStyle w:val="8"/>
              <w:spacing w:line="239" w:lineRule="auto"/>
              <w:ind w:left="13" w:firstLine="490"/>
            </w:pPr>
            <w:r>
              <w:rPr>
                <w:spacing w:val="2"/>
              </w:rPr>
              <w:t>（七）法律、行政法规</w:t>
            </w:r>
            <w:r>
              <w:rPr>
                <w:spacing w:val="-102"/>
              </w:rPr>
              <w:t xml:space="preserve"> </w:t>
            </w:r>
            <w:r>
              <w:rPr>
                <w:position w:val="24"/>
              </w:rPr>
              <w:drawing>
                <wp:inline distT="0" distB="0" distL="0" distR="0">
                  <wp:extent cx="2540" cy="5715"/>
                  <wp:effectExtent l="0" t="0" r="0" b="0"/>
                  <wp:docPr id="528" name="IM 528"/>
                  <wp:cNvGraphicFramePr/>
                  <a:graphic xmlns:a="http://schemas.openxmlformats.org/drawingml/2006/main">
                    <a:graphicData uri="http://schemas.openxmlformats.org/drawingml/2006/picture">
                      <pic:pic xmlns:pic="http://schemas.openxmlformats.org/drawingml/2006/picture">
                        <pic:nvPicPr>
                          <pic:cNvPr id="528" name="IM 528"/>
                          <pic:cNvPicPr/>
                        </pic:nvPicPr>
                        <pic:blipFill>
                          <a:blip r:embed="rId72"/>
                          <a:stretch>
                            <a:fillRect/>
                          </a:stretch>
                        </pic:blipFill>
                        <pic:spPr>
                          <a:xfrm>
                            <a:off x="0" y="0"/>
                            <a:ext cx="3047" cy="6096"/>
                          </a:xfrm>
                          <a:prstGeom prst="rect">
                            <a:avLst/>
                          </a:prstGeom>
                        </pic:spPr>
                      </pic:pic>
                    </a:graphicData>
                  </a:graphic>
                </wp:inline>
              </w:drawing>
            </w:r>
            <w:r>
              <w:rPr>
                <w:position w:val="-7"/>
              </w:rPr>
              <w:drawing>
                <wp:inline distT="0" distB="0" distL="0" distR="0">
                  <wp:extent cx="2540" cy="20447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73"/>
                          <a:stretch>
                            <a:fillRect/>
                          </a:stretch>
                        </pic:blipFill>
                        <pic:spPr>
                          <a:xfrm>
                            <a:off x="0" y="0"/>
                            <a:ext cx="3047" cy="204470"/>
                          </a:xfrm>
                          <a:prstGeom prst="rect">
                            <a:avLst/>
                          </a:prstGeom>
                        </pic:spPr>
                      </pic:pic>
                    </a:graphicData>
                  </a:graphic>
                </wp:inline>
              </w:drawing>
            </w:r>
            <w:r>
              <w:rPr>
                <w:spacing w:val="2"/>
                <w:u w:val="single" w:color="auto"/>
                <w:shd w:val="clear" w:fill="D9D9D9"/>
              </w:rPr>
              <w:t>规定的</w:t>
            </w:r>
            <w:r>
              <w:rPr>
                <w:spacing w:val="-117"/>
                <w:u w:val="single" w:color="auto"/>
                <w:shd w:val="clear" w:fill="D9D9D9"/>
              </w:rPr>
              <w:t xml:space="preserve"> </w:t>
            </w:r>
            <w:r>
              <w:rPr>
                <w:position w:val="24"/>
              </w:rPr>
              <w:drawing>
                <wp:inline distT="0" distB="0" distL="0" distR="0">
                  <wp:extent cx="2540" cy="5715"/>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72"/>
                          <a:stretch>
                            <a:fillRect/>
                          </a:stretch>
                        </pic:blipFill>
                        <pic:spPr>
                          <a:xfrm>
                            <a:off x="0" y="0"/>
                            <a:ext cx="3047" cy="6096"/>
                          </a:xfrm>
                          <a:prstGeom prst="rect">
                            <a:avLst/>
                          </a:prstGeom>
                        </pic:spPr>
                      </pic:pic>
                    </a:graphicData>
                  </a:graphic>
                </wp:inline>
              </w:drawing>
            </w:r>
            <w:r>
              <w:rPr>
                <w:position w:val="-7"/>
              </w:rPr>
              <w:drawing>
                <wp:inline distT="0" distB="0" distL="0" distR="0">
                  <wp:extent cx="2540" cy="20447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73"/>
                          <a:stretch>
                            <a:fillRect/>
                          </a:stretch>
                        </pic:blipFill>
                        <pic:spPr>
                          <a:xfrm>
                            <a:off x="0" y="0"/>
                            <a:ext cx="3047" cy="204470"/>
                          </a:xfrm>
                          <a:prstGeom prst="rect">
                            <a:avLst/>
                          </a:prstGeom>
                        </pic:spPr>
                      </pic:pic>
                    </a:graphicData>
                  </a:graphic>
                </wp:inline>
              </w:drawing>
            </w:r>
            <w:r>
              <w:rPr>
                <w:spacing w:val="2"/>
              </w:rPr>
              <w:t>和经国务院批准的国务院证券监</w:t>
            </w:r>
            <w:r>
              <w:t xml:space="preserve"> </w:t>
            </w:r>
            <w:r>
              <w:rPr>
                <w:spacing w:val="-5"/>
              </w:rPr>
              <w:t>督管理机构规定的其他条件。</w:t>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3" w:hRule="atLeast"/>
        </w:trPr>
        <w:tc>
          <w:tcPr>
            <w:tcW w:w="7095" w:type="dxa"/>
            <w:gridSpan w:val="4"/>
            <w:vAlign w:val="top"/>
          </w:tcPr>
          <w:p>
            <w:pPr>
              <w:pStyle w:val="8"/>
              <w:spacing w:before="40" w:line="234" w:lineRule="auto"/>
              <w:ind w:left="15" w:firstLine="497"/>
            </w:pPr>
            <w:r>
              <w:rPr>
                <w:rFonts w:ascii="黑体" w:hAnsi="黑体" w:eastAsia="黑体" w:cs="黑体"/>
                <w:spacing w:val="3"/>
              </w:rPr>
              <w:t xml:space="preserve">第一百二十八条  </w:t>
            </w:r>
            <w:r>
              <w:rPr>
                <w:spacing w:val="3"/>
              </w:rPr>
              <w:t>国务院证券监督管理机构应当自受理证券公</w:t>
            </w:r>
            <w:r>
              <w:t xml:space="preserve"> </w:t>
            </w:r>
            <w:r>
              <w:rPr>
                <w:spacing w:val="3"/>
              </w:rPr>
              <w:t>司设立申请之日起六个月内，依照法定条件和法定程序并根据审慎</w:t>
            </w:r>
            <w:r>
              <w:rPr>
                <w:spacing w:val="16"/>
              </w:rPr>
              <w:t xml:space="preserve"> </w:t>
            </w:r>
            <w:r>
              <w:rPr>
                <w:spacing w:val="12"/>
              </w:rPr>
              <w:t>监管原则进行审查，作出批准或者不予批准的决定，并通知申请</w:t>
            </w:r>
            <w:r>
              <w:rPr>
                <w:spacing w:val="5"/>
              </w:rPr>
              <w:t xml:space="preserve"> </w:t>
            </w:r>
            <w:r>
              <w:rPr>
                <w:spacing w:val="-4"/>
              </w:rPr>
              <w:t>人；不予批准的，应当说明理由。</w:t>
            </w:r>
          </w:p>
          <w:p>
            <w:pPr>
              <w:pStyle w:val="8"/>
              <w:spacing w:before="28" w:line="228" w:lineRule="auto"/>
              <w:ind w:left="12" w:firstLine="507"/>
            </w:pPr>
            <w:r>
              <w:rPr>
                <w:spacing w:val="-2"/>
              </w:rPr>
              <w:t>证券公司设立申请获得批准的， 申请人应当在规定的期限内向</w:t>
            </w:r>
            <w:r>
              <w:rPr>
                <w:spacing w:val="14"/>
              </w:rPr>
              <w:t xml:space="preserve"> </w:t>
            </w:r>
            <w:r>
              <w:rPr>
                <w:spacing w:val="-3"/>
              </w:rPr>
              <w:t>公司登记机关申请设立登记，领取营业执照。</w:t>
            </w:r>
          </w:p>
          <w:p>
            <w:pPr>
              <w:pStyle w:val="8"/>
              <w:spacing w:before="29" w:line="227" w:lineRule="auto"/>
              <w:ind w:left="20" w:firstLine="499"/>
            </w:pPr>
            <w:r>
              <w:rPr>
                <w:spacing w:val="-2"/>
              </w:rPr>
              <w:t>证券公司应当自领取营业执照之日起十五日内， 向国务院证券</w:t>
            </w:r>
            <w:r>
              <w:rPr>
                <w:spacing w:val="13"/>
              </w:rPr>
              <w:t xml:space="preserve"> </w:t>
            </w:r>
            <w:r>
              <w:rPr>
                <w:spacing w:val="3"/>
              </w:rPr>
              <w:t>监督管理机构申请经营证券业务许可证。未取得经营证券业务许可</w:t>
            </w:r>
            <w:r>
              <w:rPr>
                <w:spacing w:val="11"/>
              </w:rPr>
              <w:t xml:space="preserve"> </w:t>
            </w:r>
            <w:r>
              <w:rPr>
                <w:spacing w:val="-5"/>
              </w:rPr>
              <w:t>证，证券公司不得经营证券业务。</w:t>
            </w:r>
          </w:p>
        </w:tc>
        <w:tc>
          <w:tcPr>
            <w:tcW w:w="6812" w:type="dxa"/>
            <w:vAlign w:val="top"/>
          </w:tcPr>
          <w:p>
            <w:pPr>
              <w:pStyle w:val="8"/>
              <w:spacing w:before="37" w:line="234" w:lineRule="auto"/>
              <w:ind w:left="15" w:right="4" w:firstLine="500"/>
            </w:pPr>
            <w:r>
              <w:rPr>
                <w:rFonts w:ascii="黑体" w:hAnsi="黑体" w:eastAsia="黑体" w:cs="黑体"/>
                <w:spacing w:val="1"/>
              </w:rPr>
              <w:t xml:space="preserve">第一百一十九条  </w:t>
            </w:r>
            <w:r>
              <w:rPr>
                <w:spacing w:val="1"/>
              </w:rPr>
              <w:t>国务院证券监督管理机构应当自受理证券</w:t>
            </w:r>
            <w:r>
              <w:rPr>
                <w:spacing w:val="8"/>
              </w:rPr>
              <w:t xml:space="preserve"> </w:t>
            </w:r>
            <w:r>
              <w:rPr>
                <w:spacing w:val="2"/>
              </w:rPr>
              <w:t>公司设立申请之日起六个月内，依照法定条件和法定程序并根据</w:t>
            </w:r>
            <w:r>
              <w:t xml:space="preserve"> </w:t>
            </w:r>
            <w:r>
              <w:rPr>
                <w:spacing w:val="2"/>
              </w:rPr>
              <w:t>审慎监管原则进行审查，作出批准或者不予批准的决定</w:t>
            </w:r>
            <w:r>
              <w:rPr>
                <w:spacing w:val="1"/>
              </w:rPr>
              <w:t>，并通知</w:t>
            </w:r>
            <w:r>
              <w:t xml:space="preserve"> </w:t>
            </w:r>
            <w:r>
              <w:rPr>
                <w:spacing w:val="-4"/>
              </w:rPr>
              <w:t>申请人；不予批准的，应当说明理由。</w:t>
            </w:r>
          </w:p>
          <w:p>
            <w:pPr>
              <w:pStyle w:val="8"/>
              <w:spacing w:before="31" w:line="228" w:lineRule="auto"/>
              <w:ind w:left="45" w:right="7" w:firstLine="477"/>
            </w:pPr>
            <w:r>
              <w:rPr>
                <w:spacing w:val="1"/>
              </w:rPr>
              <w:t>证券公司设立申请获得批准的，申请人应当在规定的期限内</w:t>
            </w:r>
            <w:r>
              <w:t xml:space="preserve"> </w:t>
            </w:r>
            <w:r>
              <w:rPr>
                <w:spacing w:val="-4"/>
              </w:rPr>
              <w:t>向公司登记机关申请设立登记，领取营业执照。</w:t>
            </w:r>
          </w:p>
          <w:p>
            <w:pPr>
              <w:pStyle w:val="8"/>
              <w:spacing w:before="29" w:line="227" w:lineRule="auto"/>
              <w:ind w:left="19" w:right="7" w:firstLine="503"/>
            </w:pPr>
            <w:r>
              <w:rPr>
                <w:spacing w:val="1"/>
              </w:rPr>
              <w:t>证券公司应当自领取营业执照之日起十五日内，向国务院证</w:t>
            </w:r>
            <w:r>
              <w:t xml:space="preserve"> </w:t>
            </w:r>
            <w:r>
              <w:rPr>
                <w:spacing w:val="2"/>
              </w:rPr>
              <w:t>券监督管理机构申请经营证券业务许可证。未</w:t>
            </w:r>
            <w:r>
              <w:rPr>
                <w:spacing w:val="1"/>
              </w:rPr>
              <w:t>取得经营证券业务</w:t>
            </w:r>
            <w:r>
              <w:t xml:space="preserve"> </w:t>
            </w:r>
            <w:r>
              <w:rPr>
                <w:spacing w:val="-4"/>
              </w:rPr>
              <w:t>许可证，证券公司不得经营证券业务。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7095" w:type="dxa"/>
            <w:gridSpan w:val="4"/>
            <w:vAlign w:val="top"/>
          </w:tcPr>
          <w:p>
            <w:pPr>
              <w:pStyle w:val="8"/>
              <w:spacing w:before="20" w:line="242" w:lineRule="auto"/>
              <w:ind w:left="23" w:firstLine="489"/>
            </w:pPr>
            <w:r>
              <w:rPr>
                <w:rFonts w:ascii="黑体" w:hAnsi="黑体" w:eastAsia="黑体" w:cs="黑体"/>
                <w:spacing w:val="-2"/>
              </w:rPr>
              <w:t xml:space="preserve">第一百二十五条  </w:t>
            </w:r>
            <w:r>
              <w:rPr>
                <w:spacing w:val="-2"/>
              </w:rPr>
              <w:t>经国务院证券监督管理机构</w:t>
            </w:r>
            <w:r>
              <w:rPr>
                <w:position w:val="-7"/>
              </w:rPr>
              <w:drawing>
                <wp:inline distT="0" distB="0" distL="0" distR="0">
                  <wp:extent cx="8255" cy="203835"/>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83"/>
                          <a:stretch>
                            <a:fillRect/>
                          </a:stretch>
                        </pic:blipFill>
                        <pic:spPr>
                          <a:xfrm>
                            <a:off x="0" y="0"/>
                            <a:ext cx="8572" cy="204216"/>
                          </a:xfrm>
                          <a:prstGeom prst="rect">
                            <a:avLst/>
                          </a:prstGeom>
                        </pic:spPr>
                      </pic:pic>
                    </a:graphicData>
                  </a:graphic>
                </wp:inline>
              </w:drawing>
            </w:r>
            <w:r>
              <w:rPr>
                <w:spacing w:val="-2"/>
                <w:u w:val="single" w:color="auto"/>
                <w:shd w:val="clear" w:fill="E5E5E5"/>
              </w:rPr>
              <w:t>批</w:t>
            </w:r>
            <w:r>
              <w:rPr>
                <w:position w:val="-7"/>
              </w:rPr>
              <w:drawing>
                <wp:inline distT="0" distB="0" distL="0" distR="0">
                  <wp:extent cx="8255" cy="203835"/>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76"/>
                          <a:stretch>
                            <a:fillRect/>
                          </a:stretch>
                        </pic:blipFill>
                        <pic:spPr>
                          <a:xfrm>
                            <a:off x="0" y="0"/>
                            <a:ext cx="8572" cy="204216"/>
                          </a:xfrm>
                          <a:prstGeom prst="rect">
                            <a:avLst/>
                          </a:prstGeom>
                        </pic:spPr>
                      </pic:pic>
                    </a:graphicData>
                  </a:graphic>
                </wp:inline>
              </w:drawing>
            </w:r>
            <w:r>
              <w:rPr>
                <w:spacing w:val="-2"/>
              </w:rPr>
              <w:t xml:space="preserve">准， </w:t>
            </w:r>
            <w:r>
              <w:rPr>
                <w:spacing w:val="-3"/>
              </w:rPr>
              <w:t>证券公司</w:t>
            </w:r>
            <w:r>
              <w:t xml:space="preserve"> </w:t>
            </w:r>
            <w:r>
              <w:rPr>
                <w:spacing w:val="-6"/>
              </w:rPr>
              <w:t>可以经营下列部分或者全部业务：</w:t>
            </w:r>
          </w:p>
          <w:p>
            <w:pPr>
              <w:pStyle w:val="8"/>
              <w:spacing w:before="27" w:line="217" w:lineRule="auto"/>
              <w:ind w:left="503"/>
            </w:pPr>
            <w:r>
              <w:rPr>
                <w:spacing w:val="-7"/>
              </w:rPr>
              <w:t>（一）证券经纪；</w:t>
            </w:r>
          </w:p>
          <w:p>
            <w:pPr>
              <w:pStyle w:val="8"/>
              <w:spacing w:before="28" w:line="209" w:lineRule="auto"/>
              <w:ind w:left="503"/>
            </w:pPr>
            <w:r>
              <w:rPr>
                <w:spacing w:val="-6"/>
              </w:rPr>
              <w:t>（二）证券投资咨询；</w:t>
            </w:r>
          </w:p>
        </w:tc>
        <w:tc>
          <w:tcPr>
            <w:tcW w:w="6812" w:type="dxa"/>
            <w:vAlign w:val="top"/>
          </w:tcPr>
          <w:p>
            <w:pPr>
              <w:pStyle w:val="8"/>
              <w:spacing w:before="44" w:line="210" w:lineRule="auto"/>
              <w:ind w:left="15" w:right="2" w:firstLine="500"/>
              <w:jc w:val="both"/>
            </w:pPr>
            <w:r>
              <w:rPr>
                <w:rFonts w:ascii="黑体" w:hAnsi="黑体" w:eastAsia="黑体" w:cs="黑体"/>
                <w:spacing w:val="1"/>
              </w:rPr>
              <w:t xml:space="preserve">第一百二十条  </w:t>
            </w:r>
            <w:r>
              <w:rPr>
                <w:rFonts w:ascii="微软雅黑" w:hAnsi="微软雅黑" w:eastAsia="微软雅黑" w:cs="微软雅黑"/>
                <w:spacing w:val="1"/>
              </w:rPr>
              <w:t>经国务院证券监督管理机构核准</w:t>
            </w:r>
            <w:r>
              <w:rPr>
                <w:rFonts w:ascii="黑体" w:hAnsi="黑体" w:eastAsia="黑体" w:cs="黑体"/>
                <w:spacing w:val="1"/>
              </w:rPr>
              <w:t>，取得经营</w:t>
            </w:r>
            <w:r>
              <w:rPr>
                <w:rFonts w:ascii="黑体" w:hAnsi="黑体" w:eastAsia="黑体" w:cs="黑体"/>
                <w:spacing w:val="8"/>
              </w:rPr>
              <w:t xml:space="preserve"> </w:t>
            </w:r>
            <w:r>
              <w:rPr>
                <w:rFonts w:ascii="黑体" w:hAnsi="黑体" w:eastAsia="黑体" w:cs="黑体"/>
                <w:spacing w:val="11"/>
              </w:rPr>
              <w:t>证券业务许可证，</w:t>
            </w:r>
            <w:r>
              <w:rPr>
                <w:spacing w:val="11"/>
              </w:rPr>
              <w:t>证券公司可以经营下列部分或者全部证券业</w:t>
            </w:r>
            <w:r>
              <w:t xml:space="preserve"> </w:t>
            </w:r>
            <w:r>
              <w:rPr>
                <w:spacing w:val="-19"/>
              </w:rPr>
              <w:t>务：</w:t>
            </w:r>
          </w:p>
          <w:p>
            <w:pPr>
              <w:pStyle w:val="8"/>
              <w:spacing w:before="28" w:line="217" w:lineRule="auto"/>
              <w:ind w:left="506"/>
            </w:pPr>
            <w:r>
              <w:rPr>
                <w:spacing w:val="-7"/>
              </w:rPr>
              <w:t>（一）证券经纪；</w:t>
            </w:r>
          </w:p>
        </w:tc>
      </w:tr>
    </w:tbl>
    <w:p>
      <w:pPr>
        <w:spacing w:line="240" w:lineRule="exact"/>
        <w:rPr>
          <w:rFonts w:ascii="Arial"/>
          <w:sz w:val="20"/>
        </w:rPr>
      </w:pPr>
    </w:p>
    <w:p>
      <w:pPr>
        <w:spacing w:line="240" w:lineRule="exact"/>
        <w:rPr>
          <w:rFonts w:ascii="Arial" w:hAnsi="Arial" w:eastAsia="Arial" w:cs="Arial"/>
          <w:sz w:val="20"/>
          <w:szCs w:val="20"/>
        </w:rPr>
        <w:sectPr>
          <w:footerReference r:id="rId37"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9"/>
        <w:gridCol w:w="494"/>
        <w:gridCol w:w="470"/>
        <w:gridCol w:w="981"/>
        <w:gridCol w:w="974"/>
        <w:gridCol w:w="195"/>
        <w:gridCol w:w="780"/>
        <w:gridCol w:w="1461"/>
        <w:gridCol w:w="976"/>
        <w:gridCol w:w="246"/>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3" w:hRule="atLeast"/>
        </w:trPr>
        <w:tc>
          <w:tcPr>
            <w:tcW w:w="7096" w:type="dxa"/>
            <w:gridSpan w:val="10"/>
            <w:vAlign w:val="top"/>
          </w:tcPr>
          <w:p>
            <w:pPr>
              <w:pStyle w:val="8"/>
              <w:spacing w:before="41" w:line="228" w:lineRule="auto"/>
              <w:ind w:left="503" w:right="1120"/>
            </w:pPr>
            <w:r>
              <w:rPr>
                <w:spacing w:val="-3"/>
              </w:rPr>
              <w:t>（三）与证券交易、证券投资活动有关的财务顾问；</w:t>
            </w:r>
            <w:r>
              <w:rPr>
                <w:spacing w:val="5"/>
              </w:rPr>
              <w:t xml:space="preserve"> </w:t>
            </w:r>
            <w:r>
              <w:rPr>
                <w:spacing w:val="-6"/>
              </w:rPr>
              <w:t>（四）证券承销与保荐；</w:t>
            </w:r>
          </w:p>
          <w:p>
            <w:pPr>
              <w:pStyle w:val="8"/>
              <w:spacing w:before="29" w:line="217" w:lineRule="auto"/>
              <w:ind w:left="503"/>
            </w:pPr>
            <w:r>
              <w:rPr>
                <w:spacing w:val="-7"/>
              </w:rPr>
              <w:t>（五）证券自营；</w:t>
            </w:r>
          </w:p>
          <w:p>
            <w:pPr>
              <w:pStyle w:val="8"/>
              <w:spacing w:before="41" w:line="319" w:lineRule="exact"/>
              <w:ind w:left="503"/>
            </w:pPr>
            <w:r>
              <w:pict>
                <v:shape id="_x0000_s1079" o:spid="_x0000_s1079" o:spt="202" type="#_x0000_t202" style="position:absolute;left:0pt;margin-left:84.15pt;margin-top:-1.25pt;height:18.6pt;width:51pt;z-index:2517104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7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974" w:type="dxa"/>
                              <w:vAlign w:val="top"/>
                            </w:tcPr>
                            <w:p>
                              <w:pPr>
                                <w:pStyle w:val="8"/>
                                <w:spacing w:before="41" w:line="207" w:lineRule="auto"/>
                                <w:jc w:val="right"/>
                              </w:pPr>
                              <w:r>
                                <w:rPr>
                                  <w:spacing w:val="-5"/>
                                  <w:shd w:val="clear" w:fill="D9D9D9"/>
                                </w:rPr>
                                <w:t>资产管理</w:t>
                              </w:r>
                            </w:p>
                          </w:tc>
                        </w:tr>
                      </w:tbl>
                      <w:p>
                        <w:pPr>
                          <w:rPr>
                            <w:rFonts w:ascii="Arial"/>
                            <w:sz w:val="21"/>
                          </w:rPr>
                        </w:pPr>
                      </w:p>
                    </w:txbxContent>
                  </v:textbox>
                </v:shape>
              </w:pict>
            </w:r>
            <w:r>
              <w:rPr>
                <w:spacing w:val="-2"/>
                <w:position w:val="5"/>
              </w:rPr>
              <w:t>（六）证券</w:t>
            </w:r>
            <w:r>
              <w:rPr>
                <w:spacing w:val="2"/>
                <w:position w:val="5"/>
              </w:rPr>
              <w:t xml:space="preserve">        </w:t>
            </w:r>
            <w:r>
              <w:rPr>
                <w:spacing w:val="-2"/>
                <w:position w:val="5"/>
              </w:rPr>
              <w:t>；</w:t>
            </w:r>
          </w:p>
          <w:p>
            <w:pPr>
              <w:pStyle w:val="8"/>
              <w:spacing w:line="216" w:lineRule="auto"/>
              <w:ind w:left="503"/>
            </w:pPr>
            <w:r>
              <w:rPr>
                <w:spacing w:val="-5"/>
              </w:rPr>
              <w:t>（七）其他证券业务。</w:t>
            </w:r>
          </w:p>
        </w:tc>
        <w:tc>
          <w:tcPr>
            <w:tcW w:w="6811" w:type="dxa"/>
            <w:vAlign w:val="top"/>
          </w:tcPr>
          <w:p>
            <w:pPr>
              <w:pStyle w:val="8"/>
              <w:spacing w:before="42" w:line="217" w:lineRule="auto"/>
              <w:ind w:left="505"/>
            </w:pPr>
            <w:r>
              <w:rPr>
                <w:spacing w:val="-6"/>
              </w:rPr>
              <w:t>（二）证券投资咨询；</w:t>
            </w:r>
          </w:p>
          <w:p>
            <w:pPr>
              <w:pStyle w:val="8"/>
              <w:spacing w:before="29" w:line="217" w:lineRule="auto"/>
              <w:ind w:left="505"/>
            </w:pPr>
            <w:r>
              <w:rPr>
                <w:spacing w:val="-3"/>
              </w:rPr>
              <w:t>（三）与证券交易、证券投资活动有关的财务顾问；</w:t>
            </w:r>
          </w:p>
          <w:p>
            <w:pPr>
              <w:pStyle w:val="8"/>
              <w:spacing w:before="26" w:line="216" w:lineRule="auto"/>
              <w:ind w:left="505"/>
            </w:pPr>
            <w:r>
              <w:rPr>
                <w:spacing w:val="-6"/>
              </w:rPr>
              <w:t>（四）证券承销与保荐；</w:t>
            </w:r>
          </w:p>
          <w:p>
            <w:pPr>
              <w:pStyle w:val="8"/>
              <w:spacing w:before="31" w:line="217" w:lineRule="auto"/>
              <w:ind w:left="505"/>
            </w:pPr>
            <w:r>
              <w:rPr>
                <w:spacing w:val="-6"/>
              </w:rPr>
              <w:t>（五）证券融资融券；</w:t>
            </w:r>
          </w:p>
          <w:p>
            <w:pPr>
              <w:pStyle w:val="8"/>
              <w:spacing w:before="30" w:line="217" w:lineRule="auto"/>
              <w:ind w:left="505"/>
            </w:pPr>
            <w:r>
              <w:rPr>
                <w:spacing w:val="-6"/>
              </w:rPr>
              <w:t>（六）证券做市交易；</w:t>
            </w:r>
          </w:p>
          <w:p>
            <w:pPr>
              <w:pStyle w:val="8"/>
              <w:spacing w:before="28" w:line="217" w:lineRule="auto"/>
              <w:ind w:left="505"/>
            </w:pPr>
            <w:r>
              <w:rPr>
                <w:spacing w:val="-7"/>
              </w:rPr>
              <w:t>（七）证券自营；</w:t>
            </w:r>
          </w:p>
          <w:p>
            <w:pPr>
              <w:pStyle w:val="8"/>
              <w:spacing w:before="29" w:line="217" w:lineRule="auto"/>
              <w:ind w:left="505"/>
            </w:pPr>
            <w:r>
              <w:rPr>
                <w:spacing w:val="-5"/>
              </w:rPr>
              <w:t>（八）其他证券业务。</w:t>
            </w:r>
          </w:p>
          <w:p>
            <w:pPr>
              <w:spacing w:before="27" w:line="231" w:lineRule="auto"/>
              <w:ind w:left="13" w:right="6" w:firstLine="515"/>
              <w:rPr>
                <w:rFonts w:ascii="黑体" w:hAnsi="黑体" w:eastAsia="黑体" w:cs="黑体"/>
                <w:sz w:val="24"/>
                <w:szCs w:val="24"/>
              </w:rPr>
            </w:pPr>
            <w:r>
              <w:rPr>
                <w:rFonts w:ascii="黑体" w:hAnsi="黑体" w:eastAsia="黑体" w:cs="黑体"/>
                <w:sz w:val="24"/>
                <w:szCs w:val="24"/>
              </w:rPr>
              <w:t>国务院证券监督管理机构应当自受理前款规定事项申请之日</w:t>
            </w:r>
            <w:r>
              <w:rPr>
                <w:rFonts w:ascii="黑体" w:hAnsi="黑体" w:eastAsia="黑体" w:cs="黑体"/>
                <w:spacing w:val="18"/>
                <w:sz w:val="24"/>
                <w:szCs w:val="24"/>
              </w:rPr>
              <w:t xml:space="preserve"> </w:t>
            </w:r>
            <w:r>
              <w:rPr>
                <w:rFonts w:ascii="黑体" w:hAnsi="黑体" w:eastAsia="黑体" w:cs="黑体"/>
                <w:spacing w:val="-6"/>
                <w:sz w:val="24"/>
                <w:szCs w:val="24"/>
              </w:rPr>
              <w:t>起三个月内， 依照法定条件和程序进行审查， 作出</w:t>
            </w:r>
            <w:r>
              <w:rPr>
                <w:rFonts w:ascii="黑体" w:hAnsi="黑体" w:eastAsia="黑体" w:cs="黑体"/>
                <w:spacing w:val="-7"/>
                <w:sz w:val="24"/>
                <w:szCs w:val="24"/>
              </w:rPr>
              <w:t>核准或者不予</w:t>
            </w:r>
            <w:r>
              <w:rPr>
                <w:rFonts w:ascii="黑体" w:hAnsi="黑体" w:eastAsia="黑体" w:cs="黑体"/>
                <w:sz w:val="24"/>
                <w:szCs w:val="24"/>
              </w:rPr>
              <w:t xml:space="preserve"> </w:t>
            </w:r>
            <w:r>
              <w:rPr>
                <w:rFonts w:ascii="黑体" w:hAnsi="黑体" w:eastAsia="黑体" w:cs="黑体"/>
                <w:spacing w:val="-2"/>
                <w:sz w:val="24"/>
                <w:szCs w:val="24"/>
              </w:rPr>
              <w:t>核准的决定，并通知申请人；不予核准的，应当说明理由。</w:t>
            </w:r>
          </w:p>
          <w:p>
            <w:pPr>
              <w:spacing w:before="35" w:line="230" w:lineRule="auto"/>
              <w:ind w:left="16" w:right="7" w:firstLine="497"/>
              <w:rPr>
                <w:rFonts w:ascii="黑体" w:hAnsi="黑体" w:eastAsia="黑体" w:cs="黑体"/>
                <w:sz w:val="24"/>
                <w:szCs w:val="24"/>
              </w:rPr>
            </w:pPr>
            <w:r>
              <w:rPr>
                <w:rFonts w:ascii="黑体" w:hAnsi="黑体" w:eastAsia="黑体" w:cs="黑体"/>
                <w:spacing w:val="-3"/>
                <w:sz w:val="24"/>
                <w:szCs w:val="24"/>
              </w:rPr>
              <w:t>证券公司经营证券资产管理业务的， 应当符合</w:t>
            </w:r>
            <w:r>
              <w:rPr>
                <w:rFonts w:ascii="黑体" w:hAnsi="黑体" w:eastAsia="黑体" w:cs="黑体"/>
                <w:spacing w:val="-4"/>
                <w:sz w:val="24"/>
                <w:szCs w:val="24"/>
              </w:rPr>
              <w:t>《中华人民共</w:t>
            </w:r>
            <w:r>
              <w:rPr>
                <w:rFonts w:ascii="黑体" w:hAnsi="黑体" w:eastAsia="黑体" w:cs="黑体"/>
                <w:sz w:val="24"/>
                <w:szCs w:val="24"/>
              </w:rPr>
              <w:t xml:space="preserve"> </w:t>
            </w:r>
            <w:r>
              <w:rPr>
                <w:rFonts w:ascii="黑体" w:hAnsi="黑体" w:eastAsia="黑体" w:cs="黑体"/>
                <w:spacing w:val="-2"/>
                <w:sz w:val="24"/>
                <w:szCs w:val="24"/>
              </w:rPr>
              <w:t>和国证券投资基金法》等法律、行政法规的规定。</w:t>
            </w:r>
          </w:p>
          <w:p>
            <w:pPr>
              <w:spacing w:before="25" w:line="230" w:lineRule="auto"/>
              <w:ind w:left="15" w:right="7" w:firstLine="510"/>
              <w:rPr>
                <w:rFonts w:ascii="黑体" w:hAnsi="黑体" w:eastAsia="黑体" w:cs="黑体"/>
                <w:sz w:val="24"/>
                <w:szCs w:val="24"/>
              </w:rPr>
            </w:pPr>
            <w:r>
              <w:rPr>
                <w:rFonts w:ascii="黑体" w:hAnsi="黑体" w:eastAsia="黑体" w:cs="黑体"/>
                <w:spacing w:val="-4"/>
                <w:sz w:val="24"/>
                <w:szCs w:val="24"/>
              </w:rPr>
              <w:t>除证券公司外， 任何单位和个人不得从事证券承销、证券保</w:t>
            </w:r>
            <w:r>
              <w:rPr>
                <w:rFonts w:ascii="黑体" w:hAnsi="黑体" w:eastAsia="黑体" w:cs="黑体"/>
                <w:spacing w:val="9"/>
                <w:sz w:val="24"/>
                <w:szCs w:val="24"/>
              </w:rPr>
              <w:t xml:space="preserve"> </w:t>
            </w:r>
            <w:r>
              <w:rPr>
                <w:rFonts w:ascii="黑体" w:hAnsi="黑体" w:eastAsia="黑体" w:cs="黑体"/>
                <w:spacing w:val="-3"/>
                <w:sz w:val="24"/>
                <w:szCs w:val="24"/>
              </w:rPr>
              <w:t>荐、证券经纪和证券融资融券业务。</w:t>
            </w:r>
          </w:p>
          <w:p>
            <w:pPr>
              <w:pStyle w:val="8"/>
              <w:spacing w:before="25" w:line="228" w:lineRule="auto"/>
              <w:ind w:left="23" w:right="7" w:firstLine="499"/>
            </w:pPr>
            <w:r>
              <w:rPr>
                <w:spacing w:val="-4"/>
              </w:rPr>
              <w:t>证券公司从事融资融券业务， 应当采取措施，严格防范和控</w:t>
            </w:r>
            <w:r>
              <w:rPr>
                <w:spacing w:val="13"/>
              </w:rPr>
              <w:t xml:space="preserve"> </w:t>
            </w:r>
            <w:r>
              <w:rPr>
                <w:spacing w:val="-3"/>
              </w:rPr>
              <w:t>制风险，不得违反规定向客户出借资金或者证券。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2464" w:type="dxa"/>
            <w:gridSpan w:val="4"/>
            <w:tcBorders>
              <w:bottom w:val="single" w:color="000000" w:sz="2" w:space="0"/>
              <w:right w:val="single" w:color="000000" w:sz="2" w:space="0"/>
            </w:tcBorders>
            <w:vAlign w:val="top"/>
          </w:tcPr>
          <w:p>
            <w:pPr>
              <w:spacing w:before="25" w:line="209" w:lineRule="auto"/>
              <w:ind w:left="513"/>
              <w:rPr>
                <w:rFonts w:ascii="黑体" w:hAnsi="黑体" w:eastAsia="黑体" w:cs="黑体"/>
                <w:sz w:val="24"/>
                <w:szCs w:val="24"/>
              </w:rPr>
            </w:pPr>
            <w:r>
              <w:rPr>
                <w:rFonts w:ascii="黑体" w:hAnsi="黑体" w:eastAsia="黑体" w:cs="黑体"/>
                <w:sz w:val="24"/>
                <w:szCs w:val="24"/>
              </w:rPr>
              <w:t>第一百二十六条</w:t>
            </w:r>
          </w:p>
        </w:tc>
        <w:tc>
          <w:tcPr>
            <w:tcW w:w="4632" w:type="dxa"/>
            <w:gridSpan w:val="6"/>
            <w:tcBorders>
              <w:left w:val="single" w:color="000000" w:sz="2" w:space="0"/>
              <w:bottom w:val="single" w:color="000000" w:sz="2" w:space="0"/>
            </w:tcBorders>
            <w:shd w:val="clear" w:color="auto" w:fill="D9D9D9"/>
            <w:vAlign w:val="top"/>
          </w:tcPr>
          <w:p>
            <w:pPr>
              <w:pStyle w:val="8"/>
              <w:spacing w:before="26" w:line="208" w:lineRule="auto"/>
              <w:ind w:left="12"/>
            </w:pPr>
            <w:r>
              <w:rPr>
                <w:spacing w:val="2"/>
              </w:rPr>
              <w:t>证券公司必须在其名称中标明证券有限责任</w:t>
            </w:r>
          </w:p>
        </w:tc>
        <w:tc>
          <w:tcPr>
            <w:tcW w:w="6811"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3633" w:type="dxa"/>
            <w:gridSpan w:val="6"/>
            <w:tcBorders>
              <w:top w:val="single" w:color="000000" w:sz="2" w:space="0"/>
              <w:right w:val="single" w:color="000000" w:sz="2" w:space="0"/>
            </w:tcBorders>
            <w:shd w:val="clear" w:color="auto" w:fill="D9D9D9"/>
            <w:vAlign w:val="top"/>
          </w:tcPr>
          <w:p>
            <w:pPr>
              <w:pStyle w:val="8"/>
              <w:spacing w:before="44" w:line="208" w:lineRule="auto"/>
              <w:ind w:left="22"/>
            </w:pPr>
            <w:r>
              <w:rPr>
                <w:spacing w:val="-4"/>
              </w:rPr>
              <w:t>公司或者证券股份有限公司字样。</w:t>
            </w:r>
          </w:p>
        </w:tc>
        <w:tc>
          <w:tcPr>
            <w:tcW w:w="3463" w:type="dxa"/>
            <w:gridSpan w:val="4"/>
            <w:tcBorders>
              <w:top w:val="single" w:color="000000" w:sz="2" w:space="0"/>
              <w:left w:val="single" w:color="000000" w:sz="2" w:space="0"/>
            </w:tcBorders>
            <w:vAlign w:val="top"/>
          </w:tcPr>
          <w:p>
            <w:pPr>
              <w:rPr>
                <w:rFonts w:ascii="Arial"/>
                <w:sz w:val="21"/>
              </w:rPr>
            </w:pP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7" w:hRule="atLeast"/>
        </w:trPr>
        <w:tc>
          <w:tcPr>
            <w:tcW w:w="7096" w:type="dxa"/>
            <w:gridSpan w:val="10"/>
            <w:vAlign w:val="top"/>
          </w:tcPr>
          <w:p>
            <w:pPr>
              <w:pStyle w:val="8"/>
              <w:spacing w:before="21"/>
              <w:ind w:left="13" w:firstLine="499"/>
            </w:pPr>
            <w:r>
              <w:rPr>
                <w:rFonts w:ascii="黑体" w:hAnsi="黑体" w:eastAsia="黑体" w:cs="黑体"/>
                <w:spacing w:val="2"/>
              </w:rPr>
              <w:t xml:space="preserve">第一百二十七条  </w:t>
            </w:r>
            <w:r>
              <w:rPr>
                <w:spacing w:val="2"/>
              </w:rPr>
              <w:t>证券公司经营本法第一百二十</w:t>
            </w:r>
            <w:r>
              <w:rPr>
                <w:position w:val="-7"/>
              </w:rPr>
              <w:drawing>
                <wp:inline distT="0" distB="0" distL="0" distR="0">
                  <wp:extent cx="7620" cy="203835"/>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80"/>
                          <a:stretch>
                            <a:fillRect/>
                          </a:stretch>
                        </pic:blipFill>
                        <pic:spPr>
                          <a:xfrm>
                            <a:off x="0" y="0"/>
                            <a:ext cx="7880" cy="204216"/>
                          </a:xfrm>
                          <a:prstGeom prst="rect">
                            <a:avLst/>
                          </a:prstGeom>
                        </pic:spPr>
                      </pic:pic>
                    </a:graphicData>
                  </a:graphic>
                </wp:inline>
              </w:drawing>
            </w:r>
            <w:r>
              <w:rPr>
                <w:spacing w:val="2"/>
                <w:u w:val="single" w:color="auto"/>
                <w:shd w:val="clear" w:fill="D9D9D9"/>
              </w:rPr>
              <w:t>五</w:t>
            </w:r>
            <w:r>
              <w:rPr>
                <w:position w:val="-7"/>
              </w:rPr>
              <w:drawing>
                <wp:inline distT="0" distB="0" distL="0" distR="0">
                  <wp:extent cx="7620" cy="203835"/>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80"/>
                          <a:stretch>
                            <a:fillRect/>
                          </a:stretch>
                        </pic:blipFill>
                        <pic:spPr>
                          <a:xfrm>
                            <a:off x="0" y="0"/>
                            <a:ext cx="7880" cy="204216"/>
                          </a:xfrm>
                          <a:prstGeom prst="rect">
                            <a:avLst/>
                          </a:prstGeom>
                        </pic:spPr>
                      </pic:pic>
                    </a:graphicData>
                  </a:graphic>
                </wp:inline>
              </w:drawing>
            </w:r>
            <w:r>
              <w:rPr>
                <w:spacing w:val="2"/>
              </w:rPr>
              <w:t>条第（一）</w:t>
            </w:r>
            <w:r>
              <w:t xml:space="preserve"> </w:t>
            </w:r>
            <w:r>
              <w:rPr>
                <w:spacing w:val="-1"/>
              </w:rPr>
              <w:t>项至第（三）项业务的， 注册资本最低限额为人民币五千万元；经</w:t>
            </w:r>
            <w:r>
              <w:rPr>
                <w:spacing w:val="16"/>
              </w:rPr>
              <w:t xml:space="preserve"> </w:t>
            </w:r>
            <w:r>
              <w:rPr>
                <w:spacing w:val="-1"/>
              </w:rPr>
              <w:t>营第（四）项至第（七） 项业务之一的，注册资本最低限额为人民</w:t>
            </w:r>
            <w:r>
              <w:rPr>
                <w:spacing w:val="16"/>
              </w:rPr>
              <w:t xml:space="preserve"> </w:t>
            </w:r>
            <w:r>
              <w:rPr>
                <w:spacing w:val="-8"/>
              </w:rPr>
              <w:t>币一亿元；经营第（四） 项至第（七） 项业务中两项以上的， 注册</w:t>
            </w:r>
            <w:r>
              <w:rPr>
                <w:spacing w:val="2"/>
              </w:rPr>
              <w:t xml:space="preserve"> </w:t>
            </w:r>
            <w:r>
              <w:rPr>
                <w:spacing w:val="4"/>
              </w:rPr>
              <w:t>资本最低限额为人民币五亿元。证券公司的</w:t>
            </w:r>
            <w:r>
              <w:rPr>
                <w:spacing w:val="3"/>
              </w:rPr>
              <w:t>注册资本应当是实缴资</w:t>
            </w:r>
            <w:r>
              <w:t xml:space="preserve"> </w:t>
            </w:r>
            <w:r>
              <w:rPr>
                <w:spacing w:val="-15"/>
              </w:rPr>
              <w:t>本。</w:t>
            </w:r>
          </w:p>
          <w:p>
            <w:pPr>
              <w:pStyle w:val="8"/>
              <w:spacing w:before="30" w:line="228" w:lineRule="auto"/>
              <w:ind w:left="16" w:firstLine="517"/>
            </w:pPr>
            <w:r>
              <w:rPr>
                <w:spacing w:val="2"/>
              </w:rPr>
              <w:t>国务院证券监督管理机构根据审慎监管原则和各项业务的风险</w:t>
            </w:r>
            <w:r>
              <w:rPr>
                <w:spacing w:val="12"/>
              </w:rPr>
              <w:t xml:space="preserve"> </w:t>
            </w:r>
            <w:r>
              <w:rPr>
                <w:spacing w:val="-2"/>
              </w:rPr>
              <w:t>程度，可以调整注册资本最低限额，但不得少于前款</w:t>
            </w:r>
            <w:r>
              <w:rPr>
                <w:spacing w:val="-3"/>
              </w:rPr>
              <w:t>规定的限额。</w:t>
            </w:r>
          </w:p>
        </w:tc>
        <w:tc>
          <w:tcPr>
            <w:tcW w:w="6811" w:type="dxa"/>
            <w:vAlign w:val="top"/>
          </w:tcPr>
          <w:p>
            <w:pPr>
              <w:pStyle w:val="8"/>
              <w:spacing w:before="43" w:line="236" w:lineRule="auto"/>
              <w:ind w:left="17" w:right="4" w:firstLine="497"/>
            </w:pPr>
            <w:r>
              <w:rPr>
                <w:rFonts w:ascii="黑体" w:hAnsi="黑体" w:eastAsia="黑体" w:cs="黑体"/>
                <w:spacing w:val="1"/>
              </w:rPr>
              <w:t xml:space="preserve">第一百二十一条  </w:t>
            </w:r>
            <w:r>
              <w:rPr>
                <w:spacing w:val="1"/>
              </w:rPr>
              <w:t>证券公司经营本法第一百</w:t>
            </w:r>
            <w:r>
              <w:rPr>
                <w:rFonts w:ascii="黑体" w:hAnsi="黑体" w:eastAsia="黑体" w:cs="黑体"/>
                <w:spacing w:val="1"/>
              </w:rPr>
              <w:t>二十</w:t>
            </w:r>
            <w:r>
              <w:rPr>
                <w:spacing w:val="1"/>
              </w:rPr>
              <w:t>条第（一）</w:t>
            </w:r>
            <w:r>
              <w:rPr>
                <w:spacing w:val="8"/>
              </w:rPr>
              <w:t xml:space="preserve"> </w:t>
            </w:r>
            <w:r>
              <w:rPr>
                <w:spacing w:val="-5"/>
              </w:rPr>
              <w:t>项至第（三） 项业务的，注册资本最低限额为人民币五千万元；</w:t>
            </w:r>
            <w:r>
              <w:rPr>
                <w:spacing w:val="12"/>
              </w:rPr>
              <w:t xml:space="preserve"> </w:t>
            </w:r>
            <w:r>
              <w:rPr>
                <w:spacing w:val="-6"/>
              </w:rPr>
              <w:t>经营第（四） 项至第（</w:t>
            </w:r>
            <w:r>
              <w:rPr>
                <w:rFonts w:ascii="黑体" w:hAnsi="黑体" w:eastAsia="黑体" w:cs="黑体"/>
                <w:spacing w:val="-6"/>
              </w:rPr>
              <w:t>八</w:t>
            </w:r>
            <w:r>
              <w:rPr>
                <w:spacing w:val="-6"/>
              </w:rPr>
              <w:t>）项业务之一的， 注</w:t>
            </w:r>
            <w:r>
              <w:rPr>
                <w:spacing w:val="-7"/>
              </w:rPr>
              <w:t>册资本最低限额为</w:t>
            </w:r>
            <w:r>
              <w:t xml:space="preserve"> </w:t>
            </w:r>
            <w:r>
              <w:rPr>
                <w:spacing w:val="11"/>
              </w:rPr>
              <w:t>人民币一亿元；经营第（四）项至第（</w:t>
            </w:r>
            <w:r>
              <w:rPr>
                <w:rFonts w:ascii="黑体" w:hAnsi="黑体" w:eastAsia="黑体" w:cs="黑体"/>
                <w:spacing w:val="11"/>
              </w:rPr>
              <w:t>八</w:t>
            </w:r>
            <w:r>
              <w:rPr>
                <w:spacing w:val="11"/>
              </w:rPr>
              <w:t>）项业务</w:t>
            </w:r>
            <w:r>
              <w:rPr>
                <w:spacing w:val="10"/>
              </w:rPr>
              <w:t>中两项以上</w:t>
            </w:r>
            <w:r>
              <w:t xml:space="preserve"> </w:t>
            </w:r>
            <w:r>
              <w:rPr>
                <w:spacing w:val="-3"/>
              </w:rPr>
              <w:t>的， 注册资本最低限额为人民币五亿元。证券公司的注册资本应</w:t>
            </w:r>
            <w:r>
              <w:rPr>
                <w:spacing w:val="16"/>
              </w:rPr>
              <w:t xml:space="preserve"> </w:t>
            </w:r>
            <w:r>
              <w:rPr>
                <w:spacing w:val="-8"/>
              </w:rPr>
              <w:t>当是实缴资本。</w:t>
            </w:r>
          </w:p>
          <w:p>
            <w:pPr>
              <w:pStyle w:val="8"/>
              <w:spacing w:before="29" w:line="229" w:lineRule="auto"/>
              <w:ind w:left="21" w:right="7" w:firstLine="514"/>
            </w:pPr>
            <w:r>
              <w:t>国务院证券监督管理机构根据审慎监管原则和各项业务的风</w:t>
            </w:r>
            <w:r>
              <w:rPr>
                <w:spacing w:val="12"/>
              </w:rPr>
              <w:t xml:space="preserve"> </w:t>
            </w:r>
            <w:r>
              <w:rPr>
                <w:spacing w:val="-3"/>
              </w:rPr>
              <w:t>险程度， 可以调整注册资本最低限额，但不得少于前款规定的限</w:t>
            </w:r>
            <w:r>
              <w:rPr>
                <w:spacing w:val="13"/>
              </w:rPr>
              <w:t xml:space="preserve"> </w:t>
            </w:r>
            <w:r>
              <w:rPr>
                <w:spacing w:val="-16"/>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1483" w:type="dxa"/>
            <w:gridSpan w:val="3"/>
            <w:vMerge w:val="restart"/>
            <w:tcBorders>
              <w:bottom w:val="nil"/>
              <w:right w:val="nil"/>
            </w:tcBorders>
            <w:vAlign w:val="top"/>
          </w:tcPr>
          <w:p>
            <w:pPr>
              <w:pStyle w:val="8"/>
              <w:spacing w:before="46" w:line="227" w:lineRule="auto"/>
              <w:ind w:left="20" w:right="7" w:firstLine="493"/>
            </w:pPr>
            <w:r>
              <w:rPr>
                <w:rFonts w:ascii="黑体" w:hAnsi="黑体" w:eastAsia="黑体" w:cs="黑体"/>
                <w:spacing w:val="-2"/>
              </w:rPr>
              <w:t>第一百二</w:t>
            </w:r>
            <w:r>
              <w:rPr>
                <w:rFonts w:ascii="黑体" w:hAnsi="黑体" w:eastAsia="黑体" w:cs="黑体"/>
                <w:spacing w:val="2"/>
              </w:rPr>
              <w:t xml:space="preserve"> </w:t>
            </w:r>
            <w:r>
              <w:rPr>
                <w:spacing w:val="-2"/>
              </w:rPr>
              <w:t>更业务范围，</w:t>
            </w:r>
          </w:p>
        </w:tc>
        <w:tc>
          <w:tcPr>
            <w:tcW w:w="1955" w:type="dxa"/>
            <w:gridSpan w:val="2"/>
            <w:tcBorders>
              <w:left w:val="nil"/>
              <w:bottom w:val="single" w:color="000000" w:sz="2" w:space="0"/>
              <w:right w:val="single" w:color="000000" w:sz="2" w:space="0"/>
            </w:tcBorders>
            <w:vAlign w:val="top"/>
          </w:tcPr>
          <w:p>
            <w:pPr>
              <w:pStyle w:val="8"/>
              <w:spacing w:before="45" w:line="205" w:lineRule="auto"/>
              <w:ind w:left="9"/>
            </w:pPr>
            <w:r>
              <w:rPr>
                <w:rFonts w:ascii="黑体" w:hAnsi="黑体" w:eastAsia="黑体" w:cs="黑体"/>
                <w:spacing w:val="-3"/>
              </w:rPr>
              <w:t>十九条</w:t>
            </w:r>
            <w:r>
              <w:rPr>
                <w:rFonts w:ascii="黑体" w:hAnsi="黑体" w:eastAsia="黑体" w:cs="黑体"/>
                <w:spacing w:val="14"/>
              </w:rPr>
              <w:t xml:space="preserve">  </w:t>
            </w:r>
            <w:r>
              <w:rPr>
                <w:spacing w:val="-3"/>
              </w:rPr>
              <w:t>证券公司</w:t>
            </w:r>
          </w:p>
        </w:tc>
        <w:tc>
          <w:tcPr>
            <w:tcW w:w="3412" w:type="dxa"/>
            <w:gridSpan w:val="4"/>
            <w:tcBorders>
              <w:left w:val="single" w:color="000000" w:sz="2" w:space="0"/>
              <w:bottom w:val="single" w:color="000000" w:sz="2" w:space="0"/>
              <w:right w:val="single" w:color="000000" w:sz="2" w:space="0"/>
            </w:tcBorders>
            <w:shd w:val="clear" w:color="auto" w:fill="D9D9D9"/>
            <w:vAlign w:val="top"/>
          </w:tcPr>
          <w:p>
            <w:pPr>
              <w:pStyle w:val="8"/>
              <w:spacing w:before="44" w:line="206" w:lineRule="auto"/>
              <w:ind w:left="5"/>
            </w:pPr>
            <w:r>
              <w:rPr>
                <w:spacing w:val="1"/>
              </w:rPr>
              <w:t>设立、收购或者撤销分支机构，</w:t>
            </w:r>
          </w:p>
        </w:tc>
        <w:tc>
          <w:tcPr>
            <w:tcW w:w="246" w:type="dxa"/>
            <w:tcBorders>
              <w:left w:val="single" w:color="000000" w:sz="2" w:space="0"/>
              <w:bottom w:val="single" w:color="000000" w:sz="2" w:space="0"/>
            </w:tcBorders>
            <w:vAlign w:val="top"/>
          </w:tcPr>
          <w:p>
            <w:pPr>
              <w:pStyle w:val="8"/>
              <w:spacing w:before="46" w:line="204" w:lineRule="auto"/>
              <w:jc w:val="right"/>
            </w:pPr>
            <w:r>
              <w:rPr>
                <w:spacing w:val="-28"/>
              </w:rPr>
              <w:t>变</w:t>
            </w:r>
          </w:p>
        </w:tc>
        <w:tc>
          <w:tcPr>
            <w:tcW w:w="6811" w:type="dxa"/>
            <w:vMerge w:val="restart"/>
            <w:tcBorders>
              <w:bottom w:val="nil"/>
            </w:tcBorders>
            <w:vAlign w:val="top"/>
          </w:tcPr>
          <w:p>
            <w:pPr>
              <w:pStyle w:val="8"/>
              <w:spacing w:before="33" w:line="232" w:lineRule="auto"/>
              <w:ind w:left="23" w:right="4" w:firstLine="491"/>
              <w:jc w:val="both"/>
            </w:pPr>
            <w:r>
              <w:rPr>
                <w:rFonts w:ascii="黑体" w:hAnsi="黑体" w:eastAsia="黑体" w:cs="黑体"/>
                <w:spacing w:val="-5"/>
              </w:rPr>
              <w:t xml:space="preserve">第一百二十二条  </w:t>
            </w:r>
            <w:r>
              <w:rPr>
                <w:spacing w:val="-5"/>
              </w:rPr>
              <w:t>证券公司变更证券业务范围，</w:t>
            </w:r>
            <w:r>
              <w:rPr>
                <w:spacing w:val="50"/>
              </w:rPr>
              <w:t xml:space="preserve"> </w:t>
            </w:r>
            <w:r>
              <w:rPr>
                <w:spacing w:val="-5"/>
              </w:rPr>
              <w:t>变更主要股</w:t>
            </w:r>
            <w:r>
              <w:t xml:space="preserve"> </w:t>
            </w:r>
            <w:r>
              <w:rPr>
                <w:spacing w:val="-4"/>
              </w:rPr>
              <w:t>东或者公司的实际控制人， 合并、分立、停业、解散、破产，应</w:t>
            </w:r>
            <w:r>
              <w:rPr>
                <w:spacing w:val="10"/>
              </w:rPr>
              <w:t xml:space="preserve"> </w:t>
            </w:r>
            <w:r>
              <w:rPr>
                <w:spacing w:val="-4"/>
              </w:rPr>
              <w:t>当经国务院证券监督管理机构核准。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483" w:type="dxa"/>
            <w:gridSpan w:val="3"/>
            <w:vMerge w:val="continue"/>
            <w:tcBorders>
              <w:top w:val="nil"/>
              <w:bottom w:val="single" w:color="000000" w:sz="2" w:space="0"/>
              <w:right w:val="nil"/>
            </w:tcBorders>
            <w:vAlign w:val="top"/>
          </w:tcPr>
          <w:p>
            <w:pPr>
              <w:rPr>
                <w:rFonts w:ascii="Arial"/>
                <w:sz w:val="21"/>
              </w:rPr>
            </w:pPr>
          </w:p>
        </w:tc>
        <w:tc>
          <w:tcPr>
            <w:tcW w:w="5613" w:type="dxa"/>
            <w:gridSpan w:val="7"/>
            <w:tcBorders>
              <w:top w:val="single" w:color="000000" w:sz="2" w:space="0"/>
              <w:left w:val="single" w:color="000000" w:sz="2" w:space="0"/>
              <w:bottom w:val="single" w:color="000000" w:sz="2" w:space="0"/>
            </w:tcBorders>
            <w:shd w:val="clear" w:color="auto" w:fill="D9D9D9"/>
            <w:vAlign w:val="top"/>
          </w:tcPr>
          <w:p>
            <w:pPr>
              <w:pStyle w:val="8"/>
              <w:spacing w:before="51" w:line="199" w:lineRule="auto"/>
              <w:ind w:left="1"/>
            </w:pPr>
            <w:r>
              <w:rPr>
                <w:spacing w:val="3"/>
              </w:rPr>
              <w:t>增加注册资本且股权结构发生重大调整，减少注册资</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19" w:type="dxa"/>
            <w:tcBorders>
              <w:top w:val="single" w:color="000000" w:sz="2" w:space="0"/>
              <w:right w:val="single" w:color="000000" w:sz="2" w:space="0"/>
            </w:tcBorders>
            <w:shd w:val="clear" w:color="auto" w:fill="D9D9D9"/>
            <w:vAlign w:val="top"/>
          </w:tcPr>
          <w:p>
            <w:pPr>
              <w:pStyle w:val="8"/>
              <w:spacing w:before="56" w:line="214" w:lineRule="auto"/>
              <w:ind w:left="23"/>
            </w:pPr>
            <w:r>
              <w:rPr>
                <w:spacing w:val="-16"/>
              </w:rPr>
              <w:t>本，</w:t>
            </w:r>
          </w:p>
        </w:tc>
        <w:tc>
          <w:tcPr>
            <w:tcW w:w="494" w:type="dxa"/>
            <w:tcBorders>
              <w:top w:val="nil"/>
              <w:left w:val="single" w:color="000000" w:sz="2" w:space="0"/>
              <w:right w:val="single" w:color="000000" w:sz="2" w:space="0"/>
            </w:tcBorders>
            <w:vAlign w:val="top"/>
          </w:tcPr>
          <w:p>
            <w:pPr>
              <w:pStyle w:val="8"/>
              <w:spacing w:before="56" w:line="214" w:lineRule="auto"/>
              <w:ind w:right="1"/>
              <w:jc w:val="right"/>
            </w:pPr>
            <w:r>
              <w:rPr>
                <w:spacing w:val="-7"/>
              </w:rPr>
              <w:t>变更</w:t>
            </w:r>
          </w:p>
        </w:tc>
        <w:tc>
          <w:tcPr>
            <w:tcW w:w="3400" w:type="dxa"/>
            <w:gridSpan w:val="5"/>
            <w:tcBorders>
              <w:top w:val="single" w:color="000000" w:sz="2" w:space="0"/>
              <w:left w:val="single" w:color="000000" w:sz="2" w:space="0"/>
              <w:right w:val="single" w:color="000000" w:sz="2" w:space="0"/>
            </w:tcBorders>
            <w:shd w:val="clear" w:color="auto" w:fill="D9D9D9"/>
            <w:vAlign w:val="top"/>
          </w:tcPr>
          <w:p>
            <w:pPr>
              <w:pStyle w:val="8"/>
              <w:spacing w:before="56" w:line="214" w:lineRule="auto"/>
              <w:ind w:left="7"/>
            </w:pPr>
            <w:r>
              <w:t>持有百分之五以上股权的股东、</w:t>
            </w:r>
          </w:p>
        </w:tc>
        <w:tc>
          <w:tcPr>
            <w:tcW w:w="1461" w:type="dxa"/>
            <w:tcBorders>
              <w:top w:val="single" w:color="000000" w:sz="2" w:space="0"/>
              <w:left w:val="single" w:color="000000" w:sz="2" w:space="0"/>
              <w:right w:val="single" w:color="000000" w:sz="2" w:space="0"/>
            </w:tcBorders>
            <w:vAlign w:val="top"/>
          </w:tcPr>
          <w:p>
            <w:pPr>
              <w:pStyle w:val="8"/>
              <w:spacing w:before="56" w:line="214" w:lineRule="auto"/>
              <w:ind w:left="17"/>
            </w:pPr>
            <w:r>
              <w:rPr>
                <w:spacing w:val="-3"/>
              </w:rPr>
              <w:t>实际控制人，</w:t>
            </w:r>
          </w:p>
        </w:tc>
        <w:tc>
          <w:tcPr>
            <w:tcW w:w="1222" w:type="dxa"/>
            <w:gridSpan w:val="2"/>
            <w:tcBorders>
              <w:top w:val="single" w:color="000000" w:sz="2" w:space="0"/>
              <w:left w:val="single" w:color="000000" w:sz="2" w:space="0"/>
            </w:tcBorders>
            <w:shd w:val="clear" w:color="auto" w:fill="D9D9D9"/>
            <w:vAlign w:val="top"/>
          </w:tcPr>
          <w:p>
            <w:pPr>
              <w:pStyle w:val="8"/>
              <w:spacing w:before="56" w:line="214" w:lineRule="auto"/>
              <w:ind w:left="22"/>
            </w:pPr>
            <w:r>
              <w:rPr>
                <w:spacing w:val="-4"/>
              </w:rPr>
              <w:t>变更公司章</w:t>
            </w:r>
          </w:p>
        </w:tc>
        <w:tc>
          <w:tcPr>
            <w:tcW w:w="6811" w:type="dxa"/>
            <w:vMerge w:val="continue"/>
            <w:tcBorders>
              <w:top w:val="nil"/>
            </w:tcBorders>
            <w:vAlign w:val="top"/>
          </w:tcPr>
          <w:p>
            <w:pPr>
              <w:rPr>
                <w:rFonts w:ascii="Arial"/>
                <w:sz w:val="21"/>
              </w:rPr>
            </w:pPr>
          </w:p>
        </w:tc>
      </w:tr>
    </w:tbl>
    <w:p>
      <w:pPr>
        <w:spacing w:before="80" w:line="186"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p>
      <w:pPr>
        <w:spacing w:line="186" w:lineRule="auto"/>
        <w:rPr>
          <w:rFonts w:ascii="Times New Roman" w:hAnsi="Times New Roman" w:eastAsia="Times New Roman" w:cs="Times New Roman"/>
          <w:sz w:val="18"/>
          <w:szCs w:val="18"/>
        </w:rPr>
        <w:sectPr>
          <w:footerReference r:id="rId38"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240"/>
        <w:gridCol w:w="720"/>
        <w:gridCol w:w="502"/>
        <w:gridCol w:w="240"/>
        <w:gridCol w:w="458"/>
        <w:gridCol w:w="480"/>
        <w:gridCol w:w="245"/>
        <w:gridCol w:w="490"/>
        <w:gridCol w:w="281"/>
        <w:gridCol w:w="494"/>
        <w:gridCol w:w="965"/>
        <w:gridCol w:w="494"/>
        <w:gridCol w:w="482"/>
        <w:gridCol w:w="252"/>
        <w:gridCol w:w="237"/>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76" w:type="dxa"/>
            <w:gridSpan w:val="4"/>
            <w:tcBorders>
              <w:top w:val="single" w:color="000000" w:sz="6" w:space="0"/>
              <w:left w:val="single" w:color="000000" w:sz="6" w:space="0"/>
            </w:tcBorders>
            <w:shd w:val="clear" w:color="auto" w:fill="D9D9D9"/>
            <w:vAlign w:val="top"/>
          </w:tcPr>
          <w:p>
            <w:pPr>
              <w:pStyle w:val="8"/>
              <w:spacing w:before="54" w:line="209" w:lineRule="auto"/>
              <w:ind w:left="26"/>
            </w:pPr>
            <w:r>
              <w:rPr>
                <w:spacing w:val="-4"/>
              </w:rPr>
              <w:t>程中的重要条款，</w:t>
            </w:r>
          </w:p>
        </w:tc>
        <w:tc>
          <w:tcPr>
            <w:tcW w:w="698" w:type="dxa"/>
            <w:gridSpan w:val="2"/>
            <w:tcBorders>
              <w:top w:val="single" w:color="000000" w:sz="6" w:space="0"/>
              <w:right w:val="nil"/>
            </w:tcBorders>
            <w:vAlign w:val="top"/>
          </w:tcPr>
          <w:p>
            <w:pPr>
              <w:pStyle w:val="8"/>
              <w:spacing w:before="54" w:line="209" w:lineRule="auto"/>
              <w:jc w:val="right"/>
            </w:pPr>
            <w:r>
              <w:rPr>
                <w:spacing w:val="-17"/>
              </w:rPr>
              <w:t>合并、</w:t>
            </w:r>
          </w:p>
        </w:tc>
        <w:tc>
          <w:tcPr>
            <w:tcW w:w="2955" w:type="dxa"/>
            <w:gridSpan w:val="6"/>
            <w:vMerge w:val="restart"/>
            <w:tcBorders>
              <w:top w:val="single" w:color="000000" w:sz="6" w:space="0"/>
              <w:left w:val="nil"/>
              <w:bottom w:val="nil"/>
              <w:right w:val="nil"/>
            </w:tcBorders>
            <w:vAlign w:val="top"/>
          </w:tcPr>
          <w:p>
            <w:pPr>
              <w:pStyle w:val="8"/>
              <w:spacing w:before="54" w:line="217" w:lineRule="auto"/>
              <w:ind w:left="37"/>
            </w:pPr>
            <w:r>
              <w:rPr>
                <w:spacing w:val="1"/>
              </w:rPr>
              <w:t>分立、停业、解散、破产，</w:t>
            </w:r>
          </w:p>
        </w:tc>
        <w:tc>
          <w:tcPr>
            <w:tcW w:w="494" w:type="dxa"/>
            <w:tcBorders>
              <w:top w:val="single" w:color="000000" w:sz="6" w:space="0"/>
            </w:tcBorders>
            <w:shd w:val="clear" w:color="auto" w:fill="D9D9D9"/>
            <w:vAlign w:val="top"/>
          </w:tcPr>
          <w:p>
            <w:pPr>
              <w:pStyle w:val="8"/>
              <w:spacing w:before="54" w:line="209" w:lineRule="auto"/>
              <w:ind w:right="2"/>
              <w:jc w:val="right"/>
            </w:pPr>
            <w:r>
              <w:rPr>
                <w:spacing w:val="-6"/>
              </w:rPr>
              <w:t>必须</w:t>
            </w:r>
          </w:p>
        </w:tc>
        <w:tc>
          <w:tcPr>
            <w:tcW w:w="971" w:type="dxa"/>
            <w:gridSpan w:val="3"/>
            <w:vMerge w:val="restart"/>
            <w:tcBorders>
              <w:top w:val="single" w:color="000000" w:sz="6" w:space="0"/>
              <w:left w:val="nil"/>
              <w:bottom w:val="nil"/>
              <w:right w:val="single" w:color="000000" w:sz="6" w:space="0"/>
            </w:tcBorders>
            <w:vAlign w:val="top"/>
          </w:tcPr>
          <w:p>
            <w:pPr>
              <w:pStyle w:val="8"/>
              <w:spacing w:before="54" w:line="217" w:lineRule="auto"/>
              <w:ind w:right="1"/>
              <w:jc w:val="right"/>
            </w:pPr>
            <w:r>
              <w:rPr>
                <w:spacing w:val="-3"/>
              </w:rPr>
              <w:t>经国务院</w:t>
            </w:r>
          </w:p>
        </w:tc>
        <w:tc>
          <w:tcPr>
            <w:tcW w:w="6813" w:type="dxa"/>
            <w:vMerge w:val="restart"/>
            <w:tcBorders>
              <w:top w:val="single" w:color="000000" w:sz="6" w:space="0"/>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976" w:type="dxa"/>
            <w:gridSpan w:val="4"/>
            <w:tcBorders>
              <w:left w:val="single" w:color="000000" w:sz="6" w:space="0"/>
            </w:tcBorders>
            <w:vAlign w:val="top"/>
          </w:tcPr>
          <w:p>
            <w:pPr>
              <w:pStyle w:val="8"/>
              <w:spacing w:before="44" w:line="212" w:lineRule="auto"/>
              <w:ind w:left="20"/>
            </w:pPr>
            <w:r>
              <w:rPr>
                <w:spacing w:val="-2"/>
              </w:rPr>
              <w:t>证券监督管理机构</w:t>
            </w:r>
          </w:p>
        </w:tc>
        <w:tc>
          <w:tcPr>
            <w:tcW w:w="698" w:type="dxa"/>
            <w:gridSpan w:val="2"/>
            <w:shd w:val="clear" w:color="auto" w:fill="D9D9D9"/>
            <w:vAlign w:val="top"/>
          </w:tcPr>
          <w:p>
            <w:pPr>
              <w:pStyle w:val="8"/>
              <w:spacing w:before="44" w:line="212" w:lineRule="auto"/>
            </w:pPr>
            <w:r>
              <w:rPr>
                <w:spacing w:val="-20"/>
              </w:rPr>
              <w:t>批准。</w:t>
            </w:r>
          </w:p>
        </w:tc>
        <w:tc>
          <w:tcPr>
            <w:tcW w:w="2955" w:type="dxa"/>
            <w:gridSpan w:val="6"/>
            <w:vMerge w:val="continue"/>
            <w:tcBorders>
              <w:top w:val="nil"/>
              <w:left w:val="nil"/>
              <w:right w:val="nil"/>
            </w:tcBorders>
            <w:vAlign w:val="top"/>
          </w:tcPr>
          <w:p>
            <w:pPr>
              <w:rPr>
                <w:rFonts w:ascii="Arial"/>
                <w:sz w:val="21"/>
              </w:rPr>
            </w:pPr>
          </w:p>
        </w:tc>
        <w:tc>
          <w:tcPr>
            <w:tcW w:w="494" w:type="dxa"/>
            <w:tcBorders>
              <w:left w:val="nil"/>
              <w:right w:val="nil"/>
            </w:tcBorders>
            <w:vAlign w:val="top"/>
          </w:tcPr>
          <w:p>
            <w:pPr>
              <w:rPr>
                <w:rFonts w:ascii="Arial"/>
                <w:sz w:val="21"/>
              </w:rPr>
            </w:pPr>
          </w:p>
        </w:tc>
        <w:tc>
          <w:tcPr>
            <w:tcW w:w="971" w:type="dxa"/>
            <w:gridSpan w:val="3"/>
            <w:vMerge w:val="continue"/>
            <w:tcBorders>
              <w:top w:val="nil"/>
              <w:left w:val="nil"/>
              <w:right w:val="single" w:color="000000" w:sz="6" w:space="0"/>
            </w:tcBorders>
            <w:vAlign w:val="top"/>
          </w:tcPr>
          <w:p>
            <w:pPr>
              <w:rPr>
                <w:rFonts w:ascii="Arial"/>
                <w:sz w:val="21"/>
              </w:rPr>
            </w:pP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14" w:type="dxa"/>
            <w:tcBorders>
              <w:top w:val="nil"/>
              <w:left w:val="single" w:color="000000" w:sz="6" w:space="0"/>
            </w:tcBorders>
            <w:vAlign w:val="top"/>
          </w:tcPr>
          <w:p>
            <w:pPr>
              <w:rPr>
                <w:rFonts w:ascii="Arial"/>
                <w:sz w:val="21"/>
              </w:rPr>
            </w:pPr>
          </w:p>
        </w:tc>
        <w:tc>
          <w:tcPr>
            <w:tcW w:w="6580" w:type="dxa"/>
            <w:gridSpan w:val="15"/>
            <w:tcBorders>
              <w:right w:val="single" w:color="000000" w:sz="6" w:space="0"/>
            </w:tcBorders>
            <w:shd w:val="clear" w:color="auto" w:fill="D9D9D9"/>
            <w:vAlign w:val="top"/>
          </w:tcPr>
          <w:p>
            <w:pPr>
              <w:pStyle w:val="8"/>
              <w:spacing w:before="39" w:line="207" w:lineRule="auto"/>
              <w:ind w:left="21"/>
            </w:pPr>
            <w:r>
              <w:rPr>
                <w:spacing w:val="2"/>
              </w:rPr>
              <w:t>证券公司在境外设立、收购或者参股证券经营机构，必须经国</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154" w:type="dxa"/>
            <w:gridSpan w:val="7"/>
            <w:tcBorders>
              <w:left w:val="single" w:color="000000" w:sz="6" w:space="0"/>
              <w:bottom w:val="single" w:color="000000" w:sz="6" w:space="0"/>
            </w:tcBorders>
            <w:shd w:val="clear" w:color="auto" w:fill="D9D9D9"/>
            <w:vAlign w:val="top"/>
          </w:tcPr>
          <w:p>
            <w:pPr>
              <w:pStyle w:val="8"/>
              <w:spacing w:before="46" w:line="207" w:lineRule="auto"/>
              <w:ind w:left="27"/>
            </w:pPr>
            <w:r>
              <w:rPr>
                <w:spacing w:val="-5"/>
              </w:rPr>
              <w:t>务院证券监督管理机构批准。</w:t>
            </w:r>
          </w:p>
        </w:tc>
        <w:tc>
          <w:tcPr>
            <w:tcW w:w="3940" w:type="dxa"/>
            <w:gridSpan w:val="9"/>
            <w:tcBorders>
              <w:bottom w:val="single" w:color="000000" w:sz="6" w:space="0"/>
              <w:right w:val="single" w:color="000000" w:sz="6" w:space="0"/>
            </w:tcBorders>
            <w:vAlign w:val="top"/>
          </w:tcPr>
          <w:p>
            <w:pPr>
              <w:rPr>
                <w:rFonts w:ascii="Arial"/>
                <w:sz w:val="21"/>
              </w:rPr>
            </w:pP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 w:type="dxa"/>
            <w:vMerge w:val="restart"/>
            <w:tcBorders>
              <w:top w:val="single" w:color="000000" w:sz="6" w:space="0"/>
              <w:left w:val="single" w:color="000000" w:sz="6" w:space="0"/>
              <w:bottom w:val="nil"/>
              <w:right w:val="nil"/>
            </w:tcBorders>
            <w:vAlign w:val="top"/>
          </w:tcPr>
          <w:p>
            <w:pPr>
              <w:spacing w:line="308" w:lineRule="auto"/>
              <w:rPr>
                <w:rFonts w:ascii="Arial"/>
                <w:sz w:val="21"/>
              </w:rPr>
            </w:pPr>
          </w:p>
          <w:p>
            <w:pPr>
              <w:pStyle w:val="8"/>
              <w:spacing w:before="78" w:line="182" w:lineRule="auto"/>
              <w:ind w:left="23"/>
            </w:pPr>
            <w:r>
              <w:rPr>
                <w:spacing w:val="-5"/>
              </w:rPr>
              <w:t>资本</w:t>
            </w:r>
          </w:p>
        </w:tc>
        <w:tc>
          <w:tcPr>
            <w:tcW w:w="6091" w:type="dxa"/>
            <w:gridSpan w:val="13"/>
            <w:tcBorders>
              <w:top w:val="single" w:color="000000" w:sz="6" w:space="0"/>
              <w:left w:val="nil"/>
            </w:tcBorders>
            <w:vAlign w:val="top"/>
          </w:tcPr>
          <w:p>
            <w:pPr>
              <w:pStyle w:val="8"/>
              <w:spacing w:before="54" w:line="188" w:lineRule="auto"/>
              <w:ind w:left="6"/>
            </w:pPr>
            <w:r>
              <w:rPr>
                <w:rFonts w:ascii="黑体" w:hAnsi="黑体" w:eastAsia="黑体" w:cs="黑体"/>
                <w:spacing w:val="2"/>
              </w:rPr>
              <w:t xml:space="preserve">第一百三十条  </w:t>
            </w:r>
            <w:r>
              <w:rPr>
                <w:spacing w:val="2"/>
              </w:rPr>
              <w:t>国务院证券监督管理机构应当对证券公司</w:t>
            </w:r>
          </w:p>
        </w:tc>
        <w:tc>
          <w:tcPr>
            <w:tcW w:w="252" w:type="dxa"/>
            <w:tcBorders>
              <w:top w:val="single" w:color="000000" w:sz="6" w:space="0"/>
            </w:tcBorders>
            <w:shd w:val="clear" w:color="auto" w:fill="D9D9D9"/>
            <w:vAlign w:val="top"/>
          </w:tcPr>
          <w:p>
            <w:pPr>
              <w:pStyle w:val="8"/>
              <w:spacing w:before="57" w:line="186" w:lineRule="auto"/>
              <w:jc w:val="right"/>
            </w:pPr>
            <w:r>
              <w:rPr>
                <w:spacing w:val="-30"/>
              </w:rPr>
              <w:t>的</w:t>
            </w:r>
          </w:p>
        </w:tc>
        <w:tc>
          <w:tcPr>
            <w:tcW w:w="237" w:type="dxa"/>
            <w:tcBorders>
              <w:top w:val="single" w:color="000000" w:sz="6" w:space="0"/>
              <w:right w:val="single" w:color="000000" w:sz="6" w:space="0"/>
            </w:tcBorders>
            <w:vAlign w:val="top"/>
          </w:tcPr>
          <w:p>
            <w:pPr>
              <w:pStyle w:val="8"/>
              <w:spacing w:before="57" w:line="186" w:lineRule="auto"/>
              <w:jc w:val="right"/>
            </w:pPr>
            <w:r>
              <w:rPr>
                <w:spacing w:val="-20"/>
              </w:rPr>
              <w:t>净</w:t>
            </w:r>
          </w:p>
        </w:tc>
        <w:tc>
          <w:tcPr>
            <w:tcW w:w="6813" w:type="dxa"/>
            <w:vMerge w:val="restart"/>
            <w:tcBorders>
              <w:top w:val="single" w:color="000000" w:sz="6" w:space="0"/>
              <w:left w:val="single" w:color="000000" w:sz="6" w:space="0"/>
              <w:bottom w:val="nil"/>
              <w:right w:val="single" w:color="000000" w:sz="6" w:space="0"/>
            </w:tcBorders>
            <w:vAlign w:val="top"/>
          </w:tcPr>
          <w:p>
            <w:pPr>
              <w:pStyle w:val="8"/>
              <w:spacing w:before="42" w:line="197" w:lineRule="auto"/>
              <w:ind w:left="24" w:right="6" w:firstLine="492"/>
            </w:pPr>
            <w:r>
              <w:rPr>
                <w:rFonts w:ascii="黑体" w:hAnsi="黑体" w:eastAsia="黑体" w:cs="黑体"/>
                <w:spacing w:val="1"/>
              </w:rPr>
              <w:t xml:space="preserve">第一百二十三条  </w:t>
            </w:r>
            <w:r>
              <w:rPr>
                <w:rFonts w:ascii="微软雅黑" w:hAnsi="微软雅黑" w:eastAsia="微软雅黑" w:cs="微软雅黑"/>
                <w:spacing w:val="1"/>
                <w:position w:val="1"/>
              </w:rPr>
              <w:t>国务院证券</w:t>
            </w:r>
            <w:r>
              <w:rPr>
                <w:spacing w:val="1"/>
              </w:rPr>
              <w:t>监督管理机构应当对证券公司</w:t>
            </w:r>
            <w:r>
              <w:rPr>
                <w:spacing w:val="6"/>
              </w:rPr>
              <w:t xml:space="preserve"> </w:t>
            </w:r>
            <w:r>
              <w:rPr>
                <w:spacing w:val="-4"/>
              </w:rPr>
              <w:t>净资本和其他风险控制指标作出规定。</w:t>
            </w:r>
          </w:p>
          <w:p>
            <w:pPr>
              <w:pStyle w:val="8"/>
              <w:spacing w:before="32" w:line="227" w:lineRule="auto"/>
              <w:ind w:left="25" w:right="7" w:firstLine="480"/>
            </w:pPr>
            <w:r>
              <w:rPr>
                <w:spacing w:val="1"/>
              </w:rPr>
              <w:t>证券公司除依照规定为其客户提供融资融券外，不得为其股</w:t>
            </w:r>
            <w:r>
              <w:rPr>
                <w:spacing w:val="18"/>
              </w:rPr>
              <w:t xml:space="preserve"> </w:t>
            </w:r>
            <w:r>
              <w:rPr>
                <w:spacing w:val="-4"/>
              </w:rPr>
              <w:t>东或者股东的关联人提供融资或者担保。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4" w:type="dxa"/>
            <w:vMerge w:val="continue"/>
            <w:tcBorders>
              <w:top w:val="nil"/>
              <w:left w:val="single" w:color="000000" w:sz="6" w:space="0"/>
              <w:right w:val="nil"/>
            </w:tcBorders>
            <w:vAlign w:val="top"/>
          </w:tcPr>
          <w:p>
            <w:pPr>
              <w:rPr>
                <w:rFonts w:ascii="Arial"/>
                <w:sz w:val="21"/>
              </w:rPr>
            </w:pPr>
          </w:p>
        </w:tc>
        <w:tc>
          <w:tcPr>
            <w:tcW w:w="6580" w:type="dxa"/>
            <w:gridSpan w:val="15"/>
            <w:tcBorders>
              <w:right w:val="single" w:color="000000" w:sz="6" w:space="0"/>
            </w:tcBorders>
            <w:shd w:val="clear" w:color="auto" w:fill="D9D9D9"/>
            <w:vAlign w:val="top"/>
          </w:tcPr>
          <w:p>
            <w:pPr>
              <w:pStyle w:val="8"/>
              <w:spacing w:before="74" w:line="182" w:lineRule="auto"/>
              <w:ind w:left="22"/>
            </w:pPr>
            <w:r>
              <w:rPr>
                <w:spacing w:val="-2"/>
              </w:rPr>
              <w:t>,</w:t>
            </w:r>
            <w:r>
              <w:rPr>
                <w:spacing w:val="75"/>
              </w:rPr>
              <w:t xml:space="preserve"> </w:t>
            </w:r>
            <w:r>
              <w:rPr>
                <w:spacing w:val="-2"/>
              </w:rPr>
              <w:t>净资本与负债的比例，净资本与净资产的比例，净资本与自</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94" w:type="dxa"/>
            <w:gridSpan w:val="16"/>
            <w:tcBorders>
              <w:left w:val="single" w:color="000000" w:sz="6" w:space="0"/>
              <w:right w:val="single" w:color="000000" w:sz="6" w:space="0"/>
            </w:tcBorders>
            <w:shd w:val="clear" w:color="auto" w:fill="D9D9D9"/>
            <w:vAlign w:val="top"/>
          </w:tcPr>
          <w:p>
            <w:pPr>
              <w:pStyle w:val="8"/>
              <w:spacing w:before="78" w:line="184" w:lineRule="auto"/>
              <w:ind w:left="39"/>
            </w:pPr>
            <w:r>
              <w:rPr>
                <w:spacing w:val="2"/>
              </w:rPr>
              <w:t>营、承销、资产管理等业务规模的比例，负债与净</w:t>
            </w:r>
            <w:r>
              <w:rPr>
                <w:spacing w:val="1"/>
              </w:rPr>
              <w:t>资产的比例，以</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399" w:type="dxa"/>
            <w:gridSpan w:val="8"/>
            <w:tcBorders>
              <w:left w:val="single" w:color="000000" w:sz="6" w:space="0"/>
            </w:tcBorders>
            <w:shd w:val="clear" w:color="auto" w:fill="D9D9D9"/>
            <w:vAlign w:val="top"/>
          </w:tcPr>
          <w:p>
            <w:pPr>
              <w:pStyle w:val="8"/>
              <w:spacing w:before="77" w:line="182" w:lineRule="auto"/>
              <w:ind w:left="20"/>
            </w:pPr>
            <w:r>
              <w:rPr>
                <w:spacing w:val="-1"/>
              </w:rPr>
              <w:t>及流动资产与流动负债的比例等</w:t>
            </w:r>
          </w:p>
        </w:tc>
        <w:tc>
          <w:tcPr>
            <w:tcW w:w="3695" w:type="dxa"/>
            <w:gridSpan w:val="8"/>
            <w:tcBorders>
              <w:bottom w:val="nil"/>
              <w:right w:val="single" w:color="000000" w:sz="6" w:space="0"/>
            </w:tcBorders>
            <w:vAlign w:val="top"/>
          </w:tcPr>
          <w:p>
            <w:pPr>
              <w:pStyle w:val="8"/>
              <w:spacing w:before="77" w:line="182" w:lineRule="auto"/>
            </w:pPr>
            <w:r>
              <w:rPr>
                <w:spacing w:val="-5"/>
              </w:rPr>
              <w:t>风险控制指标作出规定。</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094" w:type="dxa"/>
            <w:gridSpan w:val="16"/>
            <w:tcBorders>
              <w:top w:val="nil"/>
              <w:left w:val="single" w:color="000000" w:sz="6" w:space="0"/>
              <w:bottom w:val="single" w:color="000000" w:sz="6" w:space="0"/>
              <w:right w:val="single" w:color="000000" w:sz="6" w:space="0"/>
            </w:tcBorders>
            <w:vAlign w:val="top"/>
          </w:tcPr>
          <w:p>
            <w:pPr>
              <w:pStyle w:val="8"/>
              <w:spacing w:before="68" w:line="190" w:lineRule="auto"/>
              <w:ind w:left="520"/>
            </w:pPr>
            <w:r>
              <w:rPr>
                <w:spacing w:val="-3"/>
              </w:rPr>
              <w:t>证券公司不得为其股东或者股东的关联人提供融资或者担保。</w:t>
            </w: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94" w:type="dxa"/>
            <w:gridSpan w:val="16"/>
            <w:tcBorders>
              <w:top w:val="single" w:color="000000" w:sz="6" w:space="0"/>
              <w:left w:val="single" w:color="000000" w:sz="6" w:space="0"/>
              <w:right w:val="single" w:color="000000" w:sz="6" w:space="0"/>
            </w:tcBorders>
            <w:vAlign w:val="top"/>
          </w:tcPr>
          <w:p>
            <w:pPr>
              <w:pStyle w:val="8"/>
              <w:spacing w:before="58" w:line="215" w:lineRule="auto"/>
              <w:ind w:left="43" w:firstLine="469"/>
            </w:pPr>
            <w:r>
              <w:rPr>
                <w:rFonts w:ascii="黑体" w:hAnsi="黑体" w:eastAsia="黑体" w:cs="黑体"/>
                <w:spacing w:val="-1"/>
              </w:rPr>
              <w:t xml:space="preserve">第一百三十一条  </w:t>
            </w:r>
            <w:r>
              <w:rPr>
                <w:spacing w:val="-1"/>
              </w:rPr>
              <w:t>证券公司的董事、监事、高</w:t>
            </w:r>
            <w:r>
              <w:rPr>
                <w:spacing w:val="-2"/>
              </w:rPr>
              <w:t>级管理人员， 应</w:t>
            </w:r>
            <w:r>
              <w:t xml:space="preserve"> </w:t>
            </w:r>
            <w:r>
              <w:rPr>
                <w:spacing w:val="-2"/>
              </w:rPr>
              <w:t>当正直诚实，品行良好， 熟悉证券法律、行政法规，具有履行职责</w:t>
            </w:r>
          </w:p>
        </w:tc>
        <w:tc>
          <w:tcPr>
            <w:tcW w:w="6813" w:type="dxa"/>
            <w:vMerge w:val="restart"/>
            <w:tcBorders>
              <w:top w:val="single" w:color="000000" w:sz="6" w:space="0"/>
              <w:left w:val="single" w:color="000000" w:sz="6" w:space="0"/>
              <w:bottom w:val="nil"/>
              <w:right w:val="single" w:color="000000" w:sz="6" w:space="0"/>
            </w:tcBorders>
            <w:vAlign w:val="top"/>
          </w:tcPr>
          <w:p>
            <w:pPr>
              <w:pStyle w:val="8"/>
              <w:spacing w:before="56" w:line="217" w:lineRule="auto"/>
              <w:ind w:left="19" w:right="5" w:firstLine="497"/>
            </w:pPr>
            <w:r>
              <w:rPr>
                <w:rFonts w:ascii="黑体" w:hAnsi="黑体" w:eastAsia="黑体" w:cs="黑体"/>
              </w:rPr>
              <w:t xml:space="preserve">第一百二十四条  </w:t>
            </w:r>
            <w:r>
              <w:rPr>
                <w:rFonts w:ascii="微软雅黑" w:hAnsi="微软雅黑" w:eastAsia="微软雅黑" w:cs="微软雅黑"/>
              </w:rPr>
              <w:t>证券公司的董事、监事、</w:t>
            </w:r>
            <w:r>
              <w:rPr>
                <w:rFonts w:ascii="微软雅黑" w:hAnsi="微软雅黑" w:eastAsia="微软雅黑" w:cs="微软雅黑"/>
                <w:spacing w:val="-1"/>
              </w:rPr>
              <w:t>高级管理人员</w:t>
            </w:r>
            <w:r>
              <w:rPr>
                <w:rFonts w:ascii="微软雅黑" w:hAnsi="微软雅黑" w:eastAsia="微软雅黑" w:cs="微软雅黑"/>
                <w:spacing w:val="-30"/>
              </w:rPr>
              <w:t xml:space="preserve"> </w:t>
            </w:r>
            <w:r>
              <w:rPr>
                <w:rFonts w:ascii="微软雅黑" w:hAnsi="微软雅黑" w:eastAsia="微软雅黑" w:cs="微软雅黑"/>
                <w:spacing w:val="-1"/>
              </w:rPr>
              <w:t>，</w:t>
            </w:r>
            <w:r>
              <w:rPr>
                <w:rFonts w:ascii="微软雅黑" w:hAnsi="微软雅黑" w:eastAsia="微软雅黑" w:cs="微软雅黑"/>
              </w:rPr>
              <w:t xml:space="preserve"> </w:t>
            </w:r>
            <w:r>
              <w:rPr>
                <w:spacing w:val="2"/>
              </w:rPr>
              <w:t>应当正直诚实、品行良好，熟悉证券法律、行政法规，</w:t>
            </w:r>
            <w:r>
              <w:rPr>
                <w:spacing w:val="1"/>
              </w:rPr>
              <w:t>具有履行</w:t>
            </w:r>
            <w:r>
              <w:t xml:space="preserve"> </w:t>
            </w:r>
            <w:r>
              <w:rPr>
                <w:spacing w:val="2"/>
              </w:rPr>
              <w:t>职责所需的经营管理能力。证券公司任免董事、</w:t>
            </w:r>
            <w:r>
              <w:rPr>
                <w:spacing w:val="1"/>
              </w:rPr>
              <w:t>监事、高级管理</w:t>
            </w:r>
            <w:r>
              <w:t xml:space="preserve"> </w:t>
            </w:r>
            <w:r>
              <w:rPr>
                <w:spacing w:val="-3"/>
              </w:rPr>
              <w:t>人员的，应当报国务院证券监督管理机构备案。</w:t>
            </w:r>
          </w:p>
          <w:p>
            <w:pPr>
              <w:pStyle w:val="8"/>
              <w:spacing w:before="28" w:line="233" w:lineRule="auto"/>
              <w:ind w:left="19" w:right="6" w:firstLine="503"/>
            </w:pPr>
            <w:r>
              <w:rPr>
                <w:spacing w:val="1"/>
              </w:rPr>
              <w:t xml:space="preserve">有《中华人民共和国公司法》第一百四十六条规定的情形或 </w:t>
            </w:r>
            <w:r>
              <w:rPr>
                <w:spacing w:val="2"/>
              </w:rPr>
              <w:t>者下列情形之一的，不得担任证券公司的董事、</w:t>
            </w:r>
            <w:r>
              <w:rPr>
                <w:spacing w:val="1"/>
              </w:rPr>
              <w:t>监事、高级管理</w:t>
            </w:r>
            <w:r>
              <w:t xml:space="preserve"> </w:t>
            </w:r>
            <w:r>
              <w:rPr>
                <w:spacing w:val="-17"/>
              </w:rPr>
              <w:t>人员：</w:t>
            </w:r>
          </w:p>
          <w:p>
            <w:pPr>
              <w:pStyle w:val="8"/>
              <w:spacing w:before="26" w:line="232" w:lineRule="auto"/>
              <w:ind w:left="18" w:right="28" w:firstLine="488"/>
            </w:pPr>
            <w:r>
              <w:rPr>
                <w:spacing w:val="8"/>
              </w:rPr>
              <w:t>（一）</w:t>
            </w:r>
            <w:r>
              <w:rPr>
                <w:spacing w:val="-58"/>
              </w:rPr>
              <w:t xml:space="preserve"> </w:t>
            </w:r>
            <w:r>
              <w:rPr>
                <w:spacing w:val="8"/>
              </w:rPr>
              <w:t>因违法行为或者违纪行为被解除职务的证券交</w:t>
            </w:r>
            <w:r>
              <w:rPr>
                <w:spacing w:val="7"/>
              </w:rPr>
              <w:t>易场</w:t>
            </w:r>
            <w:r>
              <w:t xml:space="preserve"> </w:t>
            </w:r>
            <w:r>
              <w:rPr>
                <w:spacing w:val="1"/>
              </w:rPr>
              <w:t>所、证券登记结算机构的负责人或者证券公司的董事、监</w:t>
            </w:r>
            <w:r>
              <w:t xml:space="preserve">事、高 </w:t>
            </w:r>
            <w:r>
              <w:rPr>
                <w:spacing w:val="-4"/>
              </w:rPr>
              <w:t>级管理人员，自被解除职务之日起未逾五年；</w:t>
            </w:r>
          </w:p>
          <w:p>
            <w:pPr>
              <w:pStyle w:val="8"/>
              <w:spacing w:before="27" w:line="232" w:lineRule="auto"/>
              <w:ind w:left="13" w:right="45" w:firstLine="494"/>
            </w:pPr>
            <w:r>
              <w:t>（二）因违法行为或者违纪行为被吊销执业证书或者被取消</w:t>
            </w:r>
            <w:r>
              <w:rPr>
                <w:spacing w:val="3"/>
              </w:rPr>
              <w:t xml:space="preserve"> </w:t>
            </w:r>
            <w:r>
              <w:t>资格的律师、注册会计师或者其他证券服务机</w:t>
            </w:r>
            <w:r>
              <w:rPr>
                <w:spacing w:val="-1"/>
              </w:rPr>
              <w:t>构的专业人员，自</w:t>
            </w:r>
            <w:r>
              <w:t xml:space="preserve"> </w:t>
            </w:r>
            <w:r>
              <w:rPr>
                <w:spacing w:val="-3"/>
              </w:rPr>
              <w:t>被吊销执业证书或者被取消资格之日起未逾五年。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216" w:type="dxa"/>
            <w:gridSpan w:val="5"/>
            <w:tcBorders>
              <w:top w:val="nil"/>
              <w:left w:val="single" w:color="000000" w:sz="6" w:space="0"/>
            </w:tcBorders>
            <w:vAlign w:val="top"/>
          </w:tcPr>
          <w:p>
            <w:pPr>
              <w:pStyle w:val="8"/>
              <w:spacing w:before="62" w:line="190" w:lineRule="auto"/>
              <w:ind w:left="14"/>
            </w:pPr>
            <w:r>
              <w:rPr>
                <w:spacing w:val="1"/>
              </w:rPr>
              <w:t>所需的经营管理能力</w:t>
            </w:r>
          </w:p>
        </w:tc>
        <w:tc>
          <w:tcPr>
            <w:tcW w:w="4878" w:type="dxa"/>
            <w:gridSpan w:val="11"/>
            <w:tcBorders>
              <w:right w:val="single" w:color="000000" w:sz="6" w:space="0"/>
            </w:tcBorders>
            <w:shd w:val="clear" w:color="auto" w:fill="D9D9D9"/>
            <w:vAlign w:val="top"/>
          </w:tcPr>
          <w:p>
            <w:pPr>
              <w:pStyle w:val="8"/>
              <w:spacing w:before="62" w:line="190" w:lineRule="auto"/>
              <w:ind w:left="27"/>
            </w:pPr>
            <w:r>
              <w:rPr>
                <w:spacing w:val="-4"/>
              </w:rPr>
              <w:t>,</w:t>
            </w:r>
            <w:r>
              <w:rPr>
                <w:spacing w:val="94"/>
              </w:rPr>
              <w:t xml:space="preserve"> </w:t>
            </w:r>
            <w:r>
              <w:rPr>
                <w:spacing w:val="-4"/>
              </w:rPr>
              <w:t>并在任职前取得国务院证券监督管理机构核</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74" w:type="dxa"/>
            <w:gridSpan w:val="3"/>
            <w:tcBorders>
              <w:left w:val="single" w:color="000000" w:sz="6" w:space="0"/>
            </w:tcBorders>
            <w:shd w:val="clear" w:color="auto" w:fill="D9D9D9"/>
            <w:vAlign w:val="top"/>
          </w:tcPr>
          <w:p>
            <w:pPr>
              <w:pStyle w:val="8"/>
              <w:spacing w:before="68" w:line="190" w:lineRule="auto"/>
              <w:ind w:left="27"/>
            </w:pPr>
            <w:r>
              <w:rPr>
                <w:spacing w:val="-2"/>
              </w:rPr>
              <w:t>准的任职资格</w:t>
            </w:r>
          </w:p>
        </w:tc>
        <w:tc>
          <w:tcPr>
            <w:tcW w:w="5620" w:type="dxa"/>
            <w:gridSpan w:val="13"/>
            <w:tcBorders>
              <w:bottom w:val="nil"/>
              <w:right w:val="single" w:color="000000" w:sz="6" w:space="0"/>
            </w:tcBorders>
            <w:vAlign w:val="top"/>
          </w:tcPr>
          <w:p>
            <w:pPr>
              <w:pStyle w:val="8"/>
              <w:spacing w:before="239" w:line="76" w:lineRule="exact"/>
              <w:ind w:left="20"/>
            </w:pPr>
            <w:r>
              <w:t>。</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094" w:type="dxa"/>
            <w:gridSpan w:val="16"/>
            <w:tcBorders>
              <w:top w:val="nil"/>
              <w:left w:val="single" w:color="000000" w:sz="6" w:space="0"/>
              <w:bottom w:val="nil"/>
              <w:right w:val="single" w:color="000000" w:sz="6" w:space="0"/>
            </w:tcBorders>
            <w:vAlign w:val="top"/>
          </w:tcPr>
          <w:p>
            <w:pPr>
              <w:pStyle w:val="8"/>
              <w:spacing w:before="56" w:line="233" w:lineRule="auto"/>
              <w:ind w:left="23" w:firstLine="494"/>
              <w:jc w:val="both"/>
            </w:pPr>
            <w:r>
              <w:rPr>
                <w:spacing w:val="3"/>
              </w:rPr>
              <w:t>有《中华人民共和国公司法》第一百四十六条规定的情形</w:t>
            </w:r>
            <w:r>
              <w:rPr>
                <w:spacing w:val="2"/>
              </w:rPr>
              <w:t>或者</w:t>
            </w:r>
            <w:r>
              <w:t xml:space="preserve"> </w:t>
            </w:r>
            <w:r>
              <w:rPr>
                <w:spacing w:val="12"/>
              </w:rPr>
              <w:t>下列情形之一的，不得担任证券公司的董事、监事、高级</w:t>
            </w:r>
            <w:r>
              <w:rPr>
                <w:spacing w:val="11"/>
              </w:rPr>
              <w:t>管理人</w:t>
            </w:r>
            <w:r>
              <w:t xml:space="preserve"> </w:t>
            </w:r>
            <w:r>
              <w:rPr>
                <w:spacing w:val="-21"/>
              </w:rPr>
              <w:t>员：</w:t>
            </w:r>
          </w:p>
          <w:p>
            <w:pPr>
              <w:pStyle w:val="8"/>
              <w:spacing w:before="28" w:line="226" w:lineRule="auto"/>
              <w:ind w:left="16" w:firstLine="486"/>
              <w:jc w:val="both"/>
            </w:pPr>
            <w:r>
              <w:rPr>
                <w:spacing w:val="3"/>
              </w:rPr>
              <w:t>（一）因违法行为或者违纪行为被解除职务的证券交易所、证</w:t>
            </w:r>
            <w:r>
              <w:rPr>
                <w:spacing w:val="11"/>
              </w:rPr>
              <w:t xml:space="preserve"> </w:t>
            </w:r>
            <w:r>
              <w:rPr>
                <w:spacing w:val="3"/>
              </w:rPr>
              <w:t>券登记结算机构的负责人或者证券公司的董事、监事、高级管理人</w:t>
            </w:r>
            <w:r>
              <w:rPr>
                <w:spacing w:val="14"/>
              </w:rPr>
              <w:t xml:space="preserve"> </w:t>
            </w:r>
            <w:r>
              <w:rPr>
                <w:spacing w:val="-5"/>
              </w:rPr>
              <w:t>员，自被解除职务之日起未逾五年；</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70" w:type="dxa"/>
            <w:gridSpan w:val="10"/>
            <w:tcBorders>
              <w:top w:val="nil"/>
              <w:left w:val="single" w:color="000000" w:sz="6" w:space="0"/>
            </w:tcBorders>
            <w:vAlign w:val="top"/>
          </w:tcPr>
          <w:p>
            <w:pPr>
              <w:pStyle w:val="8"/>
              <w:spacing w:before="47" w:line="201" w:lineRule="auto"/>
              <w:ind w:right="20"/>
              <w:jc w:val="right"/>
            </w:pPr>
            <w:r>
              <w:rPr>
                <w:spacing w:val="2"/>
              </w:rPr>
              <w:t>（二）因违法行为或者违纪行为被</w:t>
            </w:r>
          </w:p>
        </w:tc>
        <w:tc>
          <w:tcPr>
            <w:tcW w:w="494" w:type="dxa"/>
            <w:shd w:val="clear" w:color="auto" w:fill="D9D9D9"/>
            <w:vAlign w:val="top"/>
          </w:tcPr>
          <w:p>
            <w:pPr>
              <w:pStyle w:val="8"/>
              <w:spacing w:before="47" w:line="201" w:lineRule="auto"/>
              <w:ind w:left="6"/>
            </w:pPr>
            <w:r>
              <w:rPr>
                <w:spacing w:val="-4"/>
              </w:rPr>
              <w:t>撤销</w:t>
            </w:r>
          </w:p>
        </w:tc>
        <w:tc>
          <w:tcPr>
            <w:tcW w:w="2430" w:type="dxa"/>
            <w:gridSpan w:val="5"/>
            <w:tcBorders>
              <w:top w:val="nil"/>
              <w:right w:val="single" w:color="000000" w:sz="6" w:space="0"/>
            </w:tcBorders>
            <w:vAlign w:val="top"/>
          </w:tcPr>
          <w:p>
            <w:pPr>
              <w:pStyle w:val="8"/>
              <w:spacing w:before="47" w:line="201" w:lineRule="auto"/>
              <w:jc w:val="right"/>
            </w:pPr>
            <w:r>
              <w:t>资格的律师、注册会计</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54" w:type="dxa"/>
            <w:gridSpan w:val="2"/>
            <w:tcBorders>
              <w:top w:val="nil"/>
              <w:left w:val="single" w:color="000000" w:sz="6" w:space="0"/>
            </w:tcBorders>
            <w:vAlign w:val="top"/>
          </w:tcPr>
          <w:p>
            <w:pPr>
              <w:pStyle w:val="8"/>
              <w:spacing w:before="54" w:line="196" w:lineRule="auto"/>
              <w:ind w:left="33"/>
            </w:pPr>
            <w:r>
              <w:rPr>
                <w:spacing w:val="-9"/>
              </w:rPr>
              <w:t>师或者</w:t>
            </w:r>
          </w:p>
        </w:tc>
        <w:tc>
          <w:tcPr>
            <w:tcW w:w="6340" w:type="dxa"/>
            <w:gridSpan w:val="14"/>
            <w:tcBorders>
              <w:right w:val="single" w:color="000000" w:sz="6" w:space="0"/>
            </w:tcBorders>
            <w:shd w:val="clear" w:color="auto" w:fill="D9D9D9"/>
            <w:vAlign w:val="top"/>
          </w:tcPr>
          <w:p>
            <w:pPr>
              <w:pStyle w:val="8"/>
              <w:spacing w:before="54" w:line="196" w:lineRule="auto"/>
              <w:ind w:left="7"/>
            </w:pPr>
            <w:r>
              <w:rPr>
                <w:spacing w:val="3"/>
              </w:rPr>
              <w:t>投资咨询机构、财务顾问机构、资信评级机构、</w:t>
            </w:r>
            <w:r>
              <w:rPr>
                <w:spacing w:val="2"/>
              </w:rPr>
              <w:t>资产评估机</w:t>
            </w:r>
          </w:p>
        </w:tc>
        <w:tc>
          <w:tcPr>
            <w:tcW w:w="6813"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74" w:type="dxa"/>
            <w:gridSpan w:val="3"/>
            <w:tcBorders>
              <w:left w:val="single" w:color="000000" w:sz="6" w:space="0"/>
              <w:bottom w:val="single" w:color="000000" w:sz="6" w:space="0"/>
            </w:tcBorders>
            <w:shd w:val="clear" w:color="auto" w:fill="D9D9D9"/>
            <w:vAlign w:val="top"/>
          </w:tcPr>
          <w:p>
            <w:pPr>
              <w:pStyle w:val="8"/>
              <w:spacing w:before="61" w:line="195" w:lineRule="auto"/>
              <w:ind w:left="23"/>
            </w:pPr>
            <w:r>
              <w:rPr>
                <w:spacing w:val="-2"/>
              </w:rPr>
              <w:t>构、验证机构</w:t>
            </w:r>
          </w:p>
        </w:tc>
        <w:tc>
          <w:tcPr>
            <w:tcW w:w="1925" w:type="dxa"/>
            <w:gridSpan w:val="5"/>
            <w:tcBorders>
              <w:bottom w:val="single" w:color="000000" w:sz="6" w:space="0"/>
            </w:tcBorders>
            <w:vAlign w:val="top"/>
          </w:tcPr>
          <w:p>
            <w:pPr>
              <w:pStyle w:val="8"/>
              <w:spacing w:before="61" w:line="195" w:lineRule="auto"/>
              <w:ind w:right="1"/>
              <w:jc w:val="right"/>
            </w:pPr>
            <w:r>
              <w:rPr>
                <w:spacing w:val="-4"/>
              </w:rPr>
              <w:t>的专业人员，自被</w:t>
            </w:r>
          </w:p>
        </w:tc>
        <w:tc>
          <w:tcPr>
            <w:tcW w:w="490" w:type="dxa"/>
            <w:tcBorders>
              <w:bottom w:val="single" w:color="000000" w:sz="6" w:space="0"/>
            </w:tcBorders>
            <w:shd w:val="clear" w:color="auto" w:fill="D9D9D9"/>
            <w:vAlign w:val="top"/>
          </w:tcPr>
          <w:p>
            <w:pPr>
              <w:pStyle w:val="8"/>
              <w:spacing w:before="61" w:line="195" w:lineRule="auto"/>
              <w:jc w:val="right"/>
            </w:pPr>
            <w:r>
              <w:rPr>
                <w:spacing w:val="-7"/>
              </w:rPr>
              <w:t>撤销</w:t>
            </w:r>
          </w:p>
        </w:tc>
        <w:tc>
          <w:tcPr>
            <w:tcW w:w="3205" w:type="dxa"/>
            <w:gridSpan w:val="7"/>
            <w:tcBorders>
              <w:bottom w:val="single" w:color="000000" w:sz="6" w:space="0"/>
              <w:right w:val="single" w:color="000000" w:sz="6" w:space="0"/>
            </w:tcBorders>
            <w:vAlign w:val="top"/>
          </w:tcPr>
          <w:p>
            <w:pPr>
              <w:pStyle w:val="8"/>
              <w:spacing w:before="58" w:line="197" w:lineRule="auto"/>
              <w:ind w:left="19"/>
            </w:pPr>
            <w:r>
              <w:rPr>
                <w:spacing w:val="-7"/>
              </w:rPr>
              <w:t>资格之日起未逾五年。</w:t>
            </w:r>
          </w:p>
        </w:tc>
        <w:tc>
          <w:tcPr>
            <w:tcW w:w="6813"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7094" w:type="dxa"/>
            <w:gridSpan w:val="16"/>
            <w:tcBorders>
              <w:top w:val="single" w:color="000000" w:sz="6" w:space="0"/>
              <w:left w:val="single" w:color="000000" w:sz="6" w:space="0"/>
              <w:bottom w:val="single" w:color="000000" w:sz="6" w:space="0"/>
              <w:right w:val="single" w:color="000000" w:sz="6" w:space="0"/>
            </w:tcBorders>
            <w:vAlign w:val="top"/>
          </w:tcPr>
          <w:p>
            <w:pPr>
              <w:pStyle w:val="8"/>
              <w:spacing w:before="59" w:line="232" w:lineRule="auto"/>
              <w:ind w:left="14" w:firstLine="498"/>
              <w:jc w:val="both"/>
            </w:pPr>
            <w:r>
              <w:rPr>
                <w:rFonts w:ascii="黑体" w:hAnsi="黑体" w:eastAsia="黑体" w:cs="黑体"/>
                <w:spacing w:val="3"/>
              </w:rPr>
              <w:t xml:space="preserve">第一百三十二条  </w:t>
            </w:r>
            <w:r>
              <w:rPr>
                <w:spacing w:val="3"/>
              </w:rPr>
              <w:t>因违法行为或者违纪行为被开除的证券交易</w:t>
            </w:r>
            <w:r>
              <w:t xml:space="preserve"> </w:t>
            </w:r>
            <w:r>
              <w:rPr>
                <w:spacing w:val="3"/>
              </w:rPr>
              <w:t>所、证券登记结算机构、证券服务机构、证券公司的从业人员和被</w:t>
            </w:r>
            <w:r>
              <w:rPr>
                <w:spacing w:val="16"/>
              </w:rPr>
              <w:t xml:space="preserve"> </w:t>
            </w:r>
            <w:r>
              <w:rPr>
                <w:spacing w:val="-3"/>
              </w:rPr>
              <w:t>开除的国家机关工作人员，不得招聘为证券公司的从业人员。</w:t>
            </w:r>
          </w:p>
          <w:p>
            <w:pPr>
              <w:pStyle w:val="8"/>
              <w:spacing w:before="28" w:line="227" w:lineRule="auto"/>
              <w:ind w:left="20" w:firstLine="491"/>
              <w:jc w:val="both"/>
            </w:pPr>
            <w:r>
              <w:rPr>
                <w:rFonts w:ascii="黑体" w:hAnsi="黑体" w:eastAsia="黑体" w:cs="黑体"/>
                <w:spacing w:val="3"/>
              </w:rPr>
              <w:t xml:space="preserve">第一百三十三条  </w:t>
            </w:r>
            <w:r>
              <w:rPr>
                <w:spacing w:val="3"/>
              </w:rPr>
              <w:t>国家机关工作人员和法律、行政法规规定的</w:t>
            </w:r>
            <w:r>
              <w:rPr>
                <w:spacing w:val="1"/>
              </w:rPr>
              <w:t xml:space="preserve"> </w:t>
            </w:r>
            <w:r>
              <w:rPr>
                <w:spacing w:val="-3"/>
              </w:rPr>
              <w:t>禁止在公司中兼职的其他人员，不得在证券公司中兼任职务。</w:t>
            </w:r>
          </w:p>
        </w:tc>
        <w:tc>
          <w:tcPr>
            <w:tcW w:w="6813" w:type="dxa"/>
            <w:tcBorders>
              <w:top w:val="single" w:color="000000" w:sz="6" w:space="0"/>
              <w:left w:val="single" w:color="000000" w:sz="6" w:space="0"/>
              <w:bottom w:val="single" w:color="000000" w:sz="6" w:space="0"/>
              <w:right w:val="single" w:color="000000" w:sz="6" w:space="0"/>
            </w:tcBorders>
            <w:vAlign w:val="top"/>
          </w:tcPr>
          <w:p>
            <w:pPr>
              <w:spacing w:before="61" w:line="226" w:lineRule="auto"/>
              <w:ind w:left="15" w:right="4" w:firstLine="501"/>
              <w:rPr>
                <w:rFonts w:ascii="黑体" w:hAnsi="黑体" w:eastAsia="黑体" w:cs="黑体"/>
                <w:sz w:val="24"/>
                <w:szCs w:val="24"/>
              </w:rPr>
            </w:pPr>
            <w:r>
              <w:rPr>
                <w:rFonts w:ascii="黑体" w:hAnsi="黑体" w:eastAsia="黑体" w:cs="黑体"/>
                <w:spacing w:val="1"/>
                <w:sz w:val="24"/>
                <w:szCs w:val="24"/>
              </w:rPr>
              <w:t>第一百二十五条  证券公司从事证券业务的人员应当品行良</w:t>
            </w:r>
            <w:r>
              <w:rPr>
                <w:rFonts w:ascii="黑体" w:hAnsi="黑体" w:eastAsia="黑体" w:cs="黑体"/>
                <w:spacing w:val="8"/>
                <w:sz w:val="24"/>
                <w:szCs w:val="24"/>
              </w:rPr>
              <w:t xml:space="preserve"> </w:t>
            </w:r>
            <w:r>
              <w:rPr>
                <w:rFonts w:ascii="黑体" w:hAnsi="黑体" w:eastAsia="黑体" w:cs="黑体"/>
                <w:spacing w:val="-3"/>
                <w:sz w:val="24"/>
                <w:szCs w:val="24"/>
              </w:rPr>
              <w:t>好，具备从事证券业务所需的专业能力。</w:t>
            </w:r>
          </w:p>
          <w:p>
            <w:pPr>
              <w:pStyle w:val="8"/>
              <w:spacing w:before="36" w:line="231" w:lineRule="auto"/>
              <w:ind w:left="23" w:right="6" w:firstLine="522"/>
            </w:pPr>
            <w:r>
              <w:rPr>
                <w:spacing w:val="10"/>
              </w:rPr>
              <w:t>因违法行为或者违纪行为被开除的证券交易</w:t>
            </w:r>
            <w:r>
              <w:rPr>
                <w:rFonts w:ascii="黑体" w:hAnsi="黑体" w:eastAsia="黑体" w:cs="黑体"/>
                <w:spacing w:val="9"/>
              </w:rPr>
              <w:t>场</w:t>
            </w:r>
            <w:r>
              <w:rPr>
                <w:spacing w:val="9"/>
              </w:rPr>
              <w:t>所、</w:t>
            </w:r>
            <w:r>
              <w:rPr>
                <w:rFonts w:ascii="黑体" w:hAnsi="黑体" w:eastAsia="黑体" w:cs="黑体"/>
                <w:spacing w:val="9"/>
              </w:rPr>
              <w:t>证券公</w:t>
            </w:r>
            <w:r>
              <w:rPr>
                <w:rFonts w:ascii="黑体" w:hAnsi="黑体" w:eastAsia="黑体" w:cs="黑体"/>
              </w:rPr>
              <w:t xml:space="preserve"> </w:t>
            </w:r>
            <w:r>
              <w:rPr>
                <w:rFonts w:ascii="黑体" w:hAnsi="黑体" w:eastAsia="黑体" w:cs="黑体"/>
                <w:spacing w:val="-2"/>
              </w:rPr>
              <w:t>司、</w:t>
            </w:r>
            <w:r>
              <w:rPr>
                <w:rFonts w:ascii="黑体" w:hAnsi="黑体" w:eastAsia="黑体" w:cs="黑体"/>
                <w:spacing w:val="-18"/>
              </w:rPr>
              <w:t xml:space="preserve"> </w:t>
            </w:r>
            <w:r>
              <w:rPr>
                <w:spacing w:val="-2"/>
              </w:rPr>
              <w:t>证券登记结算机构、证券服务机构的从业人员和被开除的国</w:t>
            </w:r>
            <w:r>
              <w:t xml:space="preserve"> </w:t>
            </w:r>
            <w:r>
              <w:rPr>
                <w:spacing w:val="-3"/>
              </w:rPr>
              <w:t>家机关工作人员，不得招聘为证券公司的从业人员。</w:t>
            </w:r>
          </w:p>
          <w:p>
            <w:pPr>
              <w:pStyle w:val="8"/>
              <w:spacing w:before="33" w:line="223" w:lineRule="auto"/>
              <w:ind w:left="28" w:right="7" w:firstLine="509"/>
            </w:pPr>
            <w:r>
              <w:t>国家机关工作人员和法律、行政法规规定的禁止在公司中兼</w:t>
            </w:r>
            <w:r>
              <w:rPr>
                <w:spacing w:val="12"/>
              </w:rPr>
              <w:t xml:space="preserve"> </w:t>
            </w:r>
            <w:r>
              <w:rPr>
                <w:spacing w:val="-4"/>
              </w:rPr>
              <w:t>职的其他人员，不得在证券公司中兼任职务。</w:t>
            </w:r>
          </w:p>
        </w:tc>
      </w:tr>
    </w:tbl>
    <w:p>
      <w:pPr>
        <w:spacing w:line="221" w:lineRule="exact"/>
        <w:rPr>
          <w:rFonts w:ascii="Arial"/>
          <w:sz w:val="19"/>
        </w:rPr>
      </w:pPr>
    </w:p>
    <w:p>
      <w:pPr>
        <w:spacing w:line="221" w:lineRule="exact"/>
        <w:rPr>
          <w:rFonts w:ascii="Arial" w:hAnsi="Arial" w:eastAsia="Arial" w:cs="Arial"/>
          <w:sz w:val="19"/>
          <w:szCs w:val="19"/>
        </w:rPr>
        <w:sectPr>
          <w:footerReference r:id="rId39"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7100" w:type="dxa"/>
            <w:vAlign w:val="top"/>
          </w:tcPr>
          <w:p>
            <w:pPr>
              <w:pStyle w:val="8"/>
              <w:spacing w:before="40" w:line="230" w:lineRule="auto"/>
              <w:ind w:left="10" w:firstLine="502"/>
              <w:jc w:val="both"/>
            </w:pPr>
            <w:r>
              <w:rPr>
                <w:rFonts w:ascii="黑体" w:hAnsi="黑体" w:eastAsia="黑体" w:cs="黑体"/>
                <w:spacing w:val="3"/>
              </w:rPr>
              <w:t xml:space="preserve">第一百三十四条  </w:t>
            </w:r>
            <w:r>
              <w:rPr>
                <w:spacing w:val="3"/>
              </w:rPr>
              <w:t>国家设立证券投资者保护基金。证券投资者</w:t>
            </w:r>
            <w:r>
              <w:rPr>
                <w:spacing w:val="5"/>
              </w:rPr>
              <w:t xml:space="preserve"> </w:t>
            </w:r>
            <w:r>
              <w:t>保护基金由证券公司缴纳的资金及其他依法筹集的资</w:t>
            </w:r>
            <w:r>
              <w:rPr>
                <w:spacing w:val="-1"/>
              </w:rPr>
              <w:t>金组成， 其筹</w:t>
            </w:r>
            <w:r>
              <w:t xml:space="preserve"> </w:t>
            </w:r>
            <w:r>
              <w:rPr>
                <w:spacing w:val="-3"/>
              </w:rPr>
              <w:t>集、管理和使用的具体办法由国务院规定。</w:t>
            </w:r>
          </w:p>
        </w:tc>
        <w:tc>
          <w:tcPr>
            <w:tcW w:w="6807" w:type="dxa"/>
            <w:vAlign w:val="top"/>
          </w:tcPr>
          <w:p>
            <w:pPr>
              <w:pStyle w:val="8"/>
              <w:spacing w:before="40" w:line="230" w:lineRule="auto"/>
              <w:ind w:left="11" w:right="4" w:firstLine="499"/>
            </w:pPr>
            <w:r>
              <w:rPr>
                <w:rFonts w:ascii="黑体" w:hAnsi="黑体" w:eastAsia="黑体" w:cs="黑体"/>
                <w:spacing w:val="1"/>
              </w:rPr>
              <w:t xml:space="preserve">第一百二十六条  </w:t>
            </w:r>
            <w:r>
              <w:rPr>
                <w:spacing w:val="1"/>
              </w:rPr>
              <w:t>国家设立证券投资者保护基金。证券投资</w:t>
            </w:r>
            <w:r>
              <w:rPr>
                <w:spacing w:val="8"/>
              </w:rPr>
              <w:t xml:space="preserve"> </w:t>
            </w:r>
            <w:r>
              <w:t>者保护基金由证券公司缴纳的资金及其他依法筹集的资金</w:t>
            </w:r>
            <w:r>
              <w:rPr>
                <w:spacing w:val="-1"/>
              </w:rPr>
              <w:t>组成，</w:t>
            </w:r>
            <w:r>
              <w:t xml:space="preserve"> </w:t>
            </w:r>
            <w:r>
              <w:rPr>
                <w:spacing w:val="-3"/>
              </w:rPr>
              <w:t>其规模以及筹集、管理和使用的具体办法由国务院规定。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100" w:type="dxa"/>
            <w:vAlign w:val="top"/>
          </w:tcPr>
          <w:p>
            <w:pPr>
              <w:spacing w:line="6" w:lineRule="exact"/>
              <w:ind w:left="4392"/>
            </w:pPr>
            <w:r>
              <w:drawing>
                <wp:inline distT="0" distB="0" distL="0" distR="0">
                  <wp:extent cx="630555" cy="381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112"/>
                          <a:stretch>
                            <a:fillRect/>
                          </a:stretch>
                        </pic:blipFill>
                        <pic:spPr>
                          <a:xfrm>
                            <a:off x="0" y="0"/>
                            <a:ext cx="630936" cy="4063"/>
                          </a:xfrm>
                          <a:prstGeom prst="rect">
                            <a:avLst/>
                          </a:prstGeom>
                        </pic:spPr>
                      </pic:pic>
                    </a:graphicData>
                  </a:graphic>
                </wp:inline>
              </w:drawing>
            </w:r>
          </w:p>
          <w:p>
            <w:pPr>
              <w:pStyle w:val="8"/>
              <w:spacing w:before="3" w:line="238" w:lineRule="auto"/>
              <w:ind w:left="16" w:right="4" w:firstLine="496"/>
              <w:jc w:val="both"/>
            </w:pPr>
            <w:r>
              <w:rPr>
                <w:rFonts w:ascii="黑体" w:hAnsi="黑体" w:eastAsia="黑体" w:cs="黑体"/>
                <w:spacing w:val="1"/>
              </w:rPr>
              <w:t xml:space="preserve">第一百三十五条  </w:t>
            </w:r>
            <w:r>
              <w:rPr>
                <w:position w:val="-8"/>
              </w:rPr>
              <w:drawing>
                <wp:inline distT="0" distB="0" distL="0" distR="0">
                  <wp:extent cx="7620" cy="5715"/>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78"/>
                          <a:stretch>
                            <a:fillRect/>
                          </a:stretch>
                        </pic:blipFill>
                        <pic:spPr>
                          <a:xfrm>
                            <a:off x="0" y="0"/>
                            <a:ext cx="7848" cy="6096"/>
                          </a:xfrm>
                          <a:prstGeom prst="rect">
                            <a:avLst/>
                          </a:prstGeom>
                        </pic:spPr>
                      </pic:pic>
                    </a:graphicData>
                  </a:graphic>
                </wp:inline>
              </w:drawing>
            </w:r>
            <w:r>
              <w:rPr>
                <w:spacing w:val="-99"/>
                <w:u w:val="single" w:color="auto"/>
              </w:rPr>
              <w:t xml:space="preserve"> </w:t>
            </w:r>
            <w:r>
              <w:rPr>
                <w:spacing w:val="1"/>
                <w:u w:val="single" w:color="auto"/>
              </w:rPr>
              <w:t>证券</w:t>
            </w:r>
            <w:r>
              <w:rPr>
                <w:spacing w:val="1"/>
              </w:rPr>
              <w:t>公司从每年的</w:t>
            </w:r>
            <w:r>
              <w:rPr>
                <w:position w:val="-7"/>
              </w:rPr>
              <w:drawing>
                <wp:inline distT="0" distB="0" distL="0" distR="0">
                  <wp:extent cx="7620" cy="203835"/>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83"/>
                          <a:stretch>
                            <a:fillRect/>
                          </a:stretch>
                        </pic:blipFill>
                        <pic:spPr>
                          <a:xfrm>
                            <a:off x="0" y="0"/>
                            <a:ext cx="7848" cy="204216"/>
                          </a:xfrm>
                          <a:prstGeom prst="rect">
                            <a:avLst/>
                          </a:prstGeom>
                        </pic:spPr>
                      </pic:pic>
                    </a:graphicData>
                  </a:graphic>
                </wp:inline>
              </w:drawing>
            </w:r>
            <w:r>
              <w:rPr>
                <w:spacing w:val="1"/>
                <w:u w:val="single" w:color="auto"/>
                <w:shd w:val="clear" w:fill="D9D9D9"/>
              </w:rPr>
              <w:t>税后利润</w:t>
            </w:r>
            <w:r>
              <w:rPr>
                <w:position w:val="-7"/>
              </w:rPr>
              <w:drawing>
                <wp:inline distT="0" distB="0" distL="0" distR="0">
                  <wp:extent cx="7620" cy="203835"/>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76"/>
                          <a:stretch>
                            <a:fillRect/>
                          </a:stretch>
                        </pic:blipFill>
                        <pic:spPr>
                          <a:xfrm>
                            <a:off x="0" y="0"/>
                            <a:ext cx="7848" cy="204216"/>
                          </a:xfrm>
                          <a:prstGeom prst="rect">
                            <a:avLst/>
                          </a:prstGeom>
                        </pic:spPr>
                      </pic:pic>
                    </a:graphicData>
                  </a:graphic>
                </wp:inline>
              </w:drawing>
            </w:r>
            <w:r>
              <w:rPr>
                <w:spacing w:val="1"/>
              </w:rPr>
              <w:t>中提取交易风险</w:t>
            </w:r>
            <w:r>
              <w:t xml:space="preserve"> </w:t>
            </w:r>
            <w:r>
              <w:rPr>
                <w:spacing w:val="2"/>
              </w:rPr>
              <w:t>准备金，用于弥补证券</w:t>
            </w:r>
            <w:r>
              <w:rPr>
                <w:position w:val="-7"/>
              </w:rPr>
              <w:drawing>
                <wp:inline distT="0" distB="0" distL="0" distR="0">
                  <wp:extent cx="8890" cy="203835"/>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83"/>
                          <a:stretch>
                            <a:fillRect/>
                          </a:stretch>
                        </pic:blipFill>
                        <pic:spPr>
                          <a:xfrm>
                            <a:off x="0" y="0"/>
                            <a:ext cx="9347" cy="204216"/>
                          </a:xfrm>
                          <a:prstGeom prst="rect">
                            <a:avLst/>
                          </a:prstGeom>
                        </pic:spPr>
                      </pic:pic>
                    </a:graphicData>
                  </a:graphic>
                </wp:inline>
              </w:drawing>
            </w:r>
            <w:r>
              <w:rPr>
                <w:spacing w:val="2"/>
                <w:u w:val="single" w:color="auto"/>
                <w:shd w:val="clear" w:fill="D9D9D9"/>
              </w:rPr>
              <w:t>交易</w:t>
            </w:r>
            <w:r>
              <w:rPr>
                <w:position w:val="-7"/>
              </w:rPr>
              <w:drawing>
                <wp:inline distT="0" distB="0" distL="0" distR="0">
                  <wp:extent cx="8890" cy="203835"/>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83"/>
                          <a:stretch>
                            <a:fillRect/>
                          </a:stretch>
                        </pic:blipFill>
                        <pic:spPr>
                          <a:xfrm>
                            <a:off x="0" y="0"/>
                            <a:ext cx="9347" cy="204216"/>
                          </a:xfrm>
                          <a:prstGeom prst="rect">
                            <a:avLst/>
                          </a:prstGeom>
                        </pic:spPr>
                      </pic:pic>
                    </a:graphicData>
                  </a:graphic>
                </wp:inline>
              </w:drawing>
            </w:r>
            <w:r>
              <w:rPr>
                <w:spacing w:val="2"/>
              </w:rPr>
              <w:t>的损失，其提取的具体比例由国务院证</w:t>
            </w:r>
            <w:r>
              <w:rPr>
                <w:spacing w:val="14"/>
              </w:rPr>
              <w:t xml:space="preserve"> </w:t>
            </w:r>
            <w:r>
              <w:rPr>
                <w:spacing w:val="-6"/>
              </w:rPr>
              <w:t>券监督管理机构规定。</w:t>
            </w:r>
          </w:p>
        </w:tc>
        <w:tc>
          <w:tcPr>
            <w:tcW w:w="6807" w:type="dxa"/>
            <w:vAlign w:val="top"/>
          </w:tcPr>
          <w:p>
            <w:pPr>
              <w:pStyle w:val="8"/>
              <w:spacing w:before="29" w:line="234" w:lineRule="auto"/>
              <w:ind w:left="28" w:right="4" w:firstLine="482"/>
              <w:jc w:val="both"/>
            </w:pPr>
            <w:r>
              <w:rPr>
                <w:rFonts w:ascii="黑体" w:hAnsi="黑体" w:eastAsia="黑体" w:cs="黑体"/>
                <w:spacing w:val="1"/>
              </w:rPr>
              <w:t xml:space="preserve">第一百二十七条  </w:t>
            </w:r>
            <w:r>
              <w:rPr>
                <w:spacing w:val="1"/>
              </w:rPr>
              <w:t>证券公司从每年的业务收入中提取交易风</w:t>
            </w:r>
            <w:r>
              <w:rPr>
                <w:spacing w:val="8"/>
              </w:rPr>
              <w:t xml:space="preserve"> </w:t>
            </w:r>
            <w:r>
              <w:rPr>
                <w:spacing w:val="1"/>
              </w:rPr>
              <w:t>险准备金，用于弥补证券经营的损失，其提取的具体比例由国务</w:t>
            </w:r>
            <w:r>
              <w:rPr>
                <w:spacing w:val="10"/>
              </w:rPr>
              <w:t xml:space="preserve"> </w:t>
            </w:r>
            <w:r>
              <w:rPr>
                <w:spacing w:val="-3"/>
              </w:rPr>
              <w:t>院证券监督管理机构</w:t>
            </w:r>
            <w:r>
              <w:rPr>
                <w:rFonts w:ascii="黑体" w:hAnsi="黑体" w:eastAsia="黑体" w:cs="黑体"/>
                <w:spacing w:val="-3"/>
              </w:rPr>
              <w:t>会同国务院财政部门</w:t>
            </w:r>
            <w:r>
              <w:rPr>
                <w:spacing w:val="-3"/>
              </w:rP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8" w:hRule="atLeast"/>
        </w:trPr>
        <w:tc>
          <w:tcPr>
            <w:tcW w:w="7100" w:type="dxa"/>
            <w:vAlign w:val="top"/>
          </w:tcPr>
          <w:p>
            <w:pPr>
              <w:pStyle w:val="8"/>
              <w:spacing w:before="32" w:line="229" w:lineRule="auto"/>
              <w:ind w:left="19" w:firstLine="493"/>
            </w:pPr>
            <w:r>
              <w:rPr>
                <w:rFonts w:ascii="黑体" w:hAnsi="黑体" w:eastAsia="黑体" w:cs="黑体"/>
                <w:spacing w:val="3"/>
              </w:rPr>
              <w:t xml:space="preserve">第一百三十六条  </w:t>
            </w:r>
            <w:r>
              <w:rPr>
                <w:spacing w:val="3"/>
              </w:rPr>
              <w:t>证券公司应当建立健全内部控制制度，采取</w:t>
            </w:r>
            <w:r>
              <w:rPr>
                <w:spacing w:val="6"/>
              </w:rPr>
              <w:t xml:space="preserve"> </w:t>
            </w:r>
            <w:r>
              <w:rPr>
                <w:spacing w:val="-2"/>
              </w:rPr>
              <w:t>有效隔离措施，防范公司与客户之间、不同客户之间的</w:t>
            </w:r>
            <w:r>
              <w:rPr>
                <w:spacing w:val="-3"/>
              </w:rPr>
              <w:t>利益冲突。</w:t>
            </w:r>
          </w:p>
          <w:p>
            <w:pPr>
              <w:pStyle w:val="8"/>
              <w:spacing w:before="28" w:line="227" w:lineRule="auto"/>
              <w:ind w:left="18" w:firstLine="502"/>
            </w:pPr>
            <w:r>
              <w:rPr>
                <w:spacing w:val="3"/>
              </w:rPr>
              <w:t>证券公司必须将其证券经纪业务、证券承销业务、证券自营业</w:t>
            </w:r>
            <w:r>
              <w:rPr>
                <w:spacing w:val="1"/>
              </w:rPr>
              <w:t xml:space="preserve"> </w:t>
            </w:r>
            <w:r>
              <w:rPr>
                <w:spacing w:val="-3"/>
              </w:rPr>
              <w:t>务和证券资产管理业务分开办理，不得混合操作。</w:t>
            </w:r>
          </w:p>
        </w:tc>
        <w:tc>
          <w:tcPr>
            <w:tcW w:w="6807" w:type="dxa"/>
            <w:vAlign w:val="top"/>
          </w:tcPr>
          <w:p>
            <w:pPr>
              <w:pStyle w:val="8"/>
              <w:spacing w:before="30" w:line="234" w:lineRule="auto"/>
              <w:ind w:left="14" w:right="4" w:firstLine="496"/>
              <w:jc w:val="both"/>
            </w:pPr>
            <w:r>
              <w:rPr>
                <w:rFonts w:ascii="黑体" w:hAnsi="黑体" w:eastAsia="黑体" w:cs="黑体"/>
                <w:spacing w:val="-3"/>
              </w:rPr>
              <w:t xml:space="preserve">第一百二十八条  </w:t>
            </w:r>
            <w:r>
              <w:rPr>
                <w:spacing w:val="-3"/>
              </w:rPr>
              <w:t>证券公司应当建立健全内部控制制度， 采</w:t>
            </w:r>
            <w:r>
              <w:t xml:space="preserve"> </w:t>
            </w:r>
            <w:r>
              <w:rPr>
                <w:spacing w:val="-3"/>
              </w:rPr>
              <w:t>取有效隔离措施， 防范公司与客户之间、不同客户之间的利益冲</w:t>
            </w:r>
            <w:r>
              <w:rPr>
                <w:spacing w:val="15"/>
              </w:rPr>
              <w:t xml:space="preserve"> </w:t>
            </w:r>
            <w:r>
              <w:rPr>
                <w:spacing w:val="-16"/>
              </w:rPr>
              <w:t>突。</w:t>
            </w:r>
          </w:p>
          <w:p>
            <w:pPr>
              <w:pStyle w:val="8"/>
              <w:spacing w:before="25" w:line="228" w:lineRule="auto"/>
              <w:ind w:left="14" w:right="4" w:firstLine="503"/>
              <w:jc w:val="both"/>
            </w:pPr>
            <w:r>
              <w:rPr>
                <w:spacing w:val="1"/>
              </w:rPr>
              <w:t>证券公司必须将其证券经纪业务、证券承销业务、证券自营</w:t>
            </w:r>
            <w:r>
              <w:t xml:space="preserve"> </w:t>
            </w:r>
            <w:r>
              <w:rPr>
                <w:spacing w:val="-3"/>
              </w:rPr>
              <w:t>业务</w:t>
            </w:r>
            <w:r>
              <w:rPr>
                <w:rFonts w:ascii="黑体" w:hAnsi="黑体" w:eastAsia="黑体" w:cs="黑体"/>
                <w:spacing w:val="-3"/>
              </w:rPr>
              <w:t>、证券做市业务</w:t>
            </w:r>
            <w:r>
              <w:rPr>
                <w:spacing w:val="-3"/>
              </w:rPr>
              <w:t>和证券资产管理业务分开办理， 不得混合操</w:t>
            </w:r>
            <w:r>
              <w:rPr>
                <w:spacing w:val="18"/>
              </w:rPr>
              <w:t xml:space="preserve"> </w:t>
            </w:r>
            <w:r>
              <w:rPr>
                <w:spacing w:val="-16"/>
              </w:rPr>
              <w:t>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5" w:hRule="atLeast"/>
        </w:trPr>
        <w:tc>
          <w:tcPr>
            <w:tcW w:w="7100" w:type="dxa"/>
            <w:vAlign w:val="top"/>
          </w:tcPr>
          <w:p>
            <w:pPr>
              <w:pStyle w:val="8"/>
              <w:spacing w:before="38" w:line="227" w:lineRule="auto"/>
              <w:ind w:left="13" w:firstLine="499"/>
            </w:pPr>
            <w:r>
              <w:rPr>
                <w:rFonts w:ascii="黑体" w:hAnsi="黑体" w:eastAsia="黑体" w:cs="黑体"/>
                <w:spacing w:val="12"/>
              </w:rPr>
              <w:t xml:space="preserve">第一百三十七条  </w:t>
            </w:r>
            <w:r>
              <w:rPr>
                <w:spacing w:val="12"/>
              </w:rPr>
              <w:t>证券公司的自营业务必须以自己的名义进</w:t>
            </w:r>
            <w:r>
              <w:rPr>
                <w:spacing w:val="6"/>
              </w:rPr>
              <w:t xml:space="preserve"> </w:t>
            </w:r>
            <w:r>
              <w:rPr>
                <w:spacing w:val="-3"/>
              </w:rPr>
              <w:t>行，不得假借他人名义或者以个人名义进行。</w:t>
            </w:r>
          </w:p>
          <w:p>
            <w:pPr>
              <w:pStyle w:val="8"/>
              <w:spacing w:before="31" w:line="217" w:lineRule="auto"/>
              <w:ind w:left="520"/>
            </w:pPr>
            <w:r>
              <w:rPr>
                <w:spacing w:val="-3"/>
              </w:rPr>
              <w:t>证券公司的自营业务必须使用自有资金和依法筹集的资金。</w:t>
            </w:r>
          </w:p>
          <w:p>
            <w:pPr>
              <w:pStyle w:val="8"/>
              <w:spacing w:before="30" w:line="217" w:lineRule="auto"/>
              <w:ind w:left="520"/>
            </w:pPr>
            <w:r>
              <w:rPr>
                <w:spacing w:val="-4"/>
              </w:rPr>
              <w:t>证券公司不得将其自营账户借给他人使用。</w:t>
            </w:r>
          </w:p>
        </w:tc>
        <w:tc>
          <w:tcPr>
            <w:tcW w:w="6807" w:type="dxa"/>
            <w:vAlign w:val="top"/>
          </w:tcPr>
          <w:p>
            <w:pPr>
              <w:pStyle w:val="8"/>
              <w:spacing w:before="38" w:line="227" w:lineRule="auto"/>
              <w:ind w:left="11" w:right="4" w:firstLine="499"/>
            </w:pPr>
            <w:r>
              <w:rPr>
                <w:rFonts w:ascii="黑体" w:hAnsi="黑体" w:eastAsia="黑体" w:cs="黑体"/>
                <w:spacing w:val="1"/>
              </w:rPr>
              <w:t xml:space="preserve">第一百二十九条  </w:t>
            </w:r>
            <w:r>
              <w:rPr>
                <w:spacing w:val="1"/>
              </w:rPr>
              <w:t>证券公司的自营业务必须以自己的名义进</w:t>
            </w:r>
            <w:r>
              <w:rPr>
                <w:spacing w:val="8"/>
              </w:rPr>
              <w:t xml:space="preserve"> </w:t>
            </w:r>
            <w:r>
              <w:rPr>
                <w:spacing w:val="-3"/>
              </w:rPr>
              <w:t>行，不得假借他人名义或者以个人名义进行。</w:t>
            </w:r>
          </w:p>
          <w:p>
            <w:pPr>
              <w:pStyle w:val="8"/>
              <w:spacing w:before="31" w:line="217" w:lineRule="auto"/>
              <w:ind w:left="518"/>
            </w:pPr>
            <w:r>
              <w:rPr>
                <w:spacing w:val="-3"/>
              </w:rPr>
              <w:t>证券公司的自营业务必须使用自有资金和依法筹集的资金。</w:t>
            </w:r>
          </w:p>
          <w:p>
            <w:pPr>
              <w:pStyle w:val="8"/>
              <w:spacing w:before="30" w:line="217" w:lineRule="auto"/>
              <w:ind w:left="518"/>
            </w:pPr>
            <w:r>
              <w:rPr>
                <w:spacing w:val="-4"/>
              </w:rPr>
              <w:t>证券公司不得将其自营账户借给他人使用。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0" w:hRule="atLeast"/>
        </w:trPr>
        <w:tc>
          <w:tcPr>
            <w:tcW w:w="7100" w:type="dxa"/>
            <w:vAlign w:val="top"/>
          </w:tcPr>
          <w:p>
            <w:pPr>
              <w:pStyle w:val="8"/>
              <w:spacing w:before="40" w:line="221" w:lineRule="auto"/>
              <w:jc w:val="right"/>
            </w:pPr>
            <w:r>
              <w:rPr>
                <w:rFonts w:ascii="黑体" w:hAnsi="黑体" w:eastAsia="黑体" w:cs="黑体"/>
                <w:spacing w:val="-1"/>
              </w:rPr>
              <w:t xml:space="preserve">第一百三十八条  </w:t>
            </w:r>
            <w:r>
              <w:rPr>
                <w:spacing w:val="-1"/>
              </w:rPr>
              <w:t>证券公司依法享有自主经营的权利， 其合法</w:t>
            </w:r>
          </w:p>
          <w:p>
            <w:pPr>
              <w:pStyle w:val="8"/>
              <w:spacing w:before="25" w:line="218" w:lineRule="auto"/>
              <w:ind w:left="19"/>
            </w:pPr>
            <w:r>
              <w:rPr>
                <w:spacing w:val="-8"/>
              </w:rPr>
              <w:t>经营不受干涉。</w:t>
            </w:r>
          </w:p>
        </w:tc>
        <w:tc>
          <w:tcPr>
            <w:tcW w:w="6807" w:type="dxa"/>
            <w:vAlign w:val="top"/>
          </w:tcPr>
          <w:p>
            <w:pPr>
              <w:spacing w:before="39" w:line="231" w:lineRule="auto"/>
              <w:ind w:left="18" w:right="14" w:firstLine="492"/>
              <w:rPr>
                <w:rFonts w:ascii="黑体" w:hAnsi="黑体" w:eastAsia="黑体" w:cs="黑体"/>
                <w:sz w:val="24"/>
                <w:szCs w:val="24"/>
              </w:rPr>
            </w:pPr>
            <w:r>
              <w:rPr>
                <w:rFonts w:ascii="黑体" w:hAnsi="黑体" w:eastAsia="黑体" w:cs="黑体"/>
                <w:spacing w:val="1"/>
                <w:sz w:val="24"/>
                <w:szCs w:val="24"/>
              </w:rPr>
              <w:t>第一百三十条  证券公司应当依法审慎经营，勤勉尽责</w:t>
            </w:r>
            <w:r>
              <w:rPr>
                <w:rFonts w:ascii="黑体" w:hAnsi="黑体" w:eastAsia="黑体" w:cs="黑体"/>
                <w:sz w:val="24"/>
                <w:szCs w:val="24"/>
              </w:rPr>
              <w:t xml:space="preserve">，诚 </w:t>
            </w:r>
            <w:r>
              <w:rPr>
                <w:rFonts w:ascii="黑体" w:hAnsi="黑体" w:eastAsia="黑体" w:cs="黑体"/>
                <w:spacing w:val="-9"/>
                <w:sz w:val="24"/>
                <w:szCs w:val="24"/>
              </w:rPr>
              <w:t>实守信。</w:t>
            </w:r>
          </w:p>
          <w:p>
            <w:pPr>
              <w:spacing w:before="22" w:line="231" w:lineRule="auto"/>
              <w:ind w:left="13" w:right="2" w:firstLine="496"/>
              <w:rPr>
                <w:rFonts w:ascii="黑体" w:hAnsi="黑体" w:eastAsia="黑体" w:cs="黑体"/>
                <w:sz w:val="24"/>
                <w:szCs w:val="24"/>
              </w:rPr>
            </w:pPr>
            <w:r>
              <w:rPr>
                <w:rFonts w:ascii="黑体" w:hAnsi="黑体" w:eastAsia="黑体" w:cs="黑体"/>
                <w:spacing w:val="1"/>
                <w:sz w:val="24"/>
                <w:szCs w:val="24"/>
              </w:rPr>
              <w:t>证券公司的业务活动，应当与其治理结构、内部控制、合规</w:t>
            </w:r>
            <w:r>
              <w:rPr>
                <w:rFonts w:ascii="黑体" w:hAnsi="黑体" w:eastAsia="黑体" w:cs="黑体"/>
                <w:spacing w:val="7"/>
                <w:sz w:val="24"/>
                <w:szCs w:val="24"/>
              </w:rPr>
              <w:t xml:space="preserve"> </w:t>
            </w:r>
            <w:r>
              <w:rPr>
                <w:rFonts w:ascii="黑体" w:hAnsi="黑体" w:eastAsia="黑体" w:cs="黑体"/>
                <w:spacing w:val="11"/>
                <w:sz w:val="24"/>
                <w:szCs w:val="24"/>
              </w:rPr>
              <w:t>管理、风险管理以及风险控制指标、从业人员构成等情</w:t>
            </w:r>
            <w:r>
              <w:rPr>
                <w:rFonts w:ascii="黑体" w:hAnsi="黑体" w:eastAsia="黑体" w:cs="黑体"/>
                <w:spacing w:val="10"/>
                <w:sz w:val="24"/>
                <w:szCs w:val="24"/>
              </w:rPr>
              <w:t>况相适</w:t>
            </w:r>
            <w:r>
              <w:rPr>
                <w:rFonts w:ascii="黑体" w:hAnsi="黑体" w:eastAsia="黑体" w:cs="黑体"/>
                <w:sz w:val="24"/>
                <w:szCs w:val="24"/>
              </w:rPr>
              <w:t xml:space="preserve"> </w:t>
            </w:r>
            <w:r>
              <w:rPr>
                <w:rFonts w:ascii="黑体" w:hAnsi="黑体" w:eastAsia="黑体" w:cs="黑体"/>
                <w:spacing w:val="-2"/>
                <w:sz w:val="24"/>
                <w:szCs w:val="24"/>
              </w:rPr>
              <w:t>应，符合审慎监管和保护投资者合法权益的要求。</w:t>
            </w:r>
          </w:p>
          <w:p>
            <w:pPr>
              <w:pStyle w:val="8"/>
              <w:spacing w:before="36" w:line="208" w:lineRule="auto"/>
              <w:ind w:left="518"/>
            </w:pPr>
            <w:r>
              <w:rPr>
                <w:spacing w:val="-3"/>
              </w:rPr>
              <w:t>证券公司依法享有自主经营的权利，其合法经营不受干涉。</w:t>
            </w:r>
          </w:p>
        </w:tc>
      </w:tr>
    </w:tbl>
    <w:p>
      <w:pPr>
        <w:rPr>
          <w:rFonts w:ascii="Arial"/>
          <w:sz w:val="21"/>
        </w:rPr>
      </w:pPr>
    </w:p>
    <w:p>
      <w:pPr>
        <w:rPr>
          <w:rFonts w:ascii="Arial" w:hAnsi="Arial" w:eastAsia="Arial" w:cs="Arial"/>
          <w:sz w:val="21"/>
          <w:szCs w:val="21"/>
        </w:rPr>
        <w:sectPr>
          <w:footerReference r:id="rId40"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3"/>
        <w:gridCol w:w="3184"/>
        <w:gridCol w:w="2438"/>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095" w:type="dxa"/>
            <w:gridSpan w:val="3"/>
            <w:tcBorders>
              <w:bottom w:val="nil"/>
            </w:tcBorders>
            <w:vAlign w:val="top"/>
          </w:tcPr>
          <w:p>
            <w:pPr>
              <w:pStyle w:val="8"/>
              <w:spacing w:before="41" w:line="209" w:lineRule="auto"/>
              <w:jc w:val="right"/>
            </w:pPr>
            <w:r>
              <w:rPr>
                <w:rFonts w:ascii="黑体" w:hAnsi="黑体" w:eastAsia="黑体" w:cs="黑体"/>
                <w:spacing w:val="3"/>
              </w:rPr>
              <w:t xml:space="preserve">第一百三十九条  </w:t>
            </w:r>
            <w:r>
              <w:rPr>
                <w:spacing w:val="3"/>
              </w:rPr>
              <w:t>证券公司客户的交易结算资金应当存放在商</w:t>
            </w:r>
          </w:p>
        </w:tc>
        <w:tc>
          <w:tcPr>
            <w:tcW w:w="6812" w:type="dxa"/>
            <w:vMerge w:val="restart"/>
            <w:tcBorders>
              <w:bottom w:val="nil"/>
            </w:tcBorders>
            <w:vAlign w:val="top"/>
          </w:tcPr>
          <w:p>
            <w:pPr>
              <w:pStyle w:val="8"/>
              <w:spacing w:before="41" w:line="228" w:lineRule="auto"/>
              <w:ind w:left="27" w:right="4" w:firstLine="488"/>
            </w:pPr>
            <w:r>
              <w:rPr>
                <w:rFonts w:ascii="黑体" w:hAnsi="黑体" w:eastAsia="黑体" w:cs="黑体"/>
                <w:spacing w:val="1"/>
              </w:rPr>
              <w:t xml:space="preserve">第一百三十一条  </w:t>
            </w:r>
            <w:r>
              <w:rPr>
                <w:spacing w:val="1"/>
              </w:rPr>
              <w:t>证券公司客户的交易结算资金应当存放在</w:t>
            </w:r>
            <w:r>
              <w:rPr>
                <w:spacing w:val="8"/>
              </w:rPr>
              <w:t xml:space="preserve"> </w:t>
            </w:r>
            <w:r>
              <w:rPr>
                <w:spacing w:val="-4"/>
              </w:rPr>
              <w:t>商业银行，以每个客户的名义单独立户管理。</w:t>
            </w:r>
          </w:p>
          <w:p>
            <w:pPr>
              <w:pStyle w:val="8"/>
              <w:spacing w:before="27" w:line="236" w:lineRule="auto"/>
              <w:ind w:left="16" w:right="7" w:firstLine="506"/>
            </w:pPr>
            <w:r>
              <w:rPr>
                <w:spacing w:val="10"/>
              </w:rPr>
              <w:t>证券公司不得将客户的交易结算资金和证券归入其自有财</w:t>
            </w:r>
            <w:r>
              <w:rPr>
                <w:spacing w:val="15"/>
              </w:rPr>
              <w:t xml:space="preserve"> </w:t>
            </w:r>
            <w:r>
              <w:rPr>
                <w:spacing w:val="2"/>
              </w:rPr>
              <w:t>产。禁止任何单位或者个人以任何形式挪用客户的交</w:t>
            </w:r>
            <w:r>
              <w:rPr>
                <w:spacing w:val="1"/>
              </w:rPr>
              <w:t>易结算资金</w:t>
            </w:r>
            <w:r>
              <w:t xml:space="preserve"> </w:t>
            </w:r>
            <w:r>
              <w:rPr>
                <w:spacing w:val="-3"/>
              </w:rPr>
              <w:t>和证券。证券公司破产或者清算时， 客户的交易结算资金和证券</w:t>
            </w:r>
            <w:r>
              <w:rPr>
                <w:spacing w:val="18"/>
              </w:rPr>
              <w:t xml:space="preserve"> </w:t>
            </w:r>
            <w:r>
              <w:rPr>
                <w:spacing w:val="2"/>
              </w:rPr>
              <w:t>不属于其破产财产或者清算财产。非因客户本身的债</w:t>
            </w:r>
            <w:r>
              <w:rPr>
                <w:spacing w:val="1"/>
              </w:rPr>
              <w:t>务或者法律</w:t>
            </w:r>
            <w:r>
              <w:t xml:space="preserve"> </w:t>
            </w:r>
            <w:r>
              <w:rPr>
                <w:spacing w:val="-3"/>
              </w:rPr>
              <w:t>规定的其他情形， 不得查封、冻结、扣划或者强制执行客户的交</w:t>
            </w:r>
            <w:r>
              <w:rPr>
                <w:spacing w:val="18"/>
              </w:rPr>
              <w:t xml:space="preserve"> </w:t>
            </w:r>
            <w:r>
              <w:rPr>
                <w:spacing w:val="-6"/>
              </w:rPr>
              <w:t>易结算资金和证券。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657" w:type="dxa"/>
            <w:gridSpan w:val="2"/>
            <w:tcBorders>
              <w:top w:val="nil"/>
              <w:bottom w:val="nil"/>
              <w:right w:val="single" w:color="000000" w:sz="2" w:space="0"/>
            </w:tcBorders>
            <w:vAlign w:val="top"/>
          </w:tcPr>
          <w:p>
            <w:pPr>
              <w:pStyle w:val="8"/>
              <w:spacing w:before="38" w:line="206" w:lineRule="auto"/>
              <w:ind w:left="23"/>
            </w:pPr>
            <w:r>
              <w:t>业银行，以每个客户的名义单独立户管理。</w:t>
            </w:r>
          </w:p>
        </w:tc>
        <w:tc>
          <w:tcPr>
            <w:tcW w:w="2438" w:type="dxa"/>
            <w:tcBorders>
              <w:top w:val="single" w:color="000000" w:sz="2" w:space="0"/>
              <w:left w:val="single" w:color="000000" w:sz="2" w:space="0"/>
              <w:bottom w:val="single" w:color="000000" w:sz="2" w:space="0"/>
            </w:tcBorders>
            <w:shd w:val="clear" w:color="auto" w:fill="D9D9D9"/>
            <w:vAlign w:val="top"/>
          </w:tcPr>
          <w:p>
            <w:pPr>
              <w:pStyle w:val="8"/>
              <w:spacing w:before="38" w:line="206" w:lineRule="auto"/>
              <w:ind w:left="6"/>
            </w:pPr>
            <w:r>
              <w:rPr>
                <w:spacing w:val="1"/>
              </w:rPr>
              <w:t>具体办法和实施步骤由</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473" w:type="dxa"/>
            <w:tcBorders>
              <w:top w:val="single" w:color="000000" w:sz="2" w:space="0"/>
              <w:bottom w:val="single" w:color="000000" w:sz="2" w:space="0"/>
              <w:right w:val="single" w:color="000000" w:sz="2" w:space="0"/>
            </w:tcBorders>
            <w:shd w:val="clear" w:color="auto" w:fill="D9D9D9"/>
            <w:vAlign w:val="top"/>
          </w:tcPr>
          <w:p>
            <w:pPr>
              <w:pStyle w:val="8"/>
              <w:spacing w:before="47" w:line="204" w:lineRule="auto"/>
              <w:ind w:left="43"/>
            </w:pPr>
            <w:r>
              <w:rPr>
                <w:spacing w:val="-11"/>
              </w:rPr>
              <w:t>国务院规定。</w:t>
            </w:r>
          </w:p>
        </w:tc>
        <w:tc>
          <w:tcPr>
            <w:tcW w:w="5622" w:type="dxa"/>
            <w:gridSpan w:val="2"/>
            <w:tcBorders>
              <w:top w:val="nil"/>
              <w:left w:val="single" w:color="000000" w:sz="2" w:space="0"/>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5" w:hRule="atLeast"/>
        </w:trPr>
        <w:tc>
          <w:tcPr>
            <w:tcW w:w="7095" w:type="dxa"/>
            <w:gridSpan w:val="3"/>
            <w:tcBorders>
              <w:top w:val="nil"/>
            </w:tcBorders>
            <w:vAlign w:val="top"/>
          </w:tcPr>
          <w:p>
            <w:pPr>
              <w:pStyle w:val="8"/>
              <w:spacing w:before="37" w:line="236" w:lineRule="auto"/>
              <w:ind w:left="9" w:firstLine="510"/>
            </w:pPr>
            <w:r>
              <w:rPr>
                <w:spacing w:val="2"/>
              </w:rPr>
              <w:t>证券公司不得将客户的交易结算资金和证券归入其自有财产。</w:t>
            </w:r>
            <w:r>
              <w:rPr>
                <w:spacing w:val="15"/>
              </w:rPr>
              <w:t xml:space="preserve"> </w:t>
            </w:r>
            <w:r>
              <w:rPr>
                <w:spacing w:val="12"/>
              </w:rPr>
              <w:t>禁止任何单位或者个人以任何形式挪用客户的交易结算资金和证</w:t>
            </w:r>
            <w:r>
              <w:rPr>
                <w:spacing w:val="10"/>
              </w:rPr>
              <w:t xml:space="preserve"> </w:t>
            </w:r>
            <w:r>
              <w:rPr>
                <w:spacing w:val="4"/>
              </w:rPr>
              <w:t>券。证券公司破产或者清算时，客户的交易结算</w:t>
            </w:r>
            <w:r>
              <w:rPr>
                <w:spacing w:val="3"/>
              </w:rPr>
              <w:t>资金和证券不属于</w:t>
            </w:r>
            <w:r>
              <w:t xml:space="preserve"> </w:t>
            </w:r>
            <w:r>
              <w:rPr>
                <w:spacing w:val="4"/>
              </w:rPr>
              <w:t>其破产财产或者清算财产。非因客户本身的债务或</w:t>
            </w:r>
            <w:r>
              <w:rPr>
                <w:spacing w:val="3"/>
              </w:rPr>
              <w:t>者法律规定的其</w:t>
            </w:r>
            <w:r>
              <w:t xml:space="preserve"> </w:t>
            </w:r>
            <w:r>
              <w:rPr>
                <w:spacing w:val="4"/>
              </w:rPr>
              <w:t>他情形，不得查封、冻结、扣划或者强制执行客</w:t>
            </w:r>
            <w:r>
              <w:rPr>
                <w:spacing w:val="3"/>
              </w:rPr>
              <w:t>户的交易结算资金</w:t>
            </w:r>
            <w:r>
              <w:t xml:space="preserve"> </w:t>
            </w:r>
            <w:r>
              <w:rPr>
                <w:spacing w:val="-11"/>
              </w:rPr>
              <w:t>和证券。</w:t>
            </w: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7095" w:type="dxa"/>
            <w:gridSpan w:val="3"/>
            <w:vAlign w:val="top"/>
          </w:tcPr>
          <w:p>
            <w:pPr>
              <w:pStyle w:val="8"/>
              <w:spacing w:before="36" w:line="232" w:lineRule="auto"/>
              <w:ind w:left="19" w:firstLine="493"/>
              <w:jc w:val="both"/>
            </w:pPr>
            <w:r>
              <w:rPr>
                <w:rFonts w:ascii="黑体" w:hAnsi="黑体" w:eastAsia="黑体" w:cs="黑体"/>
                <w:spacing w:val="3"/>
              </w:rPr>
              <w:t xml:space="preserve">第一百四十条  </w:t>
            </w:r>
            <w:r>
              <w:rPr>
                <w:spacing w:val="3"/>
              </w:rPr>
              <w:t>证券公司办理经纪业务，应当置备统一制定的</w:t>
            </w:r>
            <w:r>
              <w:t xml:space="preserve"> </w:t>
            </w:r>
            <w:r>
              <w:rPr>
                <w:spacing w:val="3"/>
              </w:rPr>
              <w:t>证券买卖委托书，供委托人使用。采取其他委托方式的，必须作出</w:t>
            </w:r>
            <w:r>
              <w:rPr>
                <w:spacing w:val="12"/>
              </w:rPr>
              <w:t xml:space="preserve"> </w:t>
            </w:r>
            <w:r>
              <w:rPr>
                <w:spacing w:val="-11"/>
              </w:rPr>
              <w:t>委托记录。</w:t>
            </w:r>
          </w:p>
          <w:p>
            <w:pPr>
              <w:pStyle w:val="8"/>
              <w:spacing w:before="29" w:line="222" w:lineRule="auto"/>
              <w:ind w:left="16" w:firstLine="499"/>
              <w:jc w:val="both"/>
            </w:pPr>
            <w:r>
              <w:rPr>
                <w:spacing w:val="3"/>
              </w:rPr>
              <w:t>客户的证券买卖委托，不论是否成交，其委托记录应当按照规</w:t>
            </w:r>
            <w:r>
              <w:rPr>
                <w:spacing w:val="2"/>
              </w:rPr>
              <w:t xml:space="preserve"> </w:t>
            </w:r>
            <w:r>
              <w:rPr>
                <w:spacing w:val="-5"/>
              </w:rPr>
              <w:t>定的期限，保存于证券公司。</w:t>
            </w:r>
          </w:p>
        </w:tc>
        <w:tc>
          <w:tcPr>
            <w:tcW w:w="6812" w:type="dxa"/>
            <w:vAlign w:val="top"/>
          </w:tcPr>
          <w:p>
            <w:pPr>
              <w:pStyle w:val="8"/>
              <w:spacing w:before="37" w:line="231" w:lineRule="auto"/>
              <w:ind w:left="19" w:right="4" w:firstLine="496"/>
              <w:jc w:val="both"/>
            </w:pPr>
            <w:r>
              <w:rPr>
                <w:rFonts w:ascii="黑体" w:hAnsi="黑体" w:eastAsia="黑体" w:cs="黑体"/>
                <w:spacing w:val="1"/>
              </w:rPr>
              <w:t xml:space="preserve">第一百三十二条  </w:t>
            </w:r>
            <w:r>
              <w:rPr>
                <w:spacing w:val="1"/>
              </w:rPr>
              <w:t>证券公司办理经纪业务，应当置备统一制</w:t>
            </w:r>
            <w:r>
              <w:rPr>
                <w:spacing w:val="8"/>
              </w:rPr>
              <w:t xml:space="preserve"> </w:t>
            </w:r>
            <w:r>
              <w:rPr>
                <w:spacing w:val="-3"/>
              </w:rPr>
              <w:t>定的证券买卖委托书， 供委托人使用。采取其他委托方式的</w:t>
            </w:r>
            <w:r>
              <w:rPr>
                <w:spacing w:val="-4"/>
              </w:rPr>
              <w:t>，必</w:t>
            </w:r>
            <w:r>
              <w:t xml:space="preserve"> </w:t>
            </w:r>
            <w:r>
              <w:rPr>
                <w:spacing w:val="-7"/>
              </w:rPr>
              <w:t>须作出委托记录。</w:t>
            </w:r>
          </w:p>
          <w:p>
            <w:pPr>
              <w:pStyle w:val="8"/>
              <w:spacing w:before="32" w:line="222" w:lineRule="auto"/>
              <w:ind w:left="24" w:right="7" w:firstLine="475"/>
              <w:jc w:val="both"/>
            </w:pPr>
            <w:r>
              <w:rPr>
                <w:spacing w:val="-3"/>
              </w:rPr>
              <w:t>客户的证券买卖委托， 不论是否成交，其委托记录应当按照</w:t>
            </w:r>
            <w:r>
              <w:rPr>
                <w:spacing w:val="9"/>
              </w:rPr>
              <w:t xml:space="preserve"> </w:t>
            </w:r>
            <w:r>
              <w:rPr>
                <w:spacing w:val="-5"/>
              </w:rPr>
              <w:t>规定的期限，保存于证券公司。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7095" w:type="dxa"/>
            <w:gridSpan w:val="3"/>
            <w:tcBorders>
              <w:bottom w:val="single" w:color="000000" w:sz="2" w:space="0"/>
            </w:tcBorders>
            <w:vAlign w:val="top"/>
          </w:tcPr>
          <w:p>
            <w:pPr>
              <w:pStyle w:val="8"/>
              <w:spacing w:before="39" w:line="219" w:lineRule="auto"/>
              <w:jc w:val="right"/>
            </w:pPr>
            <w:r>
              <w:rPr>
                <w:rFonts w:ascii="黑体" w:hAnsi="黑体" w:eastAsia="黑体" w:cs="黑体"/>
                <w:spacing w:val="3"/>
              </w:rPr>
              <w:t xml:space="preserve">第一百四十一条  </w:t>
            </w:r>
            <w:r>
              <w:rPr>
                <w:spacing w:val="3"/>
              </w:rPr>
              <w:t>证券公司接受证券买卖的委托，应当根据委</w:t>
            </w:r>
          </w:p>
          <w:p>
            <w:pPr>
              <w:pStyle w:val="8"/>
              <w:spacing w:before="25" w:line="228" w:lineRule="auto"/>
              <w:ind w:left="11"/>
              <w:jc w:val="right"/>
            </w:pPr>
            <w:r>
              <w:rPr>
                <w:spacing w:val="4"/>
              </w:rPr>
              <w:t>托书载明的证券名称、买卖数量、出价方式</w:t>
            </w:r>
            <w:r>
              <w:rPr>
                <w:spacing w:val="3"/>
              </w:rPr>
              <w:t>、价格幅度等，按照交</w:t>
            </w:r>
            <w:r>
              <w:t xml:space="preserve"> </w:t>
            </w:r>
            <w:r>
              <w:rPr>
                <w:spacing w:val="3"/>
              </w:rPr>
              <w:t>易规则代理买卖证券，如实进行交易记录；买卖成交后，应当按照</w:t>
            </w:r>
          </w:p>
          <w:p>
            <w:pPr>
              <w:pStyle w:val="8"/>
              <w:spacing w:before="30" w:line="219" w:lineRule="auto"/>
              <w:ind w:left="20"/>
            </w:pPr>
            <w:r>
              <w:rPr>
                <w:spacing w:val="-12"/>
              </w:rPr>
              <w:t>规定制作买卖成交报告单交付客户。</w:t>
            </w:r>
            <w:r>
              <w:rPr>
                <w:spacing w:val="1"/>
              </w:rPr>
              <w:t xml:space="preserve">                          </w:t>
            </w:r>
            <w:r>
              <w:rPr>
                <w:position w:val="-7"/>
              </w:rPr>
              <w:drawing>
                <wp:inline distT="0" distB="0" distL="0" distR="0">
                  <wp:extent cx="5715" cy="5715"/>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99"/>
                          <a:stretch>
                            <a:fillRect/>
                          </a:stretch>
                        </pic:blipFill>
                        <pic:spPr>
                          <a:xfrm>
                            <a:off x="0" y="0"/>
                            <a:ext cx="6096" cy="6095"/>
                          </a:xfrm>
                          <a:prstGeom prst="rect">
                            <a:avLst/>
                          </a:prstGeom>
                        </pic:spPr>
                      </pic:pic>
                    </a:graphicData>
                  </a:graphic>
                </wp:inline>
              </w:drawing>
            </w:r>
            <w:r>
              <w:rPr>
                <w:spacing w:val="2"/>
                <w:u w:val="single" w:color="auto"/>
              </w:rPr>
              <w:t xml:space="preserve">   </w:t>
            </w:r>
          </w:p>
          <w:p>
            <w:pPr>
              <w:pStyle w:val="8"/>
              <w:spacing w:before="1" w:line="228" w:lineRule="auto"/>
              <w:ind w:right="6"/>
              <w:jc w:val="right"/>
            </w:pPr>
            <w:r>
              <w:rPr>
                <w:spacing w:val="2"/>
              </w:rPr>
              <w:t>证券交易中确认交易行为及其交易结果的对账单必须真实，</w:t>
            </w:r>
            <w:r>
              <w:rPr>
                <w:position w:val="-6"/>
              </w:rPr>
              <w:drawing>
                <wp:inline distT="0" distB="0" distL="0" distR="0">
                  <wp:extent cx="5715" cy="188595"/>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84"/>
                          <a:stretch>
                            <a:fillRect/>
                          </a:stretch>
                        </pic:blipFill>
                        <pic:spPr>
                          <a:xfrm>
                            <a:off x="0" y="0"/>
                            <a:ext cx="6096" cy="188595"/>
                          </a:xfrm>
                          <a:prstGeom prst="rect">
                            <a:avLst/>
                          </a:prstGeom>
                        </pic:spPr>
                      </pic:pic>
                    </a:graphicData>
                  </a:graphic>
                </wp:inline>
              </w:drawing>
            </w:r>
            <w:r>
              <w:rPr>
                <w:spacing w:val="2"/>
                <w:shd w:val="clear" w:fill="D9D9D9"/>
              </w:rPr>
              <w:t>并</w:t>
            </w:r>
          </w:p>
        </w:tc>
        <w:tc>
          <w:tcPr>
            <w:tcW w:w="6812" w:type="dxa"/>
            <w:vMerge w:val="restart"/>
            <w:tcBorders>
              <w:bottom w:val="nil"/>
            </w:tcBorders>
            <w:vAlign w:val="top"/>
          </w:tcPr>
          <w:p>
            <w:pPr>
              <w:pStyle w:val="8"/>
              <w:spacing w:before="37" w:line="234" w:lineRule="auto"/>
              <w:ind w:left="22" w:right="4" w:firstLine="493"/>
              <w:jc w:val="both"/>
            </w:pPr>
            <w:r>
              <w:rPr>
                <w:rFonts w:ascii="黑体" w:hAnsi="黑体" w:eastAsia="黑体" w:cs="黑体"/>
                <w:spacing w:val="1"/>
              </w:rPr>
              <w:t xml:space="preserve">第一百三十三条  </w:t>
            </w:r>
            <w:r>
              <w:rPr>
                <w:spacing w:val="1"/>
              </w:rPr>
              <w:t>证券公司接受证券买卖的委托，应当根据</w:t>
            </w:r>
            <w:r>
              <w:rPr>
                <w:spacing w:val="8"/>
              </w:rPr>
              <w:t xml:space="preserve"> </w:t>
            </w:r>
            <w:r>
              <w:rPr>
                <w:spacing w:val="1"/>
              </w:rPr>
              <w:t>委托书载明的证券名称、买卖数量、出价方式、价格幅度等，按</w:t>
            </w:r>
            <w:r>
              <w:rPr>
                <w:spacing w:val="3"/>
              </w:rPr>
              <w:t xml:space="preserve"> </w:t>
            </w:r>
            <w:r>
              <w:rPr>
                <w:spacing w:val="-4"/>
              </w:rPr>
              <w:t>照交易规则代理买卖证券， 如实进行交易记录；买卖成交后，应</w:t>
            </w:r>
            <w:r>
              <w:rPr>
                <w:spacing w:val="12"/>
              </w:rPr>
              <w:t xml:space="preserve"> </w:t>
            </w:r>
            <w:r>
              <w:rPr>
                <w:spacing w:val="-4"/>
              </w:rPr>
              <w:t>当按照规定制作买卖成交报告单交付客户。</w:t>
            </w:r>
          </w:p>
          <w:p>
            <w:pPr>
              <w:pStyle w:val="8"/>
              <w:spacing w:before="27" w:line="229" w:lineRule="auto"/>
              <w:ind w:left="13" w:right="61" w:firstLine="509"/>
              <w:jc w:val="both"/>
            </w:pPr>
            <w:r>
              <w:rPr>
                <w:spacing w:val="-1"/>
              </w:rPr>
              <w:t>证券交易中确认交易行为及其交易结果的对账单必</w:t>
            </w:r>
            <w:r>
              <w:rPr>
                <w:spacing w:val="-2"/>
              </w:rPr>
              <w:t>须真实，</w:t>
            </w:r>
            <w:r>
              <w:t xml:space="preserve"> </w:t>
            </w:r>
            <w:r>
              <w:rPr>
                <w:spacing w:val="-2"/>
              </w:rPr>
              <w:t>保证账面证券余额与实际持有的证券相一致。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657" w:type="dxa"/>
            <w:gridSpan w:val="2"/>
            <w:tcBorders>
              <w:top w:val="single" w:color="000000" w:sz="2" w:space="0"/>
              <w:bottom w:val="single" w:color="000000" w:sz="2" w:space="0"/>
              <w:right w:val="single" w:color="000000" w:sz="2" w:space="0"/>
            </w:tcBorders>
            <w:shd w:val="clear" w:color="auto" w:fill="D9D9D9"/>
            <w:vAlign w:val="top"/>
          </w:tcPr>
          <w:p>
            <w:pPr>
              <w:pStyle w:val="8"/>
              <w:spacing w:before="56" w:line="192" w:lineRule="auto"/>
              <w:ind w:left="56"/>
            </w:pPr>
            <w:r>
              <w:rPr>
                <w:spacing w:val="-1"/>
              </w:rPr>
              <w:t>由交易经办人员以外的审核人员逐笔审核，</w:t>
            </w:r>
          </w:p>
        </w:tc>
        <w:tc>
          <w:tcPr>
            <w:tcW w:w="2438" w:type="dxa"/>
            <w:vMerge w:val="restart"/>
            <w:tcBorders>
              <w:top w:val="nil"/>
              <w:left w:val="nil"/>
              <w:bottom w:val="nil"/>
            </w:tcBorders>
            <w:vAlign w:val="top"/>
          </w:tcPr>
          <w:p>
            <w:pPr>
              <w:pStyle w:val="8"/>
              <w:spacing w:before="56" w:line="216" w:lineRule="auto"/>
              <w:jc w:val="right"/>
            </w:pPr>
            <w:r>
              <w:rPr>
                <w:spacing w:val="2"/>
              </w:rPr>
              <w:t>保证账面证券余额与实</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657" w:type="dxa"/>
            <w:gridSpan w:val="2"/>
            <w:tcBorders>
              <w:top w:val="single" w:color="000000" w:sz="2" w:space="0"/>
              <w:right w:val="nil"/>
            </w:tcBorders>
            <w:vAlign w:val="top"/>
          </w:tcPr>
          <w:p>
            <w:pPr>
              <w:pStyle w:val="8"/>
              <w:spacing w:before="55" w:line="210" w:lineRule="auto"/>
              <w:ind w:left="33"/>
            </w:pPr>
            <w:r>
              <w:rPr>
                <w:spacing w:val="-6"/>
              </w:rPr>
              <w:t>际持有的证券相一致。</w:t>
            </w:r>
          </w:p>
        </w:tc>
        <w:tc>
          <w:tcPr>
            <w:tcW w:w="2438" w:type="dxa"/>
            <w:vMerge w:val="continue"/>
            <w:tcBorders>
              <w:top w:val="nil"/>
              <w:left w:val="nil"/>
            </w:tcBorders>
            <w:vAlign w:val="top"/>
          </w:tcPr>
          <w:p>
            <w:pPr>
              <w:rPr>
                <w:rFonts w:ascii="Arial"/>
                <w:sz w:val="21"/>
              </w:rPr>
            </w:pPr>
          </w:p>
        </w:tc>
        <w:tc>
          <w:tcPr>
            <w:tcW w:w="681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1"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88"/>
        <w:gridCol w:w="1634"/>
        <w:gridCol w:w="1225"/>
        <w:gridCol w:w="1602"/>
        <w:gridCol w:w="348"/>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2288" w:type="dxa"/>
            <w:tcBorders>
              <w:bottom w:val="single" w:color="000000" w:sz="2" w:space="0"/>
              <w:right w:val="single" w:color="000000" w:sz="2" w:space="0"/>
            </w:tcBorders>
            <w:vAlign w:val="top"/>
          </w:tcPr>
          <w:p>
            <w:pPr>
              <w:spacing w:before="52" w:line="209" w:lineRule="auto"/>
              <w:ind w:right="19"/>
              <w:jc w:val="right"/>
              <w:rPr>
                <w:rFonts w:ascii="黑体" w:hAnsi="黑体" w:eastAsia="黑体" w:cs="黑体"/>
                <w:sz w:val="24"/>
                <w:szCs w:val="24"/>
              </w:rPr>
            </w:pPr>
            <w:r>
              <w:rPr>
                <w:rFonts w:ascii="黑体" w:hAnsi="黑体" w:eastAsia="黑体" w:cs="黑体"/>
                <w:spacing w:val="9"/>
                <w:sz w:val="24"/>
                <w:szCs w:val="24"/>
              </w:rPr>
              <w:t>第一百四十二条</w:t>
            </w:r>
          </w:p>
        </w:tc>
        <w:tc>
          <w:tcPr>
            <w:tcW w:w="4809" w:type="dxa"/>
            <w:gridSpan w:val="4"/>
            <w:tcBorders>
              <w:left w:val="single" w:color="000000" w:sz="2" w:space="0"/>
              <w:bottom w:val="single" w:color="000000" w:sz="2" w:space="0"/>
            </w:tcBorders>
            <w:shd w:val="clear" w:color="auto" w:fill="D9D9D9"/>
            <w:vAlign w:val="top"/>
          </w:tcPr>
          <w:p>
            <w:pPr>
              <w:pStyle w:val="8"/>
              <w:spacing w:before="53" w:line="208" w:lineRule="auto"/>
              <w:ind w:right="11"/>
              <w:jc w:val="right"/>
            </w:pPr>
            <w:r>
              <w:rPr>
                <w:spacing w:val="11"/>
              </w:rPr>
              <w:t>证券公司为客户买卖证券提供融资融券服</w:t>
            </w:r>
          </w:p>
        </w:tc>
        <w:tc>
          <w:tcPr>
            <w:tcW w:w="6810"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6749" w:type="dxa"/>
            <w:gridSpan w:val="4"/>
            <w:tcBorders>
              <w:top w:val="single" w:color="000000" w:sz="2" w:space="0"/>
              <w:right w:val="single" w:color="000000" w:sz="2" w:space="0"/>
            </w:tcBorders>
            <w:shd w:val="clear" w:color="auto" w:fill="D9D9D9"/>
            <w:vAlign w:val="top"/>
          </w:tcPr>
          <w:p>
            <w:pPr>
              <w:pStyle w:val="8"/>
              <w:spacing w:before="46" w:line="205" w:lineRule="auto"/>
              <w:ind w:left="27"/>
            </w:pPr>
            <w:r>
              <w:rPr>
                <w:spacing w:val="-2"/>
              </w:rPr>
              <w:t>务，应当按照国务院的规定并经国务院证券监督管</w:t>
            </w:r>
            <w:r>
              <w:rPr>
                <w:spacing w:val="-3"/>
              </w:rPr>
              <w:t>理机构批准。</w:t>
            </w:r>
          </w:p>
        </w:tc>
        <w:tc>
          <w:tcPr>
            <w:tcW w:w="348" w:type="dxa"/>
            <w:tcBorders>
              <w:top w:val="single" w:color="000000" w:sz="2" w:space="0"/>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7097" w:type="dxa"/>
            <w:gridSpan w:val="5"/>
            <w:vAlign w:val="top"/>
          </w:tcPr>
          <w:p>
            <w:pPr>
              <w:pStyle w:val="8"/>
              <w:spacing w:before="44" w:line="233" w:lineRule="auto"/>
              <w:ind w:left="12" w:firstLine="500"/>
              <w:jc w:val="both"/>
            </w:pPr>
            <w:r>
              <w:rPr>
                <w:rFonts w:ascii="黑体" w:hAnsi="黑体" w:eastAsia="黑体" w:cs="黑体"/>
                <w:spacing w:val="-1"/>
              </w:rPr>
              <w:t xml:space="preserve">第一百四十三条  </w:t>
            </w:r>
            <w:r>
              <w:rPr>
                <w:spacing w:val="-1"/>
              </w:rPr>
              <w:t>证券公司办理经纪业务， 不得接</w:t>
            </w:r>
            <w:r>
              <w:rPr>
                <w:spacing w:val="-2"/>
              </w:rPr>
              <w:t>受客户的全</w:t>
            </w:r>
            <w:r>
              <w:t xml:space="preserve"> </w:t>
            </w:r>
            <w:r>
              <w:rPr>
                <w:spacing w:val="4"/>
              </w:rPr>
              <w:t>权委托而决定证券买卖、选择证券种类、决定买</w:t>
            </w:r>
            <w:r>
              <w:rPr>
                <w:spacing w:val="3"/>
              </w:rPr>
              <w:t>卖数量或者买卖价</w:t>
            </w:r>
            <w:r>
              <w:t xml:space="preserve"> </w:t>
            </w:r>
            <w:r>
              <w:rPr>
                <w:spacing w:val="-15"/>
              </w:rPr>
              <w:t>格。</w:t>
            </w:r>
          </w:p>
        </w:tc>
        <w:tc>
          <w:tcPr>
            <w:tcW w:w="6810" w:type="dxa"/>
            <w:vAlign w:val="top"/>
          </w:tcPr>
          <w:p>
            <w:pPr>
              <w:pStyle w:val="8"/>
              <w:spacing w:before="44" w:line="233" w:lineRule="auto"/>
              <w:ind w:left="13" w:right="4" w:firstLine="500"/>
              <w:jc w:val="both"/>
            </w:pPr>
            <w:r>
              <w:rPr>
                <w:rFonts w:ascii="黑体" w:hAnsi="黑体" w:eastAsia="黑体" w:cs="黑体"/>
                <w:spacing w:val="1"/>
              </w:rPr>
              <w:t xml:space="preserve">第一百三十四条  </w:t>
            </w:r>
            <w:r>
              <w:rPr>
                <w:spacing w:val="1"/>
              </w:rPr>
              <w:t>证券公司办理经纪业务，不得接受客户的</w:t>
            </w:r>
            <w:r>
              <w:rPr>
                <w:spacing w:val="8"/>
              </w:rPr>
              <w:t xml:space="preserve"> </w:t>
            </w:r>
            <w:r>
              <w:rPr>
                <w:spacing w:val="2"/>
              </w:rPr>
              <w:t>全权委托而决定证券买卖、选择证券种类、决定买卖数</w:t>
            </w:r>
            <w:r>
              <w:rPr>
                <w:spacing w:val="1"/>
              </w:rPr>
              <w:t>量或者买</w:t>
            </w:r>
            <w:r>
              <w:t xml:space="preserve"> </w:t>
            </w:r>
            <w:r>
              <w:rPr>
                <w:spacing w:val="-11"/>
              </w:rPr>
              <w:t>卖价格。</w:t>
            </w:r>
          </w:p>
          <w:p>
            <w:pPr>
              <w:spacing w:before="26" w:line="221" w:lineRule="auto"/>
              <w:ind w:left="33" w:right="7" w:firstLine="479"/>
              <w:jc w:val="both"/>
              <w:rPr>
                <w:rFonts w:ascii="黑体" w:hAnsi="黑体" w:eastAsia="黑体" w:cs="黑体"/>
                <w:sz w:val="24"/>
                <w:szCs w:val="24"/>
              </w:rPr>
            </w:pPr>
            <w:r>
              <w:rPr>
                <w:rFonts w:ascii="黑体" w:hAnsi="黑体" w:eastAsia="黑体" w:cs="黑体"/>
                <w:spacing w:val="1"/>
                <w:sz w:val="24"/>
                <w:szCs w:val="24"/>
              </w:rPr>
              <w:t>证券公司不得允许他人以证券公司的名义直接参与证券的集</w:t>
            </w:r>
            <w:r>
              <w:rPr>
                <w:rFonts w:ascii="黑体" w:hAnsi="黑体" w:eastAsia="黑体" w:cs="黑体"/>
                <w:spacing w:val="7"/>
                <w:sz w:val="24"/>
                <w:szCs w:val="24"/>
              </w:rPr>
              <w:t xml:space="preserve"> </w:t>
            </w:r>
            <w:r>
              <w:rPr>
                <w:rFonts w:ascii="黑体" w:hAnsi="黑体" w:eastAsia="黑体" w:cs="黑体"/>
                <w:spacing w:val="-12"/>
                <w:sz w:val="24"/>
                <w:szCs w:val="24"/>
              </w:rPr>
              <w:t>中交易。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3922" w:type="dxa"/>
            <w:gridSpan w:val="2"/>
            <w:tcBorders>
              <w:bottom w:val="nil"/>
              <w:right w:val="single" w:color="000000" w:sz="2" w:space="0"/>
            </w:tcBorders>
            <w:vAlign w:val="top"/>
          </w:tcPr>
          <w:p>
            <w:pPr>
              <w:pStyle w:val="8"/>
              <w:spacing w:before="55" w:line="197" w:lineRule="auto"/>
              <w:ind w:right="12"/>
              <w:jc w:val="right"/>
            </w:pPr>
            <w:r>
              <w:rPr>
                <w:rFonts w:ascii="黑体" w:hAnsi="黑体" w:eastAsia="黑体" w:cs="黑体"/>
                <w:spacing w:val="1"/>
              </w:rPr>
              <w:t xml:space="preserve">第一百四十四条  </w:t>
            </w:r>
            <w:r>
              <w:rPr>
                <w:spacing w:val="1"/>
              </w:rPr>
              <w:t>证券公司不得</w:t>
            </w:r>
          </w:p>
        </w:tc>
        <w:tc>
          <w:tcPr>
            <w:tcW w:w="1225" w:type="dxa"/>
            <w:tcBorders>
              <w:left w:val="single" w:color="000000" w:sz="2" w:space="0"/>
              <w:bottom w:val="single" w:color="000000" w:sz="2" w:space="0"/>
              <w:right w:val="single" w:color="000000" w:sz="2" w:space="0"/>
            </w:tcBorders>
            <w:shd w:val="clear" w:color="auto" w:fill="D9D9D9"/>
            <w:vAlign w:val="top"/>
          </w:tcPr>
          <w:p>
            <w:pPr>
              <w:pStyle w:val="8"/>
              <w:spacing w:before="57" w:line="196" w:lineRule="auto"/>
              <w:ind w:left="40"/>
            </w:pPr>
            <w:r>
              <w:drawing>
                <wp:anchor distT="0" distB="0" distL="0" distR="0" simplePos="0" relativeHeight="251714560" behindDoc="0" locked="0" layoutInCell="1" allowOverlap="1">
                  <wp:simplePos x="0" y="0"/>
                  <wp:positionH relativeFrom="rightMargin">
                    <wp:posOffset>-775970</wp:posOffset>
                  </wp:positionH>
                  <wp:positionV relativeFrom="topMargin">
                    <wp:posOffset>5715</wp:posOffset>
                  </wp:positionV>
                  <wp:extent cx="772795" cy="6350"/>
                  <wp:effectExtent l="0" t="0" r="0" b="0"/>
                  <wp:wrapNone/>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113"/>
                          <a:stretch>
                            <a:fillRect/>
                          </a:stretch>
                        </pic:blipFill>
                        <pic:spPr>
                          <a:xfrm>
                            <a:off x="0" y="0"/>
                            <a:ext cx="772667" cy="6350"/>
                          </a:xfrm>
                          <a:prstGeom prst="rect">
                            <a:avLst/>
                          </a:prstGeom>
                        </pic:spPr>
                      </pic:pic>
                    </a:graphicData>
                  </a:graphic>
                </wp:anchor>
              </w:drawing>
            </w:r>
            <w:r>
              <w:rPr>
                <w:spacing w:val="-7"/>
              </w:rPr>
              <w:t>以任何方式</w:t>
            </w:r>
          </w:p>
        </w:tc>
        <w:tc>
          <w:tcPr>
            <w:tcW w:w="1950" w:type="dxa"/>
            <w:gridSpan w:val="2"/>
            <w:vMerge w:val="restart"/>
            <w:tcBorders>
              <w:left w:val="single" w:color="000000" w:sz="2" w:space="0"/>
              <w:bottom w:val="nil"/>
            </w:tcBorders>
            <w:vAlign w:val="top"/>
          </w:tcPr>
          <w:p>
            <w:pPr>
              <w:pStyle w:val="8"/>
              <w:spacing w:before="57" w:line="216" w:lineRule="auto"/>
              <w:ind w:right="1"/>
              <w:jc w:val="right"/>
            </w:pPr>
            <w:r>
              <w:t>对客户证券买卖的</w:t>
            </w:r>
          </w:p>
        </w:tc>
        <w:tc>
          <w:tcPr>
            <w:tcW w:w="6810" w:type="dxa"/>
            <w:vMerge w:val="restart"/>
            <w:tcBorders>
              <w:bottom w:val="nil"/>
            </w:tcBorders>
            <w:vAlign w:val="top"/>
          </w:tcPr>
          <w:p>
            <w:pPr>
              <w:pStyle w:val="8"/>
              <w:spacing w:before="41" w:line="229" w:lineRule="auto"/>
              <w:ind w:left="13" w:right="4" w:firstLine="500"/>
            </w:pPr>
            <w:r>
              <w:rPr>
                <w:rFonts w:ascii="黑体" w:hAnsi="黑体" w:eastAsia="黑体" w:cs="黑体"/>
                <w:spacing w:val="1"/>
              </w:rPr>
              <w:t xml:space="preserve">第一百三十五条  </w:t>
            </w:r>
            <w:r>
              <w:rPr>
                <w:spacing w:val="1"/>
              </w:rPr>
              <w:t>证券公司不得对客户证券买卖的收益或者</w:t>
            </w:r>
            <w:r>
              <w:rPr>
                <w:spacing w:val="8"/>
              </w:rPr>
              <w:t xml:space="preserve"> </w:t>
            </w:r>
            <w:r>
              <w:rPr>
                <w:spacing w:val="-4"/>
              </w:rPr>
              <w:t>赔偿证券买卖的损失作出承诺。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5147" w:type="dxa"/>
            <w:gridSpan w:val="3"/>
            <w:tcBorders>
              <w:top w:val="nil"/>
              <w:right w:val="nil"/>
            </w:tcBorders>
            <w:vAlign w:val="top"/>
          </w:tcPr>
          <w:p>
            <w:pPr>
              <w:pStyle w:val="8"/>
              <w:spacing w:before="49" w:line="202" w:lineRule="auto"/>
              <w:ind w:left="31"/>
            </w:pPr>
            <w:r>
              <w:rPr>
                <w:spacing w:val="-2"/>
              </w:rPr>
              <w:t>收益或者赔偿证券买卖的损失作出承诺。</w:t>
            </w:r>
          </w:p>
        </w:tc>
        <w:tc>
          <w:tcPr>
            <w:tcW w:w="1950" w:type="dxa"/>
            <w:gridSpan w:val="2"/>
            <w:vMerge w:val="continue"/>
            <w:tcBorders>
              <w:top w:val="nil"/>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7097" w:type="dxa"/>
            <w:gridSpan w:val="5"/>
            <w:vAlign w:val="top"/>
          </w:tcPr>
          <w:p>
            <w:pPr>
              <w:pStyle w:val="8"/>
              <w:spacing w:before="42" w:line="232" w:lineRule="auto"/>
              <w:ind w:left="13" w:firstLine="499"/>
              <w:jc w:val="both"/>
            </w:pPr>
            <w:r>
              <w:pict>
                <v:shape id="_x0000_s1080" o:spid="_x0000_s1080" style="position:absolute;left:0pt;margin-left:269.25pt;margin-top:47.85pt;height:0.5pt;width:84.9pt;mso-position-horizontal-relative:page;mso-position-vertical-relative:page;z-index:251711488;mso-width-relative:page;mso-height-relative:page;" fillcolor="#000000" filled="t" stroked="f" coordsize="1698,10" path="m0,0l1697,0,1697,9,0,9,0,0xe">
                  <v:path/>
                  <v:fill on="t" focussize="0,0"/>
                  <v:stroke on="f"/>
                  <v:imagedata o:title=""/>
                  <o:lock v:ext="edit"/>
                </v:shape>
              </w:pict>
            </w:r>
            <w:r>
              <w:pict>
                <v:group id="_x0000_s1081" o:spid="_x0000_s1081" o:spt="203" style="position:absolute;left:0pt;margin-left:1.1pt;margin-top:64.4pt;height:16.1pt;width:72.5pt;mso-position-horizontal-relative:page;mso-position-vertical-relative:page;z-index:251712512;mso-width-relative:page;mso-height-relative:page;" coordsize="1450,322">
                  <o:lock v:ext="edit"/>
                  <v:rect id="_x0000_s1082" o:spid="_x0000_s1082" o:spt="1" style="position:absolute;left:0;top:9;height:312;width:1441;" fillcolor="#D9D9D9" filled="t" stroked="f" coordsize="21600,21600">
                    <v:path/>
                    <v:fill on="t" focussize="0,0"/>
                    <v:stroke on="f"/>
                    <v:imagedata o:title=""/>
                    <o:lock v:ext="edit"/>
                  </v:rect>
                  <v:shape id="_x0000_s1083" o:spid="_x0000_s1083" o:spt="202" type="#_x0000_t202" style="position:absolute;left:0;top:-10;height:362;width:1471;" filled="f" stroked="f" coordsize="21600,21600">
                    <v:path/>
                    <v:fill on="f" focussize="0,0"/>
                    <v:stroke on="f"/>
                    <v:imagedata o:title=""/>
                    <o:lock v:ext="edit" aspectratio="f"/>
                    <v:textbox inset="0mm,0mm,0mm,0mm">
                      <w:txbxContent>
                        <w:p>
                          <w:pPr>
                            <w:pStyle w:val="8"/>
                            <w:spacing w:before="20"/>
                            <w:ind w:left="20"/>
                          </w:pPr>
                          <w:r>
                            <w:rPr>
                              <w:spacing w:val="-4"/>
                            </w:rPr>
                            <w:t>立的营业场所</w:t>
                          </w:r>
                          <w:r>
                            <w:rPr>
                              <w:position w:val="-6"/>
                            </w:rPr>
                            <w:drawing>
                              <wp:inline distT="0" distB="0" distL="0" distR="0">
                                <wp:extent cx="5715" cy="1981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88"/>
                                        <a:stretch>
                                          <a:fillRect/>
                                        </a:stretch>
                                      </pic:blipFill>
                                      <pic:spPr>
                                        <a:xfrm>
                                          <a:off x="0" y="0"/>
                                          <a:ext cx="6349" cy="198120"/>
                                        </a:xfrm>
                                        <a:prstGeom prst="rect">
                                          <a:avLst/>
                                        </a:prstGeom>
                                      </pic:spPr>
                                    </pic:pic>
                                  </a:graphicData>
                                </a:graphic>
                              </wp:inline>
                            </w:drawing>
                          </w:r>
                        </w:p>
                      </w:txbxContent>
                    </v:textbox>
                  </v:shape>
                  <v:shape id="_x0000_s1084" o:spid="_x0000_s1084" style="position:absolute;left:0;top:0;height:10;width:1450;" fillcolor="#000000" filled="t" stroked="f" coordsize="1450,10" path="m0,0l1440,0,1440,9,0,9,0,0xem1440,0l1449,0,1449,9,1440,9,1440,0xem1440,0l1449,0,1449,9,1440,9,1440,0xe">
                    <v:path/>
                    <v:fill on="t" focussize="0,0"/>
                    <v:stroke on="f"/>
                    <v:imagedata o:title=""/>
                    <o:lock v:ext="edit"/>
                  </v:shape>
                </v:group>
              </w:pict>
            </w:r>
            <w:r>
              <w:rPr>
                <w:rFonts w:ascii="黑体" w:hAnsi="黑体" w:eastAsia="黑体" w:cs="黑体"/>
                <w:spacing w:val="-1"/>
              </w:rPr>
              <w:t xml:space="preserve">第一百四十六条  </w:t>
            </w:r>
            <w:r>
              <w:rPr>
                <w:spacing w:val="-1"/>
              </w:rPr>
              <w:t>证券公司的从业人员在证券交易活</w:t>
            </w:r>
            <w:r>
              <w:rPr>
                <w:spacing w:val="-2"/>
              </w:rPr>
              <w:t>动中， 执</w:t>
            </w:r>
            <w:r>
              <w:t xml:space="preserve"> </w:t>
            </w:r>
            <w:r>
              <w:rPr>
                <w:spacing w:val="2"/>
              </w:rPr>
              <w:t>行所属的证券公司的指令或者利用职务违反交易规则的，</w:t>
            </w:r>
            <w:r>
              <w:rPr>
                <w:spacing w:val="-68"/>
              </w:rPr>
              <w:t xml:space="preserve"> </w:t>
            </w:r>
            <w:r>
              <w:rPr>
                <w:spacing w:val="2"/>
              </w:rPr>
              <w:t>由</w:t>
            </w:r>
            <w:r>
              <w:rPr>
                <w:spacing w:val="1"/>
              </w:rPr>
              <w:t>所属的</w:t>
            </w:r>
            <w:r>
              <w:t xml:space="preserve"> </w:t>
            </w:r>
            <w:r>
              <w:rPr>
                <w:spacing w:val="-5"/>
              </w:rPr>
              <w:t>证券公司承担全部责任。</w:t>
            </w:r>
          </w:p>
          <w:p>
            <w:pPr>
              <w:pStyle w:val="8"/>
              <w:spacing w:before="40" w:line="221" w:lineRule="auto"/>
              <w:ind w:left="513"/>
            </w:pPr>
            <w:r>
              <w:pict>
                <v:shape id="_x0000_s1085" o:spid="_x0000_s1085" o:spt="202" type="#_x0000_t202" style="position:absolute;left:0pt;margin-left:169.5pt;margin-top:-1.25pt;height:18.6pt;width:27.25pt;z-index:2517155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9" w:type="dxa"/>
                              <w:vAlign w:val="top"/>
                            </w:tcPr>
                            <w:p>
                              <w:pPr>
                                <w:pStyle w:val="8"/>
                                <w:spacing w:before="41" w:line="207" w:lineRule="auto"/>
                                <w:ind w:left="11"/>
                              </w:pPr>
                              <w:r>
                                <w:rPr>
                                  <w:spacing w:val="-2"/>
                                  <w:shd w:val="clear" w:fill="D9D9D9"/>
                                </w:rPr>
                                <w:t>及其</w:t>
                              </w:r>
                            </w:p>
                          </w:tc>
                        </w:tr>
                      </w:tbl>
                      <w:p>
                        <w:pPr>
                          <w:rPr>
                            <w:rFonts w:ascii="Arial"/>
                            <w:sz w:val="21"/>
                          </w:rPr>
                        </w:pPr>
                      </w:p>
                    </w:txbxContent>
                  </v:textbox>
                </v:shape>
              </w:pict>
            </w:r>
            <w:r>
              <w:pict>
                <v:shape id="_x0000_s1086" o:spid="_x0000_s1086" o:spt="202" type="#_x0000_t202" style="position:absolute;left:0pt;margin-left:267.3pt;margin-top:-1.25pt;height:19.6pt;width:87.2pt;z-index:251713536;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shd w:val="clear" w:fill="D9D9D9"/>
                          </w:rPr>
                          <w:drawing>
                            <wp:inline distT="0" distB="0" distL="0" distR="0">
                              <wp:extent cx="5715" cy="210185"/>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114"/>
                                      <a:stretch>
                                        <a:fillRect/>
                                      </a:stretch>
                                    </pic:blipFill>
                                    <pic:spPr>
                                      <a:xfrm>
                                        <a:off x="0" y="0"/>
                                        <a:ext cx="6096" cy="210312"/>
                                      </a:xfrm>
                                      <a:prstGeom prst="rect">
                                        <a:avLst/>
                                      </a:prstGeom>
                                    </pic:spPr>
                                  </pic:pic>
                                </a:graphicData>
                              </a:graphic>
                            </wp:inline>
                          </w:drawing>
                        </w:r>
                        <w:r>
                          <w:rPr>
                            <w:spacing w:val="2"/>
                            <w:u w:val="single" w:color="auto"/>
                            <w:shd w:val="clear" w:fill="D9D9D9"/>
                          </w:rPr>
                          <w:t>未经过其依法设</w:t>
                        </w:r>
                      </w:p>
                    </w:txbxContent>
                  </v:textbox>
                </v:shape>
              </w:pict>
            </w:r>
            <w:r>
              <w:rPr>
                <w:rFonts w:ascii="黑体" w:hAnsi="黑体" w:eastAsia="黑体" w:cs="黑体"/>
              </w:rPr>
              <w:t xml:space="preserve">第一百四十五条  </w:t>
            </w:r>
            <w:r>
              <w:t>证券公司</w:t>
            </w:r>
            <w:r>
              <w:rPr>
                <w:spacing w:val="12"/>
              </w:rPr>
              <w:t xml:space="preserve">    </w:t>
            </w:r>
            <w:r>
              <w:t>从业人员不得</w:t>
            </w:r>
          </w:p>
          <w:p>
            <w:pPr>
              <w:pStyle w:val="8"/>
              <w:spacing w:before="44" w:line="201" w:lineRule="auto"/>
              <w:ind w:left="1470"/>
            </w:pPr>
            <w:r>
              <w:rPr>
                <w:spacing w:val="-4"/>
              </w:rPr>
              <w:t>私下接受客户委托买卖证券。</w:t>
            </w:r>
          </w:p>
        </w:tc>
        <w:tc>
          <w:tcPr>
            <w:tcW w:w="6810" w:type="dxa"/>
            <w:vAlign w:val="top"/>
          </w:tcPr>
          <w:p>
            <w:pPr>
              <w:pStyle w:val="8"/>
              <w:spacing w:before="42" w:line="232" w:lineRule="auto"/>
              <w:ind w:left="12" w:right="7" w:firstLine="501"/>
            </w:pPr>
            <w:r>
              <w:rPr>
                <w:rFonts w:ascii="黑体" w:hAnsi="黑体" w:eastAsia="黑体" w:cs="黑体"/>
                <w:spacing w:val="1"/>
              </w:rPr>
              <w:t xml:space="preserve">第一百三十六条  </w:t>
            </w:r>
            <w:r>
              <w:rPr>
                <w:spacing w:val="1"/>
              </w:rPr>
              <w:t>证券公司的从业人员在证券交易活动中，</w:t>
            </w:r>
            <w:r>
              <w:rPr>
                <w:spacing w:val="3"/>
              </w:rPr>
              <w:t xml:space="preserve"> </w:t>
            </w:r>
            <w:r>
              <w:rPr>
                <w:spacing w:val="-2"/>
              </w:rPr>
              <w:t>执行所属的证券公司的指令或者利用职务违反</w:t>
            </w:r>
            <w:r>
              <w:rPr>
                <w:spacing w:val="-3"/>
              </w:rPr>
              <w:t>交易规则的， 由所</w:t>
            </w:r>
            <w:r>
              <w:t xml:space="preserve"> </w:t>
            </w:r>
            <w:r>
              <w:rPr>
                <w:spacing w:val="-4"/>
              </w:rPr>
              <w:t>属的证券公司承担全部责任。</w:t>
            </w:r>
          </w:p>
          <w:p>
            <w:pPr>
              <w:pStyle w:val="8"/>
              <w:spacing w:before="29" w:line="217" w:lineRule="auto"/>
              <w:ind w:left="521"/>
            </w:pPr>
            <w:r>
              <w:rPr>
                <w:spacing w:val="-3"/>
              </w:rPr>
              <w:t>证券公司的从业人员不得私下接受客户委托买卖证券。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7" w:hRule="atLeast"/>
        </w:trPr>
        <w:tc>
          <w:tcPr>
            <w:tcW w:w="7097" w:type="dxa"/>
            <w:gridSpan w:val="5"/>
            <w:vAlign w:val="top"/>
          </w:tcPr>
          <w:p>
            <w:pPr>
              <w:pStyle w:val="8"/>
              <w:spacing w:before="53" w:line="236" w:lineRule="auto"/>
              <w:ind w:left="18" w:firstLine="494"/>
              <w:jc w:val="both"/>
            </w:pPr>
            <w:r>
              <w:rPr>
                <w:rFonts w:ascii="黑体" w:hAnsi="黑体" w:eastAsia="黑体" w:cs="黑体"/>
                <w:spacing w:val="3"/>
              </w:rPr>
              <w:t xml:space="preserve">第一百四十七条  </w:t>
            </w:r>
            <w:r>
              <w:rPr>
                <w:spacing w:val="3"/>
              </w:rPr>
              <w:t>证券公司应当妥善保存客户开</w:t>
            </w:r>
            <w:r>
              <w:rPr>
                <w:spacing w:val="3"/>
                <w:u w:val="single" w:color="auto"/>
              </w:rPr>
              <w:t>户资</w:t>
            </w:r>
            <w:r>
              <w:rPr>
                <w:spacing w:val="3"/>
              </w:rPr>
              <w:t>料、委托</w:t>
            </w:r>
            <w:r>
              <w:rPr>
                <w:spacing w:val="2"/>
              </w:rPr>
              <w:t xml:space="preserve"> </w:t>
            </w:r>
            <w:r>
              <w:t>记录、交易记录和与内部管理、业务经营有关的各项</w:t>
            </w:r>
            <w:r>
              <w:rPr>
                <w:position w:val="-7"/>
              </w:rPr>
              <w:drawing>
                <wp:inline distT="0" distB="0" distL="0" distR="0">
                  <wp:extent cx="5080" cy="203835"/>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76"/>
                          <a:stretch>
                            <a:fillRect/>
                          </a:stretch>
                        </pic:blipFill>
                        <pic:spPr>
                          <a:xfrm>
                            <a:off x="0" y="0"/>
                            <a:ext cx="5146" cy="204469"/>
                          </a:xfrm>
                          <a:prstGeom prst="rect">
                            <a:avLst/>
                          </a:prstGeom>
                        </pic:spPr>
                      </pic:pic>
                    </a:graphicData>
                  </a:graphic>
                </wp:inline>
              </w:drawing>
            </w:r>
            <w:r>
              <w:rPr>
                <w:position w:val="-7"/>
              </w:rPr>
              <w:drawing>
                <wp:inline distT="0" distB="0" distL="0" distR="0">
                  <wp:extent cx="5080" cy="5715"/>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95"/>
                          <a:stretch>
                            <a:fillRect/>
                          </a:stretch>
                        </pic:blipFill>
                        <pic:spPr>
                          <a:xfrm>
                            <a:off x="0" y="0"/>
                            <a:ext cx="5146" cy="6096"/>
                          </a:xfrm>
                          <a:prstGeom prst="rect">
                            <a:avLst/>
                          </a:prstGeom>
                        </pic:spPr>
                      </pic:pic>
                    </a:graphicData>
                  </a:graphic>
                </wp:inline>
              </w:drawing>
            </w:r>
            <w:r>
              <w:rPr>
                <w:spacing w:val="-89"/>
                <w:u w:val="single" w:color="auto"/>
                <w:shd w:val="clear" w:fill="D9D9D9"/>
              </w:rPr>
              <w:t xml:space="preserve"> </w:t>
            </w:r>
            <w:r>
              <w:rPr>
                <w:u w:val="single" w:color="auto"/>
                <w:shd w:val="clear" w:fill="D9D9D9"/>
              </w:rPr>
              <w:t>资料</w:t>
            </w:r>
            <w:r>
              <w:rPr>
                <w:position w:val="-7"/>
              </w:rPr>
              <w:drawing>
                <wp:inline distT="0" distB="0" distL="0" distR="0">
                  <wp:extent cx="5080" cy="203835"/>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76"/>
                          <a:stretch>
                            <a:fillRect/>
                          </a:stretch>
                        </pic:blipFill>
                        <pic:spPr>
                          <a:xfrm>
                            <a:off x="0" y="0"/>
                            <a:ext cx="5146" cy="204469"/>
                          </a:xfrm>
                          <a:prstGeom prst="rect">
                            <a:avLst/>
                          </a:prstGeom>
                        </pic:spPr>
                      </pic:pic>
                    </a:graphicData>
                  </a:graphic>
                </wp:inline>
              </w:drawing>
            </w:r>
            <w:r>
              <w:rPr>
                <w:position w:val="-7"/>
              </w:rPr>
              <w:drawing>
                <wp:inline distT="0" distB="0" distL="0" distR="0">
                  <wp:extent cx="5080" cy="5715"/>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95"/>
                          <a:stretch>
                            <a:fillRect/>
                          </a:stretch>
                        </pic:blipFill>
                        <pic:spPr>
                          <a:xfrm>
                            <a:off x="0" y="0"/>
                            <a:ext cx="5146" cy="6096"/>
                          </a:xfrm>
                          <a:prstGeom prst="rect">
                            <a:avLst/>
                          </a:prstGeom>
                        </pic:spPr>
                      </pic:pic>
                    </a:graphicData>
                  </a:graphic>
                </wp:inline>
              </w:drawing>
            </w:r>
            <w:r>
              <w:rPr>
                <w:spacing w:val="-87"/>
              </w:rPr>
              <w:t xml:space="preserve"> </w:t>
            </w:r>
            <w:r>
              <w:t xml:space="preserve">，任何人 </w:t>
            </w:r>
            <w:r>
              <w:rPr>
                <w:spacing w:val="3"/>
              </w:rPr>
              <w:t>不得隐匿、伪造、篡改或者毁损。上述资料的保存期限不得少于二</w:t>
            </w:r>
            <w:r>
              <w:rPr>
                <w:spacing w:val="15"/>
              </w:rPr>
              <w:t xml:space="preserve"> </w:t>
            </w:r>
            <w:r>
              <w:rPr>
                <w:spacing w:val="-15"/>
              </w:rPr>
              <w:t>十年。</w:t>
            </w:r>
          </w:p>
        </w:tc>
        <w:tc>
          <w:tcPr>
            <w:tcW w:w="6810" w:type="dxa"/>
            <w:vAlign w:val="top"/>
          </w:tcPr>
          <w:p>
            <w:pPr>
              <w:spacing w:before="50" w:line="234" w:lineRule="auto"/>
              <w:ind w:left="12" w:right="4" w:firstLine="501"/>
              <w:jc w:val="both"/>
              <w:rPr>
                <w:rFonts w:ascii="黑体" w:hAnsi="黑体" w:eastAsia="黑体" w:cs="黑体"/>
                <w:sz w:val="24"/>
                <w:szCs w:val="24"/>
              </w:rPr>
            </w:pPr>
            <w:r>
              <w:rPr>
                <w:rFonts w:ascii="黑体" w:hAnsi="黑体" w:eastAsia="黑体" w:cs="黑体"/>
                <w:spacing w:val="-3"/>
                <w:sz w:val="24"/>
                <w:szCs w:val="24"/>
              </w:rPr>
              <w:t>第一百三十七条  证券公司应当建立客户信息查询制度， 确</w:t>
            </w:r>
            <w:r>
              <w:rPr>
                <w:rFonts w:ascii="黑体" w:hAnsi="黑体" w:eastAsia="黑体" w:cs="黑体"/>
                <w:sz w:val="24"/>
                <w:szCs w:val="24"/>
              </w:rPr>
              <w:t xml:space="preserve"> </w:t>
            </w:r>
            <w:r>
              <w:rPr>
                <w:rFonts w:ascii="黑体" w:hAnsi="黑体" w:eastAsia="黑体" w:cs="黑体"/>
                <w:spacing w:val="2"/>
                <w:sz w:val="24"/>
                <w:szCs w:val="24"/>
              </w:rPr>
              <w:t>保客户能够查询其账户信息、委托记录、交易记录以及其</w:t>
            </w:r>
            <w:r>
              <w:rPr>
                <w:rFonts w:ascii="黑体" w:hAnsi="黑体" w:eastAsia="黑体" w:cs="黑体"/>
                <w:spacing w:val="1"/>
                <w:sz w:val="24"/>
                <w:szCs w:val="24"/>
              </w:rPr>
              <w:t>他与接</w:t>
            </w:r>
            <w:r>
              <w:rPr>
                <w:rFonts w:ascii="黑体" w:hAnsi="黑体" w:eastAsia="黑体" w:cs="黑体"/>
                <w:sz w:val="24"/>
                <w:szCs w:val="24"/>
              </w:rPr>
              <w:t xml:space="preserve"> </w:t>
            </w:r>
            <w:r>
              <w:rPr>
                <w:rFonts w:ascii="黑体" w:hAnsi="黑体" w:eastAsia="黑体" w:cs="黑体"/>
                <w:spacing w:val="-3"/>
                <w:sz w:val="24"/>
                <w:szCs w:val="24"/>
              </w:rPr>
              <w:t>受服务或者购买产品有关的重要信息。</w:t>
            </w:r>
          </w:p>
          <w:p>
            <w:pPr>
              <w:pStyle w:val="8"/>
              <w:spacing w:before="26" w:line="225" w:lineRule="auto"/>
              <w:ind w:left="17" w:right="7" w:firstLine="503"/>
              <w:jc w:val="both"/>
            </w:pPr>
            <w:r>
              <w:rPr>
                <w:spacing w:val="1"/>
              </w:rPr>
              <w:t>证券公司应当妥善保存客户开户资料、委托记录、交易记录</w:t>
            </w:r>
            <w:r>
              <w:t xml:space="preserve"> </w:t>
            </w:r>
            <w:r>
              <w:rPr>
                <w:spacing w:val="1"/>
              </w:rPr>
              <w:t>和与内部管理、业务经营有关的各项</w:t>
            </w:r>
            <w:r>
              <w:rPr>
                <w:rFonts w:ascii="黑体" w:hAnsi="黑体" w:eastAsia="黑体" w:cs="黑体"/>
                <w:spacing w:val="1"/>
              </w:rPr>
              <w:t>信息</w:t>
            </w:r>
            <w:r>
              <w:rPr>
                <w:spacing w:val="1"/>
              </w:rPr>
              <w:t>，任</w:t>
            </w:r>
            <w:r>
              <w:t xml:space="preserve">何人不得隐匿、伪 </w:t>
            </w:r>
            <w:r>
              <w:rPr>
                <w:spacing w:val="-2"/>
              </w:rPr>
              <w:t>造、篡改或者毁损。上述</w:t>
            </w:r>
            <w:r>
              <w:rPr>
                <w:rFonts w:ascii="黑体" w:hAnsi="黑体" w:eastAsia="黑体" w:cs="黑体"/>
                <w:spacing w:val="-2"/>
              </w:rPr>
              <w:t>信息</w:t>
            </w:r>
            <w:r>
              <w:rPr>
                <w:spacing w:val="-2"/>
              </w:rPr>
              <w:t>的保存期限不得</w:t>
            </w:r>
            <w:r>
              <w:rPr>
                <w:spacing w:val="-3"/>
              </w:rPr>
              <w:t>少于二十年。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atLeast"/>
        </w:trPr>
        <w:tc>
          <w:tcPr>
            <w:tcW w:w="7097" w:type="dxa"/>
            <w:gridSpan w:val="5"/>
            <w:vAlign w:val="top"/>
          </w:tcPr>
          <w:p>
            <w:pPr>
              <w:pStyle w:val="8"/>
              <w:spacing w:before="46" w:line="234" w:lineRule="auto"/>
              <w:ind w:left="8" w:firstLine="503"/>
              <w:jc w:val="both"/>
            </w:pPr>
            <w:r>
              <w:rPr>
                <w:rFonts w:ascii="黑体" w:hAnsi="黑体" w:eastAsia="黑体" w:cs="黑体"/>
                <w:spacing w:val="3"/>
              </w:rPr>
              <w:t xml:space="preserve">第一百四十八条  </w:t>
            </w:r>
            <w:r>
              <w:rPr>
                <w:spacing w:val="3"/>
              </w:rPr>
              <w:t>证券公司应当按照规定向国务院证券监督管</w:t>
            </w:r>
            <w:r>
              <w:rPr>
                <w:spacing w:val="2"/>
              </w:rPr>
              <w:t xml:space="preserve"> </w:t>
            </w:r>
            <w:r>
              <w:rPr>
                <w:spacing w:val="4"/>
              </w:rPr>
              <w:t>理机构报送业务、财务等经营管理信息和资料。国务院证</w:t>
            </w:r>
            <w:r>
              <w:rPr>
                <w:spacing w:val="3"/>
              </w:rPr>
              <w:t>券监督管</w:t>
            </w:r>
            <w:r>
              <w:t xml:space="preserve"> </w:t>
            </w:r>
            <w:r>
              <w:rPr>
                <w:spacing w:val="4"/>
              </w:rPr>
              <w:t>理机构有权要求证券公司及其股东、实际控制人在指定的</w:t>
            </w:r>
            <w:r>
              <w:rPr>
                <w:spacing w:val="3"/>
              </w:rPr>
              <w:t>期限内提</w:t>
            </w:r>
            <w:r>
              <w:t xml:space="preserve"> </w:t>
            </w:r>
            <w:r>
              <w:rPr>
                <w:spacing w:val="-6"/>
              </w:rPr>
              <w:t>供有关信息、资料。</w:t>
            </w:r>
          </w:p>
          <w:p>
            <w:pPr>
              <w:pStyle w:val="8"/>
              <w:spacing w:before="32" w:line="219" w:lineRule="auto"/>
              <w:ind w:left="19" w:firstLine="501"/>
              <w:jc w:val="both"/>
            </w:pPr>
            <w:r>
              <w:rPr>
                <w:spacing w:val="3"/>
              </w:rPr>
              <w:t>证券公司及其股东、实际控制人向国务院证券监督管理机构报</w:t>
            </w:r>
            <w:r>
              <w:t xml:space="preserve"> </w:t>
            </w:r>
            <w:r>
              <w:rPr>
                <w:spacing w:val="-3"/>
              </w:rPr>
              <w:t>送或者提供的信息、资料，必须真实、准确、完整。</w:t>
            </w:r>
          </w:p>
        </w:tc>
        <w:tc>
          <w:tcPr>
            <w:tcW w:w="6810" w:type="dxa"/>
            <w:vAlign w:val="top"/>
          </w:tcPr>
          <w:p>
            <w:pPr>
              <w:pStyle w:val="8"/>
              <w:spacing w:before="46" w:line="234" w:lineRule="auto"/>
              <w:ind w:left="14" w:right="4" w:firstLine="499"/>
              <w:jc w:val="both"/>
            </w:pPr>
            <w:r>
              <w:rPr>
                <w:rFonts w:ascii="黑体" w:hAnsi="黑体" w:eastAsia="黑体" w:cs="黑体"/>
                <w:spacing w:val="1"/>
              </w:rPr>
              <w:t xml:space="preserve">第一百三十八条  </w:t>
            </w:r>
            <w:r>
              <w:rPr>
                <w:spacing w:val="1"/>
              </w:rPr>
              <w:t>证券公司应当按照规定向国务院证券监督</w:t>
            </w:r>
            <w:r>
              <w:rPr>
                <w:spacing w:val="8"/>
              </w:rPr>
              <w:t xml:space="preserve"> </w:t>
            </w:r>
            <w:r>
              <w:rPr>
                <w:spacing w:val="2"/>
              </w:rPr>
              <w:t>管理机构报送业务、财务等经营管理信息和资料。国</w:t>
            </w:r>
            <w:r>
              <w:rPr>
                <w:spacing w:val="1"/>
              </w:rPr>
              <w:t>务院证券监</w:t>
            </w:r>
            <w:r>
              <w:t xml:space="preserve"> </w:t>
            </w:r>
            <w:r>
              <w:rPr>
                <w:spacing w:val="2"/>
              </w:rPr>
              <w:t>督管理机构有权要求证券公司及其</w:t>
            </w:r>
            <w:r>
              <w:rPr>
                <w:rFonts w:ascii="黑体" w:hAnsi="黑体" w:eastAsia="黑体" w:cs="黑体"/>
                <w:spacing w:val="2"/>
              </w:rPr>
              <w:t>主要</w:t>
            </w:r>
            <w:r>
              <w:rPr>
                <w:spacing w:val="2"/>
              </w:rPr>
              <w:t>股东、实际控制人在</w:t>
            </w:r>
            <w:r>
              <w:rPr>
                <w:spacing w:val="1"/>
              </w:rPr>
              <w:t>指定</w:t>
            </w:r>
            <w:r>
              <w:t xml:space="preserve"> </w:t>
            </w:r>
            <w:r>
              <w:rPr>
                <w:spacing w:val="-4"/>
              </w:rPr>
              <w:t>的期限内提供有关信息、资料。</w:t>
            </w:r>
          </w:p>
          <w:p>
            <w:pPr>
              <w:pStyle w:val="8"/>
              <w:spacing w:before="32" w:line="219" w:lineRule="auto"/>
              <w:ind w:left="12" w:right="4" w:firstLine="508"/>
              <w:jc w:val="both"/>
            </w:pPr>
            <w:r>
              <w:rPr>
                <w:spacing w:val="1"/>
              </w:rPr>
              <w:t>证券公司及其</w:t>
            </w:r>
            <w:r>
              <w:rPr>
                <w:rFonts w:ascii="黑体" w:hAnsi="黑体" w:eastAsia="黑体" w:cs="黑体"/>
                <w:spacing w:val="1"/>
              </w:rPr>
              <w:t>主要</w:t>
            </w:r>
            <w:r>
              <w:rPr>
                <w:spacing w:val="1"/>
              </w:rPr>
              <w:t xml:space="preserve">股东、实际控制人向国务院证券监督管理 </w:t>
            </w:r>
            <w:r>
              <w:rPr>
                <w:spacing w:val="-2"/>
              </w:rPr>
              <w:t>机构报送或者提供的信息、资料，必须真实、准确</w:t>
            </w:r>
            <w:r>
              <w:rPr>
                <w:spacing w:val="-3"/>
              </w:rPr>
              <w:t>、完整。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7097" w:type="dxa"/>
            <w:gridSpan w:val="5"/>
            <w:vAlign w:val="top"/>
          </w:tcPr>
          <w:p>
            <w:pPr>
              <w:pStyle w:val="8"/>
              <w:spacing w:before="45" w:line="230" w:lineRule="auto"/>
              <w:ind w:left="16" w:firstLine="496"/>
              <w:jc w:val="both"/>
            </w:pPr>
            <w:r>
              <w:rPr>
                <w:rFonts w:ascii="黑体" w:hAnsi="黑体" w:eastAsia="黑体" w:cs="黑体"/>
                <w:spacing w:val="-1"/>
              </w:rPr>
              <w:t xml:space="preserve">第一百四十九条  </w:t>
            </w:r>
            <w:r>
              <w:rPr>
                <w:spacing w:val="-1"/>
              </w:rPr>
              <w:t>国务院证券监督管理机构认为有必</w:t>
            </w:r>
            <w:r>
              <w:rPr>
                <w:spacing w:val="-2"/>
              </w:rPr>
              <w:t>要时， 可</w:t>
            </w:r>
            <w:r>
              <w:t xml:space="preserve"> </w:t>
            </w:r>
            <w:r>
              <w:rPr>
                <w:spacing w:val="3"/>
              </w:rPr>
              <w:t>以委托会计师事务所、资产评估机构对证券公司的财务状况、内部</w:t>
            </w:r>
            <w:r>
              <w:rPr>
                <w:spacing w:val="17"/>
              </w:rPr>
              <w:t xml:space="preserve"> </w:t>
            </w:r>
            <w:r>
              <w:rPr>
                <w:spacing w:val="3"/>
              </w:rPr>
              <w:t>控制状况、资产价值进行审计或者评估。具体办法由国务院证券监</w:t>
            </w:r>
          </w:p>
        </w:tc>
        <w:tc>
          <w:tcPr>
            <w:tcW w:w="6810" w:type="dxa"/>
            <w:vAlign w:val="top"/>
          </w:tcPr>
          <w:p>
            <w:pPr>
              <w:pStyle w:val="8"/>
              <w:spacing w:before="45" w:line="230" w:lineRule="auto"/>
              <w:ind w:left="25" w:right="7" w:firstLine="488"/>
            </w:pPr>
            <w:r>
              <w:rPr>
                <w:rFonts w:ascii="黑体" w:hAnsi="黑体" w:eastAsia="黑体" w:cs="黑体"/>
                <w:spacing w:val="1"/>
              </w:rPr>
              <w:t xml:space="preserve">第一百三十九条  </w:t>
            </w:r>
            <w:r>
              <w:rPr>
                <w:spacing w:val="1"/>
              </w:rPr>
              <w:t>国务院证券监督管理机构认为有必要时，</w:t>
            </w:r>
            <w:r>
              <w:rPr>
                <w:spacing w:val="3"/>
              </w:rPr>
              <w:t xml:space="preserve"> </w:t>
            </w:r>
            <w:r>
              <w:t>可以委托会计师事务所、资产评估机构对证券公司的财务</w:t>
            </w:r>
            <w:r>
              <w:rPr>
                <w:spacing w:val="-1"/>
              </w:rPr>
              <w:t>状况、</w:t>
            </w:r>
            <w:r>
              <w:t xml:space="preserve"> </w:t>
            </w:r>
            <w:r>
              <w:rPr>
                <w:spacing w:val="1"/>
              </w:rPr>
              <w:t>内部控制状况、资产价值进行审计或者评估。具体办法由国务院</w:t>
            </w:r>
          </w:p>
        </w:tc>
      </w:tr>
    </w:tbl>
    <w:p>
      <w:pPr>
        <w:rPr>
          <w:rFonts w:ascii="Arial"/>
          <w:sz w:val="21"/>
        </w:rPr>
      </w:pPr>
    </w:p>
    <w:p>
      <w:pPr>
        <w:rPr>
          <w:rFonts w:ascii="Arial" w:hAnsi="Arial" w:eastAsia="Arial" w:cs="Arial"/>
          <w:sz w:val="21"/>
          <w:szCs w:val="21"/>
        </w:rPr>
        <w:sectPr>
          <w:footerReference r:id="rId42"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36"/>
        <w:gridCol w:w="1710"/>
        <w:gridCol w:w="1954"/>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100" w:type="dxa"/>
            <w:gridSpan w:val="3"/>
            <w:vAlign w:val="top"/>
          </w:tcPr>
          <w:p>
            <w:pPr>
              <w:pStyle w:val="8"/>
              <w:spacing w:before="41" w:line="217" w:lineRule="auto"/>
              <w:ind w:left="13"/>
            </w:pPr>
            <w:r>
              <w:rPr>
                <w:spacing w:val="-4"/>
              </w:rPr>
              <w:t>督管理机构会同有关主管部门制定。</w:t>
            </w:r>
          </w:p>
        </w:tc>
        <w:tc>
          <w:tcPr>
            <w:tcW w:w="6807" w:type="dxa"/>
            <w:vAlign w:val="top"/>
          </w:tcPr>
          <w:p>
            <w:pPr>
              <w:pStyle w:val="8"/>
              <w:spacing w:before="41" w:line="217" w:lineRule="auto"/>
              <w:ind w:left="19"/>
            </w:pPr>
            <w:r>
              <w:rPr>
                <w:spacing w:val="-4"/>
              </w:rPr>
              <w:t>证券监督管理机构会同有关主管部门制定。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436" w:type="dxa"/>
            <w:tcBorders>
              <w:bottom w:val="nil"/>
              <w:right w:val="single" w:color="000000" w:sz="2" w:space="0"/>
            </w:tcBorders>
            <w:vAlign w:val="top"/>
          </w:tcPr>
          <w:p>
            <w:pPr>
              <w:pStyle w:val="8"/>
              <w:spacing w:before="40" w:line="200" w:lineRule="auto"/>
              <w:ind w:right="11"/>
              <w:jc w:val="right"/>
            </w:pPr>
            <w:r>
              <w:rPr>
                <w:rFonts w:ascii="黑体" w:hAnsi="黑体" w:eastAsia="黑体" w:cs="黑体"/>
                <w:spacing w:val="1"/>
              </w:rPr>
              <w:t xml:space="preserve">第一百五十条  </w:t>
            </w:r>
            <w:r>
              <w:rPr>
                <w:spacing w:val="1"/>
              </w:rPr>
              <w:t>证券公司的</w:t>
            </w:r>
          </w:p>
        </w:tc>
        <w:tc>
          <w:tcPr>
            <w:tcW w:w="1710" w:type="dxa"/>
            <w:tcBorders>
              <w:left w:val="single" w:color="000000" w:sz="2" w:space="0"/>
              <w:bottom w:val="single" w:color="000000" w:sz="2" w:space="0"/>
              <w:right w:val="single" w:color="000000" w:sz="2" w:space="0"/>
            </w:tcBorders>
            <w:shd w:val="clear" w:color="auto" w:fill="D9D9D9"/>
            <w:vAlign w:val="top"/>
          </w:tcPr>
          <w:p>
            <w:pPr>
              <w:pStyle w:val="8"/>
              <w:spacing w:before="42" w:line="199" w:lineRule="auto"/>
              <w:ind w:left="14"/>
            </w:pPr>
            <w:r>
              <w:rPr>
                <w:spacing w:val="-1"/>
              </w:rPr>
              <w:t>净资本或者其他</w:t>
            </w:r>
          </w:p>
        </w:tc>
        <w:tc>
          <w:tcPr>
            <w:tcW w:w="1954" w:type="dxa"/>
            <w:tcBorders>
              <w:left w:val="single" w:color="000000" w:sz="2" w:space="0"/>
              <w:bottom w:val="nil"/>
            </w:tcBorders>
            <w:vAlign w:val="top"/>
          </w:tcPr>
          <w:p>
            <w:pPr>
              <w:pStyle w:val="8"/>
              <w:spacing w:before="42" w:line="199" w:lineRule="auto"/>
              <w:ind w:left="10"/>
            </w:pPr>
            <w:r>
              <w:rPr>
                <w:spacing w:val="1"/>
              </w:rPr>
              <w:t>风险控制指标不符</w:t>
            </w:r>
          </w:p>
        </w:tc>
        <w:tc>
          <w:tcPr>
            <w:tcW w:w="6807" w:type="dxa"/>
            <w:vMerge w:val="restart"/>
            <w:tcBorders>
              <w:bottom w:val="nil"/>
            </w:tcBorders>
            <w:vAlign w:val="top"/>
          </w:tcPr>
          <w:p>
            <w:pPr>
              <w:pStyle w:val="8"/>
              <w:spacing w:before="28" w:line="235" w:lineRule="auto"/>
              <w:ind w:left="11" w:right="6" w:firstLine="499"/>
            </w:pPr>
            <w:r>
              <w:rPr>
                <w:rFonts w:ascii="黑体" w:hAnsi="黑体" w:eastAsia="黑体" w:cs="黑体"/>
                <w:spacing w:val="1"/>
              </w:rPr>
              <w:t xml:space="preserve">第一百四十条  </w:t>
            </w:r>
            <w:r>
              <w:rPr>
                <w:spacing w:val="1"/>
              </w:rPr>
              <w:t>证券公司的</w:t>
            </w:r>
            <w:r>
              <w:rPr>
                <w:rFonts w:ascii="黑体" w:hAnsi="黑体" w:eastAsia="黑体" w:cs="黑体"/>
                <w:spacing w:val="1"/>
              </w:rPr>
              <w:t>治理结构、合规管理、</w:t>
            </w:r>
            <w:r>
              <w:rPr>
                <w:spacing w:val="1"/>
              </w:rPr>
              <w:t>风险控制</w:t>
            </w:r>
            <w:r>
              <w:rPr>
                <w:spacing w:val="6"/>
              </w:rPr>
              <w:t xml:space="preserve"> </w:t>
            </w:r>
            <w:r>
              <w:rPr>
                <w:spacing w:val="2"/>
              </w:rPr>
              <w:t>指标不符合规定的，国务院证券监督管理机构应当责</w:t>
            </w:r>
            <w:r>
              <w:rPr>
                <w:spacing w:val="1"/>
              </w:rPr>
              <w:t>令其限期改</w:t>
            </w:r>
            <w:r>
              <w:t xml:space="preserve"> </w:t>
            </w:r>
            <w:r>
              <w:rPr>
                <w:spacing w:val="-8"/>
              </w:rPr>
              <w:t>正； 逾期未改正， 或者其行为严重危及该证券公司的稳健运行、</w:t>
            </w:r>
            <w:r>
              <w:rPr>
                <w:spacing w:val="7"/>
              </w:rPr>
              <w:t xml:space="preserve"> </w:t>
            </w:r>
            <w:r>
              <w:rPr>
                <w:spacing w:val="-4"/>
              </w:rPr>
              <w:t>损害客户合法权益的， 国务院证券监督管理机构</w:t>
            </w:r>
            <w:r>
              <w:rPr>
                <w:spacing w:val="-5"/>
              </w:rPr>
              <w:t>可以区别情形，</w:t>
            </w:r>
            <w:r>
              <w:t xml:space="preserve"> </w:t>
            </w:r>
            <w:r>
              <w:rPr>
                <w:spacing w:val="-8"/>
              </w:rPr>
              <w:t>对其采取下列措施：</w:t>
            </w:r>
          </w:p>
          <w:p>
            <w:pPr>
              <w:pStyle w:val="8"/>
              <w:spacing w:before="28" w:line="229" w:lineRule="auto"/>
              <w:ind w:left="16" w:right="32" w:firstLine="485"/>
            </w:pPr>
            <w:r>
              <w:rPr>
                <w:spacing w:val="8"/>
              </w:rPr>
              <w:t>（一）</w:t>
            </w:r>
            <w:r>
              <w:rPr>
                <w:spacing w:val="-63"/>
              </w:rPr>
              <w:t xml:space="preserve"> </w:t>
            </w:r>
            <w:r>
              <w:rPr>
                <w:spacing w:val="8"/>
              </w:rPr>
              <w:t>限制业务活动，责令暂停部分业务，停止批准新业</w:t>
            </w:r>
            <w:r>
              <w:t xml:space="preserve"> </w:t>
            </w:r>
            <w:r>
              <w:rPr>
                <w:spacing w:val="-20"/>
              </w:rPr>
              <w:t>务；</w:t>
            </w:r>
          </w:p>
          <w:p>
            <w:pPr>
              <w:pStyle w:val="8"/>
              <w:spacing w:before="26" w:line="230" w:lineRule="auto"/>
              <w:ind w:left="23" w:right="4" w:firstLine="478"/>
            </w:pPr>
            <w:r>
              <w:rPr>
                <w:spacing w:val="-4"/>
              </w:rPr>
              <w:t>（二）限制分配红利，</w:t>
            </w:r>
            <w:r>
              <w:rPr>
                <w:spacing w:val="34"/>
              </w:rPr>
              <w:t xml:space="preserve"> </w:t>
            </w:r>
            <w:r>
              <w:rPr>
                <w:spacing w:val="-4"/>
              </w:rPr>
              <w:t>限制向董事、监事、高</w:t>
            </w:r>
            <w:r>
              <w:rPr>
                <w:spacing w:val="-5"/>
              </w:rPr>
              <w:t>级管理人员支</w:t>
            </w:r>
            <w:r>
              <w:t xml:space="preserve"> </w:t>
            </w:r>
            <w:r>
              <w:rPr>
                <w:spacing w:val="-9"/>
              </w:rPr>
              <w:t>付报酬、提供福利；</w:t>
            </w:r>
          </w:p>
          <w:p>
            <w:pPr>
              <w:pStyle w:val="8"/>
              <w:spacing w:before="26" w:line="214" w:lineRule="auto"/>
              <w:ind w:left="501"/>
            </w:pPr>
            <w:r>
              <w:rPr>
                <w:spacing w:val="-3"/>
              </w:rPr>
              <w:t>（三）限制转让财产或者在财产上设定其他权利；</w:t>
            </w:r>
          </w:p>
          <w:p>
            <w:pPr>
              <w:pStyle w:val="8"/>
              <w:spacing w:before="33" w:line="229" w:lineRule="auto"/>
              <w:ind w:left="8" w:right="14" w:firstLine="492"/>
            </w:pPr>
            <w:r>
              <w:rPr>
                <w:spacing w:val="11"/>
              </w:rPr>
              <w:t>（四）责令更换董事、监事、高级管理人员或者限制其权</w:t>
            </w:r>
            <w:r>
              <w:t xml:space="preserve"> </w:t>
            </w:r>
            <w:r>
              <w:rPr>
                <w:spacing w:val="-18"/>
              </w:rPr>
              <w:t>利；</w:t>
            </w:r>
          </w:p>
          <w:p>
            <w:pPr>
              <w:pStyle w:val="8"/>
              <w:spacing w:before="28" w:line="217" w:lineRule="auto"/>
              <w:ind w:left="501"/>
            </w:pPr>
            <w:r>
              <w:rPr>
                <w:spacing w:val="-5"/>
              </w:rPr>
              <w:t>（五）撤销有关业务许可；</w:t>
            </w:r>
          </w:p>
          <w:p>
            <w:pPr>
              <w:pStyle w:val="8"/>
              <w:spacing w:before="29" w:line="229" w:lineRule="auto"/>
              <w:ind w:left="13" w:right="50" w:firstLine="487"/>
            </w:pPr>
            <w:r>
              <w:t xml:space="preserve">（六）认定负有责任的董事、监事、高级管理人员为不适当 </w:t>
            </w:r>
            <w:r>
              <w:rPr>
                <w:spacing w:val="-17"/>
              </w:rPr>
              <w:t>人选；</w:t>
            </w:r>
          </w:p>
          <w:p>
            <w:pPr>
              <w:pStyle w:val="8"/>
              <w:spacing w:before="27" w:line="228" w:lineRule="auto"/>
              <w:ind w:left="11" w:right="32" w:firstLine="489"/>
            </w:pPr>
            <w:r>
              <w:t>（七）责令负有责任的股东转让股权，限制负有责任的股东</w:t>
            </w:r>
            <w:r>
              <w:rPr>
                <w:spacing w:val="16"/>
              </w:rPr>
              <w:t xml:space="preserve"> </w:t>
            </w:r>
            <w:r>
              <w:rPr>
                <w:spacing w:val="-8"/>
              </w:rPr>
              <w:t>行使股东权利。</w:t>
            </w:r>
          </w:p>
          <w:p>
            <w:pPr>
              <w:pStyle w:val="8"/>
              <w:spacing w:before="30" w:line="230" w:lineRule="auto"/>
              <w:ind w:left="11" w:right="3" w:firstLine="506"/>
            </w:pPr>
            <w:r>
              <w:rPr>
                <w:spacing w:val="10"/>
              </w:rPr>
              <w:t>证券公司整改后，应当向国务院证券监督管理机构提交报</w:t>
            </w:r>
            <w:r>
              <w:rPr>
                <w:spacing w:val="15"/>
              </w:rPr>
              <w:t xml:space="preserve"> </w:t>
            </w:r>
            <w:r>
              <w:rPr>
                <w:spacing w:val="-2"/>
              </w:rPr>
              <w:t>告。国务院证券监督管理机构经验收，</w:t>
            </w:r>
            <w:r>
              <w:rPr>
                <w:rFonts w:ascii="黑体" w:hAnsi="黑体" w:eastAsia="黑体" w:cs="黑体"/>
                <w:spacing w:val="-2"/>
              </w:rPr>
              <w:t>治理结构、合规管理、</w:t>
            </w:r>
            <w:r>
              <w:rPr>
                <w:rFonts w:ascii="黑体" w:hAnsi="黑体" w:eastAsia="黑体" w:cs="黑体"/>
                <w:spacing w:val="-9"/>
              </w:rPr>
              <w:t xml:space="preserve"> </w:t>
            </w:r>
            <w:r>
              <w:rPr>
                <w:spacing w:val="-2"/>
              </w:rPr>
              <w:t>风</w:t>
            </w:r>
            <w:r>
              <w:t xml:space="preserve"> </w:t>
            </w:r>
            <w:r>
              <w:rPr>
                <w:spacing w:val="2"/>
              </w:rPr>
              <w:t>险控制指标符合规定的，应当自验收完毕之日起三日</w:t>
            </w:r>
            <w:r>
              <w:rPr>
                <w:spacing w:val="1"/>
              </w:rPr>
              <w:t>内解除对其</w:t>
            </w:r>
            <w:r>
              <w:t xml:space="preserve"> </w:t>
            </w:r>
            <w:r>
              <w:rPr>
                <w:spacing w:val="-3"/>
              </w:rPr>
              <w:t>采取的前款规定的有关限制措施。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2" w:hRule="atLeast"/>
        </w:trPr>
        <w:tc>
          <w:tcPr>
            <w:tcW w:w="7100" w:type="dxa"/>
            <w:gridSpan w:val="3"/>
            <w:tcBorders>
              <w:top w:val="nil"/>
            </w:tcBorders>
            <w:vAlign w:val="top"/>
          </w:tcPr>
          <w:p>
            <w:pPr>
              <w:pStyle w:val="8"/>
              <w:spacing w:before="47" w:line="234" w:lineRule="auto"/>
              <w:ind w:left="14" w:firstLine="1"/>
              <w:jc w:val="both"/>
            </w:pPr>
            <w:r>
              <w:pict>
                <v:shape id="_x0000_s1087" o:spid="_x0000_s1087" style="position:absolute;left:0pt;margin-left:38.55pt;margin-top:157.4pt;height:0.5pt;width:12.5pt;mso-position-horizontal-relative:page;mso-position-vertical-relative:page;z-index:-251595776;mso-width-relative:page;mso-height-relative:page;" fillcolor="#000000" filled="t" stroked="f" coordsize="250,10" path="m0,0l249,0,249,9,0,9,0,0xe">
                  <v:path/>
                  <v:fill on="t" focussize="0,0"/>
                  <v:stroke on="f"/>
                  <v:imagedata o:title=""/>
                  <o:lock v:ext="edit"/>
                </v:shape>
              </w:pict>
            </w:r>
            <w:r>
              <w:pict>
                <v:shape id="_x0000_s1088" o:spid="_x0000_s1088" style="position:absolute;left:0pt;margin-left:89.55pt;margin-top:157.4pt;height:0.5pt;width:37.6pt;mso-position-horizontal-relative:page;mso-position-vertical-relative:page;z-index:-251598848;mso-width-relative:page;mso-height-relative:page;" fillcolor="#000000" filled="t" stroked="f" coordsize="751,10" path="m0,0l751,0,751,9,0,9,0,0xe">
                  <v:path/>
                  <v:fill on="t" focussize="0,0"/>
                  <v:stroke on="f"/>
                  <v:imagedata o:title=""/>
                  <o:lock v:ext="edit"/>
                </v:shape>
              </w:pict>
            </w:r>
            <w:r>
              <w:pict>
                <v:shape id="_x0000_s1089" o:spid="_x0000_s1089" style="position:absolute;left:0pt;margin-left:190.75pt;margin-top:157.4pt;height:0.5pt;width:25pt;mso-position-horizontal-relative:page;mso-position-vertical-relative:page;z-index:-251596800;mso-width-relative:page;mso-height-relative:page;" fillcolor="#000000" filled="t" stroked="f" coordsize="500,10" path="m0,0l499,0,499,9,0,9,0,0xe">
                  <v:path/>
                  <v:fill on="t" focussize="0,0"/>
                  <v:stroke on="f"/>
                  <v:imagedata o:title=""/>
                  <o:lock v:ext="edit"/>
                </v:shape>
              </w:pict>
            </w:r>
            <w:r>
              <w:pict>
                <v:shape id="_x0000_s1090" o:spid="_x0000_s1090" style="position:absolute;left:0pt;margin-left:241.75pt;margin-top:157.4pt;height:0.5pt;width:25.1pt;mso-position-horizontal-relative:page;mso-position-vertical-relative:page;z-index:-251597824;mso-width-relative:page;mso-height-relative:page;" fillcolor="#000000" filled="t" stroked="f" coordsize="502,10" path="m0,0l501,0,501,9,0,9,0,0xe">
                  <v:path/>
                  <v:fill on="t" focussize="0,0"/>
                  <v:stroke on="f"/>
                  <v:imagedata o:title=""/>
                  <o:lock v:ext="edit"/>
                </v:shape>
              </w:pict>
            </w:r>
            <w:r>
              <w:pict>
                <v:shape id="_x0000_s1091" o:spid="_x0000_s1091" style="position:absolute;left:0pt;margin-left:183.8pt;margin-top:222.7pt;height:0.5pt;width:133.95pt;mso-position-horizontal-relative:page;mso-position-vertical-relative:page;z-index:-251599872;mso-width-relative:page;mso-height-relative:page;" fillcolor="#000000" filled="t" stroked="f" coordsize="2678,10" path="m0,0l2678,0,2678,9,0,9,0,0xe">
                  <v:path/>
                  <v:fill on="t" focussize="0,0"/>
                  <v:stroke on="f"/>
                  <v:imagedata o:title=""/>
                  <o:lock v:ext="edit"/>
                </v:shape>
              </w:pict>
            </w:r>
            <w:r>
              <w:rPr>
                <w:spacing w:val="4"/>
              </w:rPr>
              <w:t>合规定的，国务院证券监督管理机构应当责令</w:t>
            </w:r>
            <w:r>
              <w:rPr>
                <w:spacing w:val="3"/>
              </w:rPr>
              <w:t>其限期改正；逾期未</w:t>
            </w:r>
            <w:r>
              <w:t xml:space="preserve"> </w:t>
            </w:r>
            <w:r>
              <w:rPr>
                <w:spacing w:val="4"/>
              </w:rPr>
              <w:t>改正，或者其行为严重危及该证券公司的稳健运行</w:t>
            </w:r>
            <w:r>
              <w:rPr>
                <w:spacing w:val="3"/>
              </w:rPr>
              <w:t>、损害客户合法</w:t>
            </w:r>
            <w:r>
              <w:t xml:space="preserve"> </w:t>
            </w:r>
            <w:r>
              <w:rPr>
                <w:spacing w:val="4"/>
              </w:rPr>
              <w:t>权益的，国务院证券监督管理机构可以区别情形，</w:t>
            </w:r>
            <w:r>
              <w:rPr>
                <w:spacing w:val="3"/>
              </w:rPr>
              <w:t>对其采取下列措</w:t>
            </w:r>
            <w:r>
              <w:t xml:space="preserve"> </w:t>
            </w:r>
            <w:r>
              <w:rPr>
                <w:spacing w:val="-19"/>
              </w:rPr>
              <w:t>施：</w:t>
            </w:r>
          </w:p>
          <w:p>
            <w:pPr>
              <w:pStyle w:val="8"/>
              <w:spacing w:before="27" w:line="211" w:lineRule="auto"/>
              <w:ind w:left="503"/>
            </w:pPr>
            <w:r>
              <w:rPr>
                <w:spacing w:val="-2"/>
              </w:rPr>
              <w:t>（一）限制业务活动，责令暂停部分业务，</w:t>
            </w:r>
            <w:r>
              <w:rPr>
                <w:spacing w:val="-3"/>
              </w:rPr>
              <w:t>停止批准新业务；</w:t>
            </w:r>
          </w:p>
          <w:tbl>
            <w:tblPr>
              <w:tblStyle w:val="7"/>
              <w:tblW w:w="4814" w:type="dxa"/>
              <w:tblInd w:w="5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814" w:type="dxa"/>
                  <w:vAlign w:val="top"/>
                </w:tcPr>
                <w:p>
                  <w:pPr>
                    <w:pStyle w:val="8"/>
                    <w:tabs>
                      <w:tab w:val="left" w:pos="123"/>
                    </w:tabs>
                    <w:spacing w:before="40" w:line="208" w:lineRule="auto"/>
                    <w:ind w:left="4"/>
                  </w:pPr>
                  <w:r>
                    <w:rPr>
                      <w:shd w:val="clear" w:fill="D9D9D9"/>
                    </w:rPr>
                    <w:tab/>
                  </w:r>
                  <w:r>
                    <w:rPr>
                      <w:spacing w:val="-16"/>
                      <w:shd w:val="clear" w:fill="D9D9D9"/>
                    </w:rPr>
                    <w:t>（二）停止批准增设、收购营业性分支机构；</w:t>
                  </w:r>
                  <w:r>
                    <w:rPr>
                      <w:spacing w:val="8"/>
                      <w:shd w:val="clear" w:fill="D9D9D9"/>
                    </w:rPr>
                    <w:t xml:space="preserve">  </w:t>
                  </w:r>
                </w:p>
              </w:tc>
            </w:tr>
          </w:tbl>
          <w:p>
            <w:pPr>
              <w:pStyle w:val="8"/>
              <w:spacing w:before="33" w:line="229" w:lineRule="auto"/>
              <w:ind w:left="20" w:right="16" w:firstLine="482"/>
            </w:pPr>
            <w:r>
              <w:rPr>
                <w:spacing w:val="3"/>
              </w:rPr>
              <w:t>（三）限制分配红利，限制向董事、监事、高级管理人员支付</w:t>
            </w:r>
            <w:r>
              <w:rPr>
                <w:spacing w:val="2"/>
              </w:rPr>
              <w:t xml:space="preserve"> </w:t>
            </w:r>
            <w:r>
              <w:rPr>
                <w:spacing w:val="-9"/>
              </w:rPr>
              <w:t>报酬、提供福利；</w:t>
            </w:r>
          </w:p>
          <w:p>
            <w:pPr>
              <w:pStyle w:val="8"/>
              <w:spacing w:before="29" w:line="214" w:lineRule="auto"/>
              <w:ind w:left="503"/>
            </w:pPr>
            <w:r>
              <w:rPr>
                <w:spacing w:val="-3"/>
              </w:rPr>
              <w:t>（四）限制转让财产或者在财产上设定其他权利；</w:t>
            </w:r>
          </w:p>
          <w:p>
            <w:pPr>
              <w:pStyle w:val="8"/>
              <w:spacing w:before="34" w:line="211" w:lineRule="auto"/>
              <w:ind w:left="503"/>
            </w:pPr>
            <w:r>
              <w:rPr>
                <w:spacing w:val="-2"/>
              </w:rPr>
              <w:t>（五）责令更换董事、监事、高级管理人员</w:t>
            </w:r>
            <w:r>
              <w:rPr>
                <w:spacing w:val="-3"/>
              </w:rPr>
              <w:t>或者限制其权利；</w:t>
            </w:r>
          </w:p>
          <w:p>
            <w:pPr>
              <w:pStyle w:val="8"/>
              <w:spacing w:before="1" w:line="239" w:lineRule="auto"/>
              <w:ind w:left="10" w:right="6" w:firstLine="233"/>
            </w:pPr>
            <w:r>
              <w:rPr>
                <w:position w:val="-8"/>
              </w:rPr>
              <w:drawing>
                <wp:inline distT="0" distB="0" distL="0" distR="0">
                  <wp:extent cx="4445" cy="5715"/>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81"/>
                          <a:stretch>
                            <a:fillRect/>
                          </a:stretch>
                        </pic:blipFill>
                        <pic:spPr>
                          <a:xfrm>
                            <a:off x="0" y="0"/>
                            <a:ext cx="4948" cy="6096"/>
                          </a:xfrm>
                          <a:prstGeom prst="rect">
                            <a:avLst/>
                          </a:prstGeom>
                        </pic:spPr>
                      </pic:pic>
                    </a:graphicData>
                  </a:graphic>
                </wp:inline>
              </w:drawing>
            </w:r>
            <w:r>
              <w:rPr>
                <w:spacing w:val="4"/>
                <w:u w:val="single" w:color="auto"/>
              </w:rPr>
              <w:t xml:space="preserve">  </w:t>
            </w:r>
            <w:r>
              <w:rPr>
                <w:position w:val="-8"/>
              </w:rPr>
              <w:drawing>
                <wp:inline distT="0" distB="0" distL="0" distR="0">
                  <wp:extent cx="4445" cy="5715"/>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78"/>
                          <a:stretch>
                            <a:fillRect/>
                          </a:stretch>
                        </pic:blipFill>
                        <pic:spPr>
                          <a:xfrm>
                            <a:off x="0" y="0"/>
                            <a:ext cx="4948" cy="6096"/>
                          </a:xfrm>
                          <a:prstGeom prst="rect">
                            <a:avLst/>
                          </a:prstGeom>
                        </pic:spPr>
                      </pic:pic>
                    </a:graphicData>
                  </a:graphic>
                </wp:inline>
              </w:drawing>
            </w:r>
            <w:r>
              <w:rPr>
                <w:spacing w:val="4"/>
              </w:rPr>
              <w:t>（</w:t>
            </w:r>
            <w:r>
              <w:rPr>
                <w:spacing w:val="-78"/>
              </w:rPr>
              <w:t xml:space="preserve"> </w:t>
            </w:r>
            <w:r>
              <w:rPr>
                <w:position w:val="-6"/>
              </w:rPr>
              <w:drawing>
                <wp:inline distT="0" distB="0" distL="0" distR="0">
                  <wp:extent cx="4445" cy="203835"/>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70"/>
                          <a:stretch>
                            <a:fillRect/>
                          </a:stretch>
                        </pic:blipFill>
                        <pic:spPr>
                          <a:xfrm>
                            <a:off x="0" y="0"/>
                            <a:ext cx="4948" cy="204215"/>
                          </a:xfrm>
                          <a:prstGeom prst="rect">
                            <a:avLst/>
                          </a:prstGeom>
                        </pic:spPr>
                      </pic:pic>
                    </a:graphicData>
                  </a:graphic>
                </wp:inline>
              </w:drawing>
            </w:r>
            <w:r>
              <w:rPr>
                <w:position w:val="-7"/>
              </w:rPr>
              <w:drawing>
                <wp:inline distT="0" distB="0" distL="0" distR="0">
                  <wp:extent cx="4445" cy="210185"/>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15"/>
                          <a:stretch>
                            <a:fillRect/>
                          </a:stretch>
                        </pic:blipFill>
                        <pic:spPr>
                          <a:xfrm>
                            <a:off x="0" y="0"/>
                            <a:ext cx="4948" cy="210311"/>
                          </a:xfrm>
                          <a:prstGeom prst="rect">
                            <a:avLst/>
                          </a:prstGeom>
                        </pic:spPr>
                      </pic:pic>
                    </a:graphicData>
                  </a:graphic>
                </wp:inline>
              </w:drawing>
            </w:r>
            <w:r>
              <w:rPr>
                <w:spacing w:val="4"/>
                <w:u w:val="single" w:color="auto"/>
                <w:shd w:val="clear" w:fill="D9D9D9"/>
              </w:rPr>
              <w:t>六</w:t>
            </w:r>
            <w:r>
              <w:rPr>
                <w:position w:val="-7"/>
              </w:rPr>
              <w:drawing>
                <wp:inline distT="0" distB="0" distL="0" distR="0">
                  <wp:extent cx="4445" cy="210185"/>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116"/>
                          <a:stretch>
                            <a:fillRect/>
                          </a:stretch>
                        </pic:blipFill>
                        <pic:spPr>
                          <a:xfrm>
                            <a:off x="0" y="0"/>
                            <a:ext cx="4948" cy="210311"/>
                          </a:xfrm>
                          <a:prstGeom prst="rect">
                            <a:avLst/>
                          </a:prstGeom>
                        </pic:spPr>
                      </pic:pic>
                    </a:graphicData>
                  </a:graphic>
                </wp:inline>
              </w:drawing>
            </w:r>
            <w:r>
              <w:rPr>
                <w:position w:val="-7"/>
              </w:rPr>
              <w:drawing>
                <wp:inline distT="0" distB="0" distL="0" distR="0">
                  <wp:extent cx="4445" cy="203835"/>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85"/>
                          <a:stretch>
                            <a:fillRect/>
                          </a:stretch>
                        </pic:blipFill>
                        <pic:spPr>
                          <a:xfrm>
                            <a:off x="0" y="0"/>
                            <a:ext cx="4948" cy="204216"/>
                          </a:xfrm>
                          <a:prstGeom prst="rect">
                            <a:avLst/>
                          </a:prstGeom>
                        </pic:spPr>
                      </pic:pic>
                    </a:graphicData>
                  </a:graphic>
                </wp:inline>
              </w:drawing>
            </w:r>
            <w:r>
              <w:rPr>
                <w:spacing w:val="4"/>
              </w:rPr>
              <w:t>）责令</w:t>
            </w:r>
            <w:r>
              <w:rPr>
                <w:spacing w:val="-110"/>
              </w:rPr>
              <w:t xml:space="preserve"> </w:t>
            </w:r>
            <w:r>
              <w:rPr>
                <w:position w:val="-7"/>
              </w:rPr>
              <w:drawing>
                <wp:inline distT="0" distB="0" distL="0" distR="0">
                  <wp:extent cx="4445" cy="210185"/>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115"/>
                          <a:stretch>
                            <a:fillRect/>
                          </a:stretch>
                        </pic:blipFill>
                        <pic:spPr>
                          <a:xfrm>
                            <a:off x="0" y="0"/>
                            <a:ext cx="4948" cy="210311"/>
                          </a:xfrm>
                          <a:prstGeom prst="rect">
                            <a:avLst/>
                          </a:prstGeom>
                        </pic:spPr>
                      </pic:pic>
                    </a:graphicData>
                  </a:graphic>
                </wp:inline>
              </w:drawing>
            </w:r>
            <w:r>
              <w:rPr>
                <w:position w:val="-7"/>
              </w:rPr>
              <w:drawing>
                <wp:inline distT="0" distB="0" distL="0" distR="0">
                  <wp:extent cx="4445" cy="203835"/>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117"/>
                          <a:stretch>
                            <a:fillRect/>
                          </a:stretch>
                        </pic:blipFill>
                        <pic:spPr>
                          <a:xfrm>
                            <a:off x="0" y="0"/>
                            <a:ext cx="4948" cy="204216"/>
                          </a:xfrm>
                          <a:prstGeom prst="rect">
                            <a:avLst/>
                          </a:prstGeom>
                        </pic:spPr>
                      </pic:pic>
                    </a:graphicData>
                  </a:graphic>
                </wp:inline>
              </w:drawing>
            </w:r>
            <w:r>
              <w:rPr>
                <w:spacing w:val="4"/>
                <w:u w:val="single" w:color="auto"/>
                <w:shd w:val="clear" w:fill="D9D9D9"/>
              </w:rPr>
              <w:t>控股股</w:t>
            </w:r>
            <w:r>
              <w:rPr>
                <w:position w:val="-7"/>
              </w:rPr>
              <w:drawing>
                <wp:inline distT="0" distB="0" distL="0" distR="0">
                  <wp:extent cx="4445" cy="203835"/>
                  <wp:effectExtent l="0" t="0" r="0" b="0"/>
                  <wp:docPr id="590" name="IM 590"/>
                  <wp:cNvGraphicFramePr/>
                  <a:graphic xmlns:a="http://schemas.openxmlformats.org/drawingml/2006/main">
                    <a:graphicData uri="http://schemas.openxmlformats.org/drawingml/2006/picture">
                      <pic:pic xmlns:pic="http://schemas.openxmlformats.org/drawingml/2006/picture">
                        <pic:nvPicPr>
                          <pic:cNvPr id="590" name="IM 590"/>
                          <pic:cNvPicPr/>
                        </pic:nvPicPr>
                        <pic:blipFill>
                          <a:blip r:embed="rId110"/>
                          <a:stretch>
                            <a:fillRect/>
                          </a:stretch>
                        </pic:blipFill>
                        <pic:spPr>
                          <a:xfrm>
                            <a:off x="0" y="0"/>
                            <a:ext cx="4948" cy="204216"/>
                          </a:xfrm>
                          <a:prstGeom prst="rect">
                            <a:avLst/>
                          </a:prstGeom>
                        </pic:spPr>
                      </pic:pic>
                    </a:graphicData>
                  </a:graphic>
                </wp:inline>
              </w:drawing>
            </w:r>
            <w:r>
              <w:rPr>
                <w:position w:val="24"/>
              </w:rPr>
              <w:drawing>
                <wp:inline distT="0" distB="0" distL="0" distR="0">
                  <wp:extent cx="4445" cy="5715"/>
                  <wp:effectExtent l="0" t="0" r="0" b="0"/>
                  <wp:docPr id="592" name="IM 592"/>
                  <wp:cNvGraphicFramePr/>
                  <a:graphic xmlns:a="http://schemas.openxmlformats.org/drawingml/2006/main">
                    <a:graphicData uri="http://schemas.openxmlformats.org/drawingml/2006/picture">
                      <pic:pic xmlns:pic="http://schemas.openxmlformats.org/drawingml/2006/picture">
                        <pic:nvPicPr>
                          <pic:cNvPr id="592" name="IM 592"/>
                          <pic:cNvPicPr/>
                        </pic:nvPicPr>
                        <pic:blipFill>
                          <a:blip r:embed="rId72"/>
                          <a:stretch>
                            <a:fillRect/>
                          </a:stretch>
                        </pic:blipFill>
                        <pic:spPr>
                          <a:xfrm>
                            <a:off x="0" y="0"/>
                            <a:ext cx="4948" cy="6096"/>
                          </a:xfrm>
                          <a:prstGeom prst="rect">
                            <a:avLst/>
                          </a:prstGeom>
                        </pic:spPr>
                      </pic:pic>
                    </a:graphicData>
                  </a:graphic>
                </wp:inline>
              </w:drawing>
            </w:r>
            <w:r>
              <w:rPr>
                <w:spacing w:val="-104"/>
              </w:rPr>
              <w:t xml:space="preserve"> </w:t>
            </w:r>
            <w:r>
              <w:rPr>
                <w:spacing w:val="4"/>
              </w:rPr>
              <w:t>东转让股权</w:t>
            </w:r>
            <w:r>
              <w:rPr>
                <w:position w:val="-7"/>
              </w:rPr>
              <w:drawing>
                <wp:inline distT="0" distB="0" distL="0" distR="0">
                  <wp:extent cx="4445" cy="203835"/>
                  <wp:effectExtent l="0" t="0" r="0" b="0"/>
                  <wp:docPr id="594" name="IM 594"/>
                  <wp:cNvGraphicFramePr/>
                  <a:graphic xmlns:a="http://schemas.openxmlformats.org/drawingml/2006/main">
                    <a:graphicData uri="http://schemas.openxmlformats.org/drawingml/2006/picture">
                      <pic:pic xmlns:pic="http://schemas.openxmlformats.org/drawingml/2006/picture">
                        <pic:nvPicPr>
                          <pic:cNvPr id="594" name="IM 594"/>
                          <pic:cNvPicPr/>
                        </pic:nvPicPr>
                        <pic:blipFill>
                          <a:blip r:embed="rId117"/>
                          <a:stretch>
                            <a:fillRect/>
                          </a:stretch>
                        </pic:blipFill>
                        <pic:spPr>
                          <a:xfrm>
                            <a:off x="0" y="0"/>
                            <a:ext cx="4948" cy="204216"/>
                          </a:xfrm>
                          <a:prstGeom prst="rect">
                            <a:avLst/>
                          </a:prstGeom>
                        </pic:spPr>
                      </pic:pic>
                    </a:graphicData>
                  </a:graphic>
                </wp:inline>
              </w:drawing>
            </w:r>
            <w:r>
              <w:rPr>
                <w:position w:val="24"/>
              </w:rPr>
              <w:drawing>
                <wp:inline distT="0" distB="0" distL="0" distR="0">
                  <wp:extent cx="4445" cy="5715"/>
                  <wp:effectExtent l="0" t="0" r="0" b="0"/>
                  <wp:docPr id="596" name="IM 596"/>
                  <wp:cNvGraphicFramePr/>
                  <a:graphic xmlns:a="http://schemas.openxmlformats.org/drawingml/2006/main">
                    <a:graphicData uri="http://schemas.openxmlformats.org/drawingml/2006/picture">
                      <pic:pic xmlns:pic="http://schemas.openxmlformats.org/drawingml/2006/picture">
                        <pic:nvPicPr>
                          <pic:cNvPr id="596" name="IM 596"/>
                          <pic:cNvPicPr/>
                        </pic:nvPicPr>
                        <pic:blipFill>
                          <a:blip r:embed="rId75"/>
                          <a:stretch>
                            <a:fillRect/>
                          </a:stretch>
                        </pic:blipFill>
                        <pic:spPr>
                          <a:xfrm>
                            <a:off x="0" y="0"/>
                            <a:ext cx="4948" cy="6096"/>
                          </a:xfrm>
                          <a:prstGeom prst="rect">
                            <a:avLst/>
                          </a:prstGeom>
                        </pic:spPr>
                      </pic:pic>
                    </a:graphicData>
                  </a:graphic>
                </wp:inline>
              </w:drawing>
            </w:r>
            <w:r>
              <w:rPr>
                <w:spacing w:val="-110"/>
                <w:u w:val="single" w:color="auto"/>
                <w:shd w:val="clear" w:fill="D9D9D9"/>
              </w:rPr>
              <w:t xml:space="preserve"> </w:t>
            </w:r>
            <w:r>
              <w:rPr>
                <w:spacing w:val="4"/>
                <w:u w:val="single" w:color="auto"/>
                <w:shd w:val="clear" w:fill="D9D9D9"/>
              </w:rPr>
              <w:t>或者</w:t>
            </w:r>
            <w:r>
              <w:rPr>
                <w:position w:val="-7"/>
              </w:rPr>
              <w:drawing>
                <wp:inline distT="0" distB="0" distL="0" distR="0">
                  <wp:extent cx="4445" cy="210185"/>
                  <wp:effectExtent l="0" t="0" r="0" b="0"/>
                  <wp:docPr id="598" name="IM 598"/>
                  <wp:cNvGraphicFramePr/>
                  <a:graphic xmlns:a="http://schemas.openxmlformats.org/drawingml/2006/main">
                    <a:graphicData uri="http://schemas.openxmlformats.org/drawingml/2006/picture">
                      <pic:pic xmlns:pic="http://schemas.openxmlformats.org/drawingml/2006/picture">
                        <pic:nvPicPr>
                          <pic:cNvPr id="598" name="IM 598"/>
                          <pic:cNvPicPr/>
                        </pic:nvPicPr>
                        <pic:blipFill>
                          <a:blip r:embed="rId115"/>
                          <a:stretch>
                            <a:fillRect/>
                          </a:stretch>
                        </pic:blipFill>
                        <pic:spPr>
                          <a:xfrm>
                            <a:off x="0" y="0"/>
                            <a:ext cx="4948" cy="210311"/>
                          </a:xfrm>
                          <a:prstGeom prst="rect">
                            <a:avLst/>
                          </a:prstGeom>
                        </pic:spPr>
                      </pic:pic>
                    </a:graphicData>
                  </a:graphic>
                </wp:inline>
              </w:drawing>
            </w:r>
            <w:r>
              <w:rPr>
                <w:position w:val="-6"/>
              </w:rPr>
              <w:drawing>
                <wp:inline distT="0" distB="0" distL="0" distR="0">
                  <wp:extent cx="4445" cy="203835"/>
                  <wp:effectExtent l="0" t="0" r="0" b="0"/>
                  <wp:docPr id="600" name="IM 600"/>
                  <wp:cNvGraphicFramePr/>
                  <a:graphic xmlns:a="http://schemas.openxmlformats.org/drawingml/2006/main">
                    <a:graphicData uri="http://schemas.openxmlformats.org/drawingml/2006/picture">
                      <pic:pic xmlns:pic="http://schemas.openxmlformats.org/drawingml/2006/picture">
                        <pic:nvPicPr>
                          <pic:cNvPr id="600" name="IM 600"/>
                          <pic:cNvPicPr/>
                        </pic:nvPicPr>
                        <pic:blipFill>
                          <a:blip r:embed="rId70"/>
                          <a:stretch>
                            <a:fillRect/>
                          </a:stretch>
                        </pic:blipFill>
                        <pic:spPr>
                          <a:xfrm>
                            <a:off x="0" y="0"/>
                            <a:ext cx="4948" cy="204215"/>
                          </a:xfrm>
                          <a:prstGeom prst="rect">
                            <a:avLst/>
                          </a:prstGeom>
                        </pic:spPr>
                      </pic:pic>
                    </a:graphicData>
                  </a:graphic>
                </wp:inline>
              </w:drawing>
            </w:r>
            <w:r>
              <w:rPr>
                <w:spacing w:val="4"/>
              </w:rPr>
              <w:t>限制</w:t>
            </w:r>
            <w:r>
              <w:rPr>
                <w:spacing w:val="-108"/>
              </w:rPr>
              <w:t xml:space="preserve"> </w:t>
            </w:r>
            <w:r>
              <w:rPr>
                <w:position w:val="24"/>
              </w:rPr>
              <w:drawing>
                <wp:inline distT="0" distB="0" distL="0" distR="0">
                  <wp:extent cx="4445" cy="5715"/>
                  <wp:effectExtent l="0" t="0" r="0" b="0"/>
                  <wp:docPr id="602" name="IM 602"/>
                  <wp:cNvGraphicFramePr/>
                  <a:graphic xmlns:a="http://schemas.openxmlformats.org/drawingml/2006/main">
                    <a:graphicData uri="http://schemas.openxmlformats.org/drawingml/2006/picture">
                      <pic:pic xmlns:pic="http://schemas.openxmlformats.org/drawingml/2006/picture">
                        <pic:nvPicPr>
                          <pic:cNvPr id="602" name="IM 602"/>
                          <pic:cNvPicPr/>
                        </pic:nvPicPr>
                        <pic:blipFill>
                          <a:blip r:embed="rId75"/>
                          <a:stretch>
                            <a:fillRect/>
                          </a:stretch>
                        </pic:blipFill>
                        <pic:spPr>
                          <a:xfrm>
                            <a:off x="0" y="0"/>
                            <a:ext cx="4948" cy="6096"/>
                          </a:xfrm>
                          <a:prstGeom prst="rect">
                            <a:avLst/>
                          </a:prstGeom>
                        </pic:spPr>
                      </pic:pic>
                    </a:graphicData>
                  </a:graphic>
                </wp:inline>
              </w:drawing>
            </w:r>
            <w:r>
              <w:rPr>
                <w:position w:val="-7"/>
              </w:rPr>
              <w:drawing>
                <wp:inline distT="0" distB="0" distL="0" distR="0">
                  <wp:extent cx="4445" cy="203835"/>
                  <wp:effectExtent l="0" t="0" r="0" b="0"/>
                  <wp:docPr id="604" name="IM 604"/>
                  <wp:cNvGraphicFramePr/>
                  <a:graphic xmlns:a="http://schemas.openxmlformats.org/drawingml/2006/main">
                    <a:graphicData uri="http://schemas.openxmlformats.org/drawingml/2006/picture">
                      <pic:pic xmlns:pic="http://schemas.openxmlformats.org/drawingml/2006/picture">
                        <pic:nvPicPr>
                          <pic:cNvPr id="604" name="IM 604"/>
                          <pic:cNvPicPr/>
                        </pic:nvPicPr>
                        <pic:blipFill>
                          <a:blip r:embed="rId117"/>
                          <a:stretch>
                            <a:fillRect/>
                          </a:stretch>
                        </pic:blipFill>
                        <pic:spPr>
                          <a:xfrm>
                            <a:off x="0" y="0"/>
                            <a:ext cx="4948" cy="204216"/>
                          </a:xfrm>
                          <a:prstGeom prst="rect">
                            <a:avLst/>
                          </a:prstGeom>
                        </pic:spPr>
                      </pic:pic>
                    </a:graphicData>
                  </a:graphic>
                </wp:inline>
              </w:drawing>
            </w:r>
            <w:r>
              <w:rPr>
                <w:spacing w:val="4"/>
                <w:u w:val="single" w:color="auto"/>
                <w:shd w:val="clear" w:fill="D9D9D9"/>
              </w:rPr>
              <w:t>有关</w:t>
            </w:r>
            <w:r>
              <w:rPr>
                <w:spacing w:val="-110"/>
                <w:u w:val="single" w:color="auto"/>
                <w:shd w:val="clear" w:fill="D9D9D9"/>
              </w:rPr>
              <w:t xml:space="preserve"> </w:t>
            </w:r>
            <w:r>
              <w:rPr>
                <w:position w:val="24"/>
              </w:rPr>
              <w:drawing>
                <wp:inline distT="0" distB="0" distL="0" distR="0">
                  <wp:extent cx="4445" cy="5715"/>
                  <wp:effectExtent l="0" t="0" r="0" b="0"/>
                  <wp:docPr id="606" name="IM 606"/>
                  <wp:cNvGraphicFramePr/>
                  <a:graphic xmlns:a="http://schemas.openxmlformats.org/drawingml/2006/main">
                    <a:graphicData uri="http://schemas.openxmlformats.org/drawingml/2006/picture">
                      <pic:pic xmlns:pic="http://schemas.openxmlformats.org/drawingml/2006/picture">
                        <pic:nvPicPr>
                          <pic:cNvPr id="606" name="IM 606"/>
                          <pic:cNvPicPr/>
                        </pic:nvPicPr>
                        <pic:blipFill>
                          <a:blip r:embed="rId75"/>
                          <a:stretch>
                            <a:fillRect/>
                          </a:stretch>
                        </pic:blipFill>
                        <pic:spPr>
                          <a:xfrm>
                            <a:off x="0" y="0"/>
                            <a:ext cx="4948" cy="6096"/>
                          </a:xfrm>
                          <a:prstGeom prst="rect">
                            <a:avLst/>
                          </a:prstGeom>
                        </pic:spPr>
                      </pic:pic>
                    </a:graphicData>
                  </a:graphic>
                </wp:inline>
              </w:drawing>
            </w:r>
            <w:r>
              <w:rPr>
                <w:position w:val="-7"/>
              </w:rPr>
              <w:drawing>
                <wp:inline distT="0" distB="0" distL="0" distR="0">
                  <wp:extent cx="4445" cy="203835"/>
                  <wp:effectExtent l="0" t="0" r="0" b="0"/>
                  <wp:docPr id="608" name="IM 608"/>
                  <wp:cNvGraphicFramePr/>
                  <a:graphic xmlns:a="http://schemas.openxmlformats.org/drawingml/2006/main">
                    <a:graphicData uri="http://schemas.openxmlformats.org/drawingml/2006/picture">
                      <pic:pic xmlns:pic="http://schemas.openxmlformats.org/drawingml/2006/picture">
                        <pic:nvPicPr>
                          <pic:cNvPr id="608" name="IM 608"/>
                          <pic:cNvPicPr/>
                        </pic:nvPicPr>
                        <pic:blipFill>
                          <a:blip r:embed="rId117"/>
                          <a:stretch>
                            <a:fillRect/>
                          </a:stretch>
                        </pic:blipFill>
                        <pic:spPr>
                          <a:xfrm>
                            <a:off x="0" y="0"/>
                            <a:ext cx="4948" cy="204216"/>
                          </a:xfrm>
                          <a:prstGeom prst="rect">
                            <a:avLst/>
                          </a:prstGeom>
                        </pic:spPr>
                      </pic:pic>
                    </a:graphicData>
                  </a:graphic>
                </wp:inline>
              </w:drawing>
            </w:r>
            <w:r>
              <w:rPr>
                <w:spacing w:val="4"/>
              </w:rPr>
              <w:t>股东行使股东权</w:t>
            </w:r>
            <w:r>
              <w:t xml:space="preserve"> </w:t>
            </w:r>
            <w:r>
              <w:rPr>
                <w:spacing w:val="-29"/>
                <w:w w:val="60"/>
              </w:rPr>
              <w:t>利</w:t>
            </w:r>
            <w:r>
              <w:rPr>
                <w:position w:val="-7"/>
              </w:rPr>
              <w:drawing>
                <wp:inline distT="0" distB="0" distL="0" distR="0">
                  <wp:extent cx="5715" cy="203835"/>
                  <wp:effectExtent l="0" t="0" r="0" b="0"/>
                  <wp:docPr id="610" name="IM 610"/>
                  <wp:cNvGraphicFramePr/>
                  <a:graphic xmlns:a="http://schemas.openxmlformats.org/drawingml/2006/main">
                    <a:graphicData uri="http://schemas.openxmlformats.org/drawingml/2006/picture">
                      <pic:pic xmlns:pic="http://schemas.openxmlformats.org/drawingml/2006/picture">
                        <pic:nvPicPr>
                          <pic:cNvPr id="610" name="IM 610"/>
                          <pic:cNvPicPr/>
                        </pic:nvPicPr>
                        <pic:blipFill>
                          <a:blip r:embed="rId76"/>
                          <a:stretch>
                            <a:fillRect/>
                          </a:stretch>
                        </pic:blipFill>
                        <pic:spPr>
                          <a:xfrm>
                            <a:off x="0" y="0"/>
                            <a:ext cx="6101" cy="204216"/>
                          </a:xfrm>
                          <a:prstGeom prst="rect">
                            <a:avLst/>
                          </a:prstGeom>
                        </pic:spPr>
                      </pic:pic>
                    </a:graphicData>
                  </a:graphic>
                </wp:inline>
              </w:drawing>
            </w:r>
            <w:r>
              <w:rPr>
                <w:position w:val="-6"/>
              </w:rPr>
              <w:drawing>
                <wp:inline distT="0" distB="0" distL="0" distR="0">
                  <wp:extent cx="152400" cy="198120"/>
                  <wp:effectExtent l="0" t="0" r="0" b="0"/>
                  <wp:docPr id="612" name="IM 612"/>
                  <wp:cNvGraphicFramePr/>
                  <a:graphic xmlns:a="http://schemas.openxmlformats.org/drawingml/2006/main">
                    <a:graphicData uri="http://schemas.openxmlformats.org/drawingml/2006/picture">
                      <pic:pic xmlns:pic="http://schemas.openxmlformats.org/drawingml/2006/picture">
                        <pic:nvPicPr>
                          <pic:cNvPr id="612" name="IM 612"/>
                          <pic:cNvPicPr/>
                        </pic:nvPicPr>
                        <pic:blipFill>
                          <a:blip r:embed="rId118"/>
                          <a:stretch>
                            <a:fillRect/>
                          </a:stretch>
                        </pic:blipFill>
                        <pic:spPr>
                          <a:xfrm>
                            <a:off x="0" y="0"/>
                            <a:ext cx="152536" cy="198120"/>
                          </a:xfrm>
                          <a:prstGeom prst="rect">
                            <a:avLst/>
                          </a:prstGeom>
                        </pic:spPr>
                      </pic:pic>
                    </a:graphicData>
                  </a:graphic>
                </wp:inline>
              </w:drawing>
            </w:r>
            <w:r>
              <w:rPr>
                <w:spacing w:val="-29"/>
                <w:w w:val="60"/>
                <w:u w:val="single" w:color="auto"/>
              </w:rPr>
              <w:t>；</w:t>
            </w:r>
            <w:r>
              <w:rPr>
                <w:position w:val="-8"/>
              </w:rPr>
              <w:drawing>
                <wp:inline distT="0" distB="0" distL="0" distR="0">
                  <wp:extent cx="12065" cy="210185"/>
                  <wp:effectExtent l="0" t="0" r="0" b="0"/>
                  <wp:docPr id="614" name="IM 614"/>
                  <wp:cNvGraphicFramePr/>
                  <a:graphic xmlns:a="http://schemas.openxmlformats.org/drawingml/2006/main">
                    <a:graphicData uri="http://schemas.openxmlformats.org/drawingml/2006/picture">
                      <pic:pic xmlns:pic="http://schemas.openxmlformats.org/drawingml/2006/picture">
                        <pic:nvPicPr>
                          <pic:cNvPr id="614" name="IM 614"/>
                          <pic:cNvPicPr/>
                        </pic:nvPicPr>
                        <pic:blipFill>
                          <a:blip r:embed="rId119"/>
                          <a:stretch>
                            <a:fillRect/>
                          </a:stretch>
                        </pic:blipFill>
                        <pic:spPr>
                          <a:xfrm>
                            <a:off x="0" y="0"/>
                            <a:ext cx="12202" cy="210311"/>
                          </a:xfrm>
                          <a:prstGeom prst="rect">
                            <a:avLst/>
                          </a:prstGeom>
                        </pic:spPr>
                      </pic:pic>
                    </a:graphicData>
                  </a:graphic>
                </wp:inline>
              </w:drawing>
            </w:r>
            <w:r>
              <w:rPr>
                <w:spacing w:val="24"/>
                <w:u w:val="single" w:color="auto"/>
              </w:rPr>
              <w:t xml:space="preserve">     </w:t>
            </w:r>
            <w:r>
              <w:rPr>
                <w:position w:val="-8"/>
              </w:rPr>
              <w:drawing>
                <wp:inline distT="0" distB="0" distL="0" distR="0">
                  <wp:extent cx="5715" cy="5715"/>
                  <wp:effectExtent l="0" t="0" r="0" b="0"/>
                  <wp:docPr id="616" name="IM 616"/>
                  <wp:cNvGraphicFramePr/>
                  <a:graphic xmlns:a="http://schemas.openxmlformats.org/drawingml/2006/main">
                    <a:graphicData uri="http://schemas.openxmlformats.org/drawingml/2006/picture">
                      <pic:pic xmlns:pic="http://schemas.openxmlformats.org/drawingml/2006/picture">
                        <pic:nvPicPr>
                          <pic:cNvPr id="616" name="IM 616"/>
                          <pic:cNvPicPr/>
                        </pic:nvPicPr>
                        <pic:blipFill>
                          <a:blip r:embed="rId82"/>
                          <a:stretch>
                            <a:fillRect/>
                          </a:stretch>
                        </pic:blipFill>
                        <pic:spPr>
                          <a:xfrm>
                            <a:off x="0" y="0"/>
                            <a:ext cx="6101" cy="6096"/>
                          </a:xfrm>
                          <a:prstGeom prst="rect">
                            <a:avLst/>
                          </a:prstGeom>
                        </pic:spPr>
                      </pic:pic>
                    </a:graphicData>
                  </a:graphic>
                </wp:inline>
              </w:drawing>
            </w:r>
            <w:r>
              <w:t xml:space="preserve">                </w:t>
            </w:r>
            <w:r>
              <w:rPr>
                <w:position w:val="-8"/>
              </w:rPr>
              <w:drawing>
                <wp:inline distT="0" distB="0" distL="0" distR="0">
                  <wp:extent cx="164465" cy="5715"/>
                  <wp:effectExtent l="0" t="0" r="0" b="0"/>
                  <wp:docPr id="618" name="IM 618"/>
                  <wp:cNvGraphicFramePr/>
                  <a:graphic xmlns:a="http://schemas.openxmlformats.org/drawingml/2006/main">
                    <a:graphicData uri="http://schemas.openxmlformats.org/drawingml/2006/picture">
                      <pic:pic xmlns:pic="http://schemas.openxmlformats.org/drawingml/2006/picture">
                        <pic:nvPicPr>
                          <pic:cNvPr id="618" name="IM 618"/>
                          <pic:cNvPicPr/>
                        </pic:nvPicPr>
                        <pic:blipFill>
                          <a:blip r:embed="rId120"/>
                          <a:stretch>
                            <a:fillRect/>
                          </a:stretch>
                        </pic:blipFill>
                        <pic:spPr>
                          <a:xfrm>
                            <a:off x="0" y="0"/>
                            <a:ext cx="164739" cy="6096"/>
                          </a:xfrm>
                          <a:prstGeom prst="rect">
                            <a:avLst/>
                          </a:prstGeom>
                        </pic:spPr>
                      </pic:pic>
                    </a:graphicData>
                  </a:graphic>
                </wp:inline>
              </w:drawing>
            </w:r>
          </w:p>
          <w:p>
            <w:pPr>
              <w:pStyle w:val="8"/>
              <w:ind w:left="503"/>
            </w:pPr>
            <w:r>
              <w:rPr>
                <w:position w:val="-7"/>
              </w:rPr>
              <w:drawing>
                <wp:inline distT="0" distB="0" distL="0" distR="0">
                  <wp:extent cx="4445" cy="203835"/>
                  <wp:effectExtent l="0" t="0" r="0" b="0"/>
                  <wp:docPr id="620" name="IM 620"/>
                  <wp:cNvGraphicFramePr/>
                  <a:graphic xmlns:a="http://schemas.openxmlformats.org/drawingml/2006/main">
                    <a:graphicData uri="http://schemas.openxmlformats.org/drawingml/2006/picture">
                      <pic:pic xmlns:pic="http://schemas.openxmlformats.org/drawingml/2006/picture">
                        <pic:nvPicPr>
                          <pic:cNvPr id="620" name="IM 620"/>
                          <pic:cNvPicPr/>
                        </pic:nvPicPr>
                        <pic:blipFill>
                          <a:blip r:embed="rId76"/>
                          <a:stretch>
                            <a:fillRect/>
                          </a:stretch>
                        </pic:blipFill>
                        <pic:spPr>
                          <a:xfrm>
                            <a:off x="0" y="0"/>
                            <a:ext cx="4876" cy="204469"/>
                          </a:xfrm>
                          <a:prstGeom prst="rect">
                            <a:avLst/>
                          </a:prstGeom>
                        </pic:spPr>
                      </pic:pic>
                    </a:graphicData>
                  </a:graphic>
                </wp:inline>
              </w:drawing>
            </w:r>
            <w:r>
              <w:rPr>
                <w:spacing w:val="-80"/>
                <w:u w:val="single" w:color="auto"/>
                <w:shd w:val="clear" w:fill="D9D9D9"/>
              </w:rPr>
              <w:t xml:space="preserve"> </w:t>
            </w:r>
            <w:r>
              <w:rPr>
                <w:spacing w:val="-10"/>
                <w:u w:val="single" w:color="auto"/>
                <w:shd w:val="clear" w:fill="D9D9D9"/>
              </w:rPr>
              <w:t>（七）</w:t>
            </w:r>
            <w:r>
              <w:rPr>
                <w:spacing w:val="-80"/>
                <w:u w:val="single" w:color="auto"/>
                <w:shd w:val="clear" w:fill="D9D9D9"/>
              </w:rPr>
              <w:t xml:space="preserve"> </w:t>
            </w:r>
            <w:r>
              <w:rPr>
                <w:position w:val="-7"/>
              </w:rPr>
              <w:drawing>
                <wp:inline distT="0" distB="0" distL="0" distR="0">
                  <wp:extent cx="4445" cy="203835"/>
                  <wp:effectExtent l="0" t="0" r="0" b="0"/>
                  <wp:docPr id="622" name="IM 622"/>
                  <wp:cNvGraphicFramePr/>
                  <a:graphic xmlns:a="http://schemas.openxmlformats.org/drawingml/2006/main">
                    <a:graphicData uri="http://schemas.openxmlformats.org/drawingml/2006/picture">
                      <pic:pic xmlns:pic="http://schemas.openxmlformats.org/drawingml/2006/picture">
                        <pic:nvPicPr>
                          <pic:cNvPr id="622" name="IM 622"/>
                          <pic:cNvPicPr/>
                        </pic:nvPicPr>
                        <pic:blipFill>
                          <a:blip r:embed="rId70"/>
                          <a:stretch>
                            <a:fillRect/>
                          </a:stretch>
                        </pic:blipFill>
                        <pic:spPr>
                          <a:xfrm>
                            <a:off x="0" y="0"/>
                            <a:ext cx="4876" cy="204469"/>
                          </a:xfrm>
                          <a:prstGeom prst="rect">
                            <a:avLst/>
                          </a:prstGeom>
                        </pic:spPr>
                      </pic:pic>
                    </a:graphicData>
                  </a:graphic>
                </wp:inline>
              </w:drawing>
            </w:r>
            <w:r>
              <w:rPr>
                <w:position w:val="-7"/>
              </w:rPr>
              <w:drawing>
                <wp:inline distT="0" distB="0" distL="0" distR="0">
                  <wp:extent cx="4445" cy="5715"/>
                  <wp:effectExtent l="0" t="0" r="0" b="0"/>
                  <wp:docPr id="624" name="IM 624"/>
                  <wp:cNvGraphicFramePr/>
                  <a:graphic xmlns:a="http://schemas.openxmlformats.org/drawingml/2006/main">
                    <a:graphicData uri="http://schemas.openxmlformats.org/drawingml/2006/picture">
                      <pic:pic xmlns:pic="http://schemas.openxmlformats.org/drawingml/2006/picture">
                        <pic:nvPicPr>
                          <pic:cNvPr id="624" name="IM 624"/>
                          <pic:cNvPicPr/>
                        </pic:nvPicPr>
                        <pic:blipFill>
                          <a:blip r:embed="rId104"/>
                          <a:stretch>
                            <a:fillRect/>
                          </a:stretch>
                        </pic:blipFill>
                        <pic:spPr>
                          <a:xfrm>
                            <a:off x="0" y="0"/>
                            <a:ext cx="4876" cy="6096"/>
                          </a:xfrm>
                          <a:prstGeom prst="rect">
                            <a:avLst/>
                          </a:prstGeom>
                        </pic:spPr>
                      </pic:pic>
                    </a:graphicData>
                  </a:graphic>
                </wp:inline>
              </w:drawing>
            </w:r>
            <w:r>
              <w:rPr>
                <w:spacing w:val="-108"/>
              </w:rPr>
              <w:t xml:space="preserve"> </w:t>
            </w:r>
            <w:r>
              <w:rPr>
                <w:spacing w:val="-10"/>
              </w:rPr>
              <w:t>撤销有关业务许可</w:t>
            </w:r>
            <w:r>
              <w:rPr>
                <w:position w:val="-7"/>
              </w:rPr>
              <w:drawing>
                <wp:inline distT="0" distB="0" distL="0" distR="0">
                  <wp:extent cx="4445" cy="203835"/>
                  <wp:effectExtent l="0" t="0" r="0" b="0"/>
                  <wp:docPr id="626" name="IM 626"/>
                  <wp:cNvGraphicFramePr/>
                  <a:graphic xmlns:a="http://schemas.openxmlformats.org/drawingml/2006/main">
                    <a:graphicData uri="http://schemas.openxmlformats.org/drawingml/2006/picture">
                      <pic:pic xmlns:pic="http://schemas.openxmlformats.org/drawingml/2006/picture">
                        <pic:nvPicPr>
                          <pic:cNvPr id="626" name="IM 626"/>
                          <pic:cNvPicPr/>
                        </pic:nvPicPr>
                        <pic:blipFill>
                          <a:blip r:embed="rId83"/>
                          <a:stretch>
                            <a:fillRect/>
                          </a:stretch>
                        </pic:blipFill>
                        <pic:spPr>
                          <a:xfrm>
                            <a:off x="0" y="0"/>
                            <a:ext cx="4876" cy="204469"/>
                          </a:xfrm>
                          <a:prstGeom prst="rect">
                            <a:avLst/>
                          </a:prstGeom>
                        </pic:spPr>
                      </pic:pic>
                    </a:graphicData>
                  </a:graphic>
                </wp:inline>
              </w:drawing>
            </w:r>
            <w:r>
              <w:rPr>
                <w:spacing w:val="-94"/>
                <w:u w:val="single" w:color="auto"/>
                <w:shd w:val="clear" w:fill="D9D9D9"/>
              </w:rPr>
              <w:t xml:space="preserve"> </w:t>
            </w:r>
            <w:r>
              <w:rPr>
                <w:spacing w:val="-10"/>
                <w:u w:val="single" w:color="auto"/>
                <w:shd w:val="clear" w:fill="D9D9D9"/>
              </w:rPr>
              <w:t>。</w:t>
            </w:r>
            <w:r>
              <w:rPr>
                <w:position w:val="-7"/>
              </w:rPr>
              <w:drawing>
                <wp:inline distT="0" distB="0" distL="0" distR="0">
                  <wp:extent cx="4445" cy="203835"/>
                  <wp:effectExtent l="0" t="0" r="0" b="0"/>
                  <wp:docPr id="628" name="IM 628"/>
                  <wp:cNvGraphicFramePr/>
                  <a:graphic xmlns:a="http://schemas.openxmlformats.org/drawingml/2006/main">
                    <a:graphicData uri="http://schemas.openxmlformats.org/drawingml/2006/picture">
                      <pic:pic xmlns:pic="http://schemas.openxmlformats.org/drawingml/2006/picture">
                        <pic:nvPicPr>
                          <pic:cNvPr id="628" name="IM 628"/>
                          <pic:cNvPicPr/>
                        </pic:nvPicPr>
                        <pic:blipFill>
                          <a:blip r:embed="rId76"/>
                          <a:stretch>
                            <a:fillRect/>
                          </a:stretch>
                        </pic:blipFill>
                        <pic:spPr>
                          <a:xfrm>
                            <a:off x="0" y="0"/>
                            <a:ext cx="4876" cy="204469"/>
                          </a:xfrm>
                          <a:prstGeom prst="rect">
                            <a:avLst/>
                          </a:prstGeom>
                        </pic:spPr>
                      </pic:pic>
                    </a:graphicData>
                  </a:graphic>
                </wp:inline>
              </w:drawing>
            </w:r>
          </w:p>
          <w:p>
            <w:pPr>
              <w:pStyle w:val="8"/>
              <w:spacing w:before="34" w:line="234" w:lineRule="auto"/>
              <w:ind w:left="34" w:right="48" w:firstLine="486"/>
            </w:pPr>
            <w:r>
              <w:rPr>
                <w:spacing w:val="1"/>
              </w:rPr>
              <w:t>证券公司整改后，应当向国务院证券监督管理机构提交报告。</w:t>
            </w:r>
            <w:r>
              <w:rPr>
                <w:spacing w:val="8"/>
              </w:rPr>
              <w:t xml:space="preserve"> </w:t>
            </w:r>
            <w:r>
              <w:rPr>
                <w:spacing w:val="-3"/>
              </w:rPr>
              <w:t>国务院证券监督管理机构经验收，</w:t>
            </w:r>
            <w:r>
              <w:rPr>
                <w:spacing w:val="-13"/>
              </w:rPr>
              <w:t xml:space="preserve"> </w:t>
            </w:r>
            <w:r>
              <w:rPr>
                <w:position w:val="24"/>
              </w:rPr>
              <w:drawing>
                <wp:inline distT="0" distB="0" distL="0" distR="0">
                  <wp:extent cx="3175" cy="5715"/>
                  <wp:effectExtent l="0" t="0" r="0" b="0"/>
                  <wp:docPr id="630" name="IM 630"/>
                  <wp:cNvGraphicFramePr/>
                  <a:graphic xmlns:a="http://schemas.openxmlformats.org/drawingml/2006/main">
                    <a:graphicData uri="http://schemas.openxmlformats.org/drawingml/2006/picture">
                      <pic:pic xmlns:pic="http://schemas.openxmlformats.org/drawingml/2006/picture">
                        <pic:nvPicPr>
                          <pic:cNvPr id="630" name="IM 630"/>
                          <pic:cNvPicPr/>
                        </pic:nvPicPr>
                        <pic:blipFill>
                          <a:blip r:embed="rId78"/>
                          <a:stretch>
                            <a:fillRect/>
                          </a:stretch>
                        </pic:blipFill>
                        <pic:spPr>
                          <a:xfrm>
                            <a:off x="0" y="0"/>
                            <a:ext cx="3428" cy="6096"/>
                          </a:xfrm>
                          <a:prstGeom prst="rect">
                            <a:avLst/>
                          </a:prstGeom>
                        </pic:spPr>
                      </pic:pic>
                    </a:graphicData>
                  </a:graphic>
                </wp:inline>
              </w:drawing>
            </w:r>
            <w:r>
              <w:rPr>
                <w:position w:val="-7"/>
              </w:rPr>
              <w:drawing>
                <wp:inline distT="0" distB="0" distL="0" distR="0">
                  <wp:extent cx="3175" cy="203835"/>
                  <wp:effectExtent l="0" t="0" r="0" b="0"/>
                  <wp:docPr id="632" name="IM 632"/>
                  <wp:cNvGraphicFramePr/>
                  <a:graphic xmlns:a="http://schemas.openxmlformats.org/drawingml/2006/main">
                    <a:graphicData uri="http://schemas.openxmlformats.org/drawingml/2006/picture">
                      <pic:pic xmlns:pic="http://schemas.openxmlformats.org/drawingml/2006/picture">
                        <pic:nvPicPr>
                          <pic:cNvPr id="632" name="IM 632"/>
                          <pic:cNvPicPr/>
                        </pic:nvPicPr>
                        <pic:blipFill>
                          <a:blip r:embed="rId83"/>
                          <a:stretch>
                            <a:fillRect/>
                          </a:stretch>
                        </pic:blipFill>
                        <pic:spPr>
                          <a:xfrm>
                            <a:off x="0" y="0"/>
                            <a:ext cx="3428" cy="204216"/>
                          </a:xfrm>
                          <a:prstGeom prst="rect">
                            <a:avLst/>
                          </a:prstGeom>
                        </pic:spPr>
                      </pic:pic>
                    </a:graphicData>
                  </a:graphic>
                </wp:inline>
              </w:drawing>
            </w:r>
            <w:r>
              <w:rPr>
                <w:spacing w:val="-3"/>
                <w:u w:val="single" w:color="auto"/>
                <w:shd w:val="clear" w:fill="D9D9D9"/>
              </w:rPr>
              <w:t>符合有关风险控制指标的</w:t>
            </w:r>
            <w:r>
              <w:rPr>
                <w:position w:val="24"/>
              </w:rPr>
              <w:drawing>
                <wp:inline distT="0" distB="0" distL="0" distR="0">
                  <wp:extent cx="3175" cy="5715"/>
                  <wp:effectExtent l="0" t="0" r="0" b="0"/>
                  <wp:docPr id="634" name="IM 634"/>
                  <wp:cNvGraphicFramePr/>
                  <a:graphic xmlns:a="http://schemas.openxmlformats.org/drawingml/2006/main">
                    <a:graphicData uri="http://schemas.openxmlformats.org/drawingml/2006/picture">
                      <pic:pic xmlns:pic="http://schemas.openxmlformats.org/drawingml/2006/picture">
                        <pic:nvPicPr>
                          <pic:cNvPr id="634" name="IM 634"/>
                          <pic:cNvPicPr/>
                        </pic:nvPicPr>
                        <pic:blipFill>
                          <a:blip r:embed="rId82"/>
                          <a:stretch>
                            <a:fillRect/>
                          </a:stretch>
                        </pic:blipFill>
                        <pic:spPr>
                          <a:xfrm>
                            <a:off x="0" y="0"/>
                            <a:ext cx="3429" cy="6096"/>
                          </a:xfrm>
                          <a:prstGeom prst="rect">
                            <a:avLst/>
                          </a:prstGeom>
                        </pic:spPr>
                      </pic:pic>
                    </a:graphicData>
                  </a:graphic>
                </wp:inline>
              </w:drawing>
            </w:r>
            <w:r>
              <w:rPr>
                <w:position w:val="-7"/>
              </w:rPr>
              <w:drawing>
                <wp:inline distT="0" distB="0" distL="0" distR="0">
                  <wp:extent cx="3175" cy="203835"/>
                  <wp:effectExtent l="0" t="0" r="0" b="0"/>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70"/>
                          <a:stretch>
                            <a:fillRect/>
                          </a:stretch>
                        </pic:blipFill>
                        <pic:spPr>
                          <a:xfrm>
                            <a:off x="0" y="0"/>
                            <a:ext cx="3429" cy="204216"/>
                          </a:xfrm>
                          <a:prstGeom prst="rect">
                            <a:avLst/>
                          </a:prstGeom>
                        </pic:spPr>
                      </pic:pic>
                    </a:graphicData>
                  </a:graphic>
                </wp:inline>
              </w:drawing>
            </w:r>
            <w:r>
              <w:rPr>
                <w:spacing w:val="-3"/>
              </w:rPr>
              <w:t>，应当</w:t>
            </w:r>
            <w:r>
              <w:t xml:space="preserve"> </w:t>
            </w:r>
            <w:r>
              <w:rPr>
                <w:spacing w:val="-3"/>
              </w:rPr>
              <w:t>自验收完毕之日起三日内解除对其采取的前款规定的有关措施。</w:t>
            </w:r>
          </w:p>
        </w:tc>
        <w:tc>
          <w:tcPr>
            <w:tcW w:w="68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7100" w:type="dxa"/>
            <w:gridSpan w:val="3"/>
            <w:vAlign w:val="top"/>
          </w:tcPr>
          <w:p>
            <w:pPr>
              <w:pStyle w:val="8"/>
              <w:spacing w:before="45" w:line="232" w:lineRule="auto"/>
              <w:ind w:left="13" w:firstLine="499"/>
              <w:jc w:val="both"/>
            </w:pPr>
            <w:r>
              <w:rPr>
                <w:rFonts w:ascii="黑体" w:hAnsi="黑体" w:eastAsia="黑体" w:cs="黑体"/>
                <w:spacing w:val="3"/>
              </w:rPr>
              <w:t xml:space="preserve">第一百五十一条  </w:t>
            </w:r>
            <w:r>
              <w:rPr>
                <w:spacing w:val="3"/>
              </w:rPr>
              <w:t>证券公司的股东有虚假出资、抽逃出资行为</w:t>
            </w:r>
            <w:r>
              <w:rPr>
                <w:spacing w:val="4"/>
              </w:rPr>
              <w:t xml:space="preserve"> 的，国务院证券监督管理机构应当责令其限期改正，</w:t>
            </w:r>
            <w:r>
              <w:rPr>
                <w:spacing w:val="3"/>
              </w:rPr>
              <w:t>并可责令其转</w:t>
            </w:r>
            <w:r>
              <w:t xml:space="preserve"> </w:t>
            </w:r>
            <w:r>
              <w:rPr>
                <w:spacing w:val="-5"/>
              </w:rPr>
              <w:t>让所持证券公司的股权。</w:t>
            </w:r>
          </w:p>
          <w:p>
            <w:pPr>
              <w:pStyle w:val="8"/>
              <w:spacing w:before="29" w:line="220" w:lineRule="auto"/>
              <w:ind w:left="34" w:firstLine="481"/>
              <w:jc w:val="both"/>
            </w:pPr>
            <w:r>
              <w:rPr>
                <w:spacing w:val="3"/>
              </w:rPr>
              <w:t>在前款规定的股东按照要求改正违法行为、转让所持证券公司</w:t>
            </w:r>
            <w:r>
              <w:rPr>
                <w:spacing w:val="6"/>
              </w:rPr>
              <w:t xml:space="preserve"> </w:t>
            </w:r>
            <w:r>
              <w:rPr>
                <w:spacing w:val="-3"/>
              </w:rPr>
              <w:t>的股权前，国务院证券监督管理机构可以限制其股东权利。</w:t>
            </w:r>
          </w:p>
        </w:tc>
        <w:tc>
          <w:tcPr>
            <w:tcW w:w="6807" w:type="dxa"/>
            <w:vAlign w:val="top"/>
          </w:tcPr>
          <w:p>
            <w:pPr>
              <w:pStyle w:val="8"/>
              <w:spacing w:before="44" w:line="231" w:lineRule="auto"/>
              <w:ind w:left="11" w:right="4" w:firstLine="499"/>
              <w:jc w:val="both"/>
            </w:pPr>
            <w:r>
              <w:rPr>
                <w:rFonts w:ascii="黑体" w:hAnsi="黑体" w:eastAsia="黑体" w:cs="黑体"/>
                <w:spacing w:val="1"/>
              </w:rPr>
              <w:t xml:space="preserve">第一百四十一条  </w:t>
            </w:r>
            <w:r>
              <w:rPr>
                <w:spacing w:val="1"/>
              </w:rPr>
              <w:t>证券公司的股东有虚假出资、抽逃出资行</w:t>
            </w:r>
            <w:r>
              <w:rPr>
                <w:spacing w:val="8"/>
              </w:rPr>
              <w:t xml:space="preserve"> </w:t>
            </w:r>
            <w:r>
              <w:rPr>
                <w:spacing w:val="-3"/>
              </w:rPr>
              <w:t>为的，国务院证券监督管理机构应当责令其限期改正， 并可责令</w:t>
            </w:r>
            <w:r>
              <w:rPr>
                <w:spacing w:val="18"/>
              </w:rPr>
              <w:t xml:space="preserve"> </w:t>
            </w:r>
            <w:r>
              <w:rPr>
                <w:spacing w:val="-5"/>
              </w:rPr>
              <w:t>其转让所持证券公司的股权。</w:t>
            </w:r>
          </w:p>
          <w:p>
            <w:pPr>
              <w:pStyle w:val="8"/>
              <w:spacing w:before="33" w:line="220" w:lineRule="auto"/>
              <w:ind w:left="34" w:right="7" w:firstLine="479"/>
              <w:jc w:val="both"/>
            </w:pPr>
            <w:r>
              <w:rPr>
                <w:spacing w:val="1"/>
              </w:rPr>
              <w:t>在前款规定的股东按照要求改正违法行为、转让所持证券公</w:t>
            </w:r>
            <w:r>
              <w:rPr>
                <w:spacing w:val="3"/>
              </w:rPr>
              <w:t xml:space="preserve"> </w:t>
            </w:r>
            <w:r>
              <w:rPr>
                <w:spacing w:val="-3"/>
              </w:rPr>
              <w:t>司的股权前，国务院证券监督管理机构可以限制其股东权利。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100" w:type="dxa"/>
            <w:gridSpan w:val="3"/>
            <w:vAlign w:val="top"/>
          </w:tcPr>
          <w:p>
            <w:pPr>
              <w:pStyle w:val="8"/>
              <w:spacing w:before="44" w:line="224" w:lineRule="auto"/>
              <w:ind w:left="20" w:right="27" w:firstLine="492"/>
            </w:pPr>
            <w:r>
              <w:rPr>
                <w:rFonts w:ascii="黑体" w:hAnsi="黑体" w:eastAsia="黑体" w:cs="黑体"/>
                <w:spacing w:val="2"/>
              </w:rPr>
              <w:t xml:space="preserve">第一百五十二条  </w:t>
            </w:r>
            <w:r>
              <w:rPr>
                <w:spacing w:val="2"/>
              </w:rPr>
              <w:t>证券公司的董事、监事、高级管理人员未能</w:t>
            </w:r>
            <w:r>
              <w:rPr>
                <w:spacing w:val="6"/>
              </w:rPr>
              <w:t xml:space="preserve"> </w:t>
            </w:r>
            <w:r>
              <w:rPr>
                <w:spacing w:val="2"/>
              </w:rPr>
              <w:t>勤勉尽责，致使证券公司存在重大违法违规行</w:t>
            </w:r>
            <w:r>
              <w:rPr>
                <w:spacing w:val="1"/>
              </w:rPr>
              <w:t>为或者重大风险的，</w:t>
            </w:r>
          </w:p>
        </w:tc>
        <w:tc>
          <w:tcPr>
            <w:tcW w:w="6807" w:type="dxa"/>
            <w:vAlign w:val="top"/>
          </w:tcPr>
          <w:p>
            <w:pPr>
              <w:pStyle w:val="8"/>
              <w:spacing w:before="44" w:line="224" w:lineRule="auto"/>
              <w:ind w:left="32" w:right="4" w:firstLine="478"/>
            </w:pPr>
            <w:r>
              <w:rPr>
                <w:rFonts w:ascii="黑体" w:hAnsi="黑体" w:eastAsia="黑体" w:cs="黑体"/>
                <w:spacing w:val="1"/>
              </w:rPr>
              <w:t xml:space="preserve">第一百四十二条  </w:t>
            </w:r>
            <w:r>
              <w:rPr>
                <w:spacing w:val="1"/>
              </w:rPr>
              <w:t>证券公司的董事、监事、高级管理人员未</w:t>
            </w:r>
            <w:r>
              <w:rPr>
                <w:spacing w:val="8"/>
              </w:rPr>
              <w:t xml:space="preserve"> </w:t>
            </w:r>
            <w:r>
              <w:rPr>
                <w:spacing w:val="-3"/>
              </w:rPr>
              <w:t>能勤勉尽责， 致使证券公司存在重大违法违规行为或者重大</w:t>
            </w:r>
            <w:r>
              <w:rPr>
                <w:spacing w:val="-4"/>
              </w:rPr>
              <w:t>风险</w:t>
            </w:r>
          </w:p>
        </w:tc>
      </w:tr>
    </w:tbl>
    <w:p>
      <w:pPr>
        <w:rPr>
          <w:rFonts w:ascii="Arial"/>
          <w:sz w:val="21"/>
        </w:rPr>
      </w:pPr>
    </w:p>
    <w:p>
      <w:pPr>
        <w:rPr>
          <w:rFonts w:ascii="Arial" w:hAnsi="Arial" w:eastAsia="Arial" w:cs="Arial"/>
          <w:sz w:val="21"/>
          <w:szCs w:val="21"/>
        </w:rPr>
        <w:sectPr>
          <w:footerReference r:id="rId43"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7"/>
        <w:gridCol w:w="2199"/>
        <w:gridCol w:w="1714"/>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3187" w:type="dxa"/>
            <w:vMerge w:val="restart"/>
            <w:tcBorders>
              <w:bottom w:val="nil"/>
              <w:right w:val="nil"/>
            </w:tcBorders>
            <w:vAlign w:val="top"/>
          </w:tcPr>
          <w:p>
            <w:pPr>
              <w:pStyle w:val="8"/>
              <w:spacing w:before="53" w:line="229" w:lineRule="auto"/>
              <w:ind w:left="13" w:right="12" w:firstLine="20"/>
            </w:pPr>
            <w:r>
              <w:t>国务院证券监督管理机构可以</w:t>
            </w:r>
            <w:r>
              <w:rPr>
                <w:spacing w:val="9"/>
              </w:rPr>
              <w:t xml:space="preserve"> </w:t>
            </w:r>
            <w:r>
              <w:rPr>
                <w:spacing w:val="-15"/>
              </w:rPr>
              <w:t>换。</w:t>
            </w:r>
          </w:p>
        </w:tc>
        <w:tc>
          <w:tcPr>
            <w:tcW w:w="2199" w:type="dxa"/>
            <w:tcBorders>
              <w:left w:val="single" w:color="000000" w:sz="2" w:space="0"/>
              <w:bottom w:val="single" w:color="000000" w:sz="2" w:space="0"/>
              <w:right w:val="single" w:color="000000" w:sz="2" w:space="0"/>
            </w:tcBorders>
            <w:shd w:val="clear" w:color="auto" w:fill="D9D9D9"/>
            <w:vAlign w:val="top"/>
          </w:tcPr>
          <w:p>
            <w:pPr>
              <w:pStyle w:val="8"/>
              <w:spacing w:before="53" w:line="207" w:lineRule="auto"/>
              <w:ind w:left="10"/>
            </w:pPr>
            <w:r>
              <w:t>撤销其任职资格，并</w:t>
            </w:r>
          </w:p>
        </w:tc>
        <w:tc>
          <w:tcPr>
            <w:tcW w:w="1714" w:type="dxa"/>
            <w:vMerge w:val="restart"/>
            <w:tcBorders>
              <w:left w:val="nil"/>
              <w:bottom w:val="nil"/>
            </w:tcBorders>
            <w:vAlign w:val="top"/>
          </w:tcPr>
          <w:p>
            <w:pPr>
              <w:pStyle w:val="8"/>
              <w:spacing w:before="53" w:line="218" w:lineRule="auto"/>
              <w:ind w:left="16"/>
            </w:pPr>
            <w:r>
              <w:t>责令公司予以更</w:t>
            </w:r>
          </w:p>
        </w:tc>
        <w:tc>
          <w:tcPr>
            <w:tcW w:w="6807" w:type="dxa"/>
            <w:vMerge w:val="restart"/>
            <w:tcBorders>
              <w:bottom w:val="nil"/>
            </w:tcBorders>
            <w:vAlign w:val="top"/>
          </w:tcPr>
          <w:p>
            <w:pPr>
              <w:pStyle w:val="8"/>
              <w:spacing w:before="40" w:line="221" w:lineRule="auto"/>
              <w:ind w:left="32"/>
            </w:pPr>
            <w:r>
              <w:rPr>
                <w:spacing w:val="-3"/>
              </w:rPr>
              <w:t>的，国务院证券监督管理机构可以责令</w:t>
            </w:r>
            <w:r>
              <w:rPr>
                <w:rFonts w:ascii="黑体" w:hAnsi="黑体" w:eastAsia="黑体" w:cs="黑体"/>
                <w:spacing w:val="-3"/>
              </w:rPr>
              <w:t>证券</w:t>
            </w:r>
            <w:r>
              <w:rPr>
                <w:spacing w:val="-3"/>
              </w:rPr>
              <w:t>公司予以更换。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187" w:type="dxa"/>
            <w:vMerge w:val="continue"/>
            <w:tcBorders>
              <w:top w:val="nil"/>
              <w:right w:val="nil"/>
            </w:tcBorders>
            <w:vAlign w:val="top"/>
          </w:tcPr>
          <w:p>
            <w:pPr>
              <w:rPr>
                <w:rFonts w:ascii="Arial"/>
                <w:sz w:val="21"/>
              </w:rPr>
            </w:pPr>
          </w:p>
        </w:tc>
        <w:tc>
          <w:tcPr>
            <w:tcW w:w="2199" w:type="dxa"/>
            <w:tcBorders>
              <w:top w:val="single" w:color="000000" w:sz="2" w:space="0"/>
              <w:left w:val="nil"/>
              <w:right w:val="nil"/>
            </w:tcBorders>
            <w:vAlign w:val="top"/>
          </w:tcPr>
          <w:p>
            <w:pPr>
              <w:rPr>
                <w:rFonts w:ascii="Arial"/>
                <w:sz w:val="21"/>
              </w:rPr>
            </w:pPr>
          </w:p>
        </w:tc>
        <w:tc>
          <w:tcPr>
            <w:tcW w:w="1714" w:type="dxa"/>
            <w:vMerge w:val="continue"/>
            <w:tcBorders>
              <w:top w:val="nil"/>
              <w:left w:val="nil"/>
            </w:tcBorders>
            <w:vAlign w:val="top"/>
          </w:tcPr>
          <w:p>
            <w:pPr>
              <w:rPr>
                <w:rFonts w:ascii="Arial"/>
                <w:sz w:val="21"/>
              </w:rPr>
            </w:pPr>
          </w:p>
        </w:tc>
        <w:tc>
          <w:tcPr>
            <w:tcW w:w="68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7100" w:type="dxa"/>
            <w:gridSpan w:val="3"/>
            <w:vAlign w:val="top"/>
          </w:tcPr>
          <w:p>
            <w:pPr>
              <w:pStyle w:val="8"/>
              <w:spacing w:before="31" w:line="232" w:lineRule="auto"/>
              <w:ind w:left="13" w:firstLine="499"/>
              <w:jc w:val="both"/>
            </w:pPr>
            <w:r>
              <w:rPr>
                <w:rFonts w:ascii="黑体" w:hAnsi="黑体" w:eastAsia="黑体" w:cs="黑体"/>
                <w:spacing w:val="3"/>
              </w:rPr>
              <w:t xml:space="preserve">第一百五十三条  </w:t>
            </w:r>
            <w:r>
              <w:rPr>
                <w:spacing w:val="3"/>
              </w:rPr>
              <w:t>证券公司违法经营或者出现重大风险，严重</w:t>
            </w:r>
            <w:r>
              <w:rPr>
                <w:spacing w:val="4"/>
              </w:rPr>
              <w:t xml:space="preserve"> 危害证券市场秩序、损害投资者利益的，国务院证券</w:t>
            </w:r>
            <w:r>
              <w:rPr>
                <w:spacing w:val="3"/>
              </w:rPr>
              <w:t>监督管理机构</w:t>
            </w:r>
            <w:r>
              <w:t xml:space="preserve"> </w:t>
            </w:r>
            <w:r>
              <w:rPr>
                <w:spacing w:val="4"/>
              </w:rPr>
              <w:t>可以对该证券公司采取责令停业整顿、指定其他机构</w:t>
            </w:r>
            <w:r>
              <w:rPr>
                <w:spacing w:val="3"/>
              </w:rPr>
              <w:t>托管、接管或</w:t>
            </w:r>
            <w:r>
              <w:t xml:space="preserve"> </w:t>
            </w:r>
            <w:r>
              <w:rPr>
                <w:spacing w:val="-6"/>
              </w:rPr>
              <w:t>者撤销等监管措施。</w:t>
            </w:r>
          </w:p>
        </w:tc>
        <w:tc>
          <w:tcPr>
            <w:tcW w:w="6807" w:type="dxa"/>
            <w:vAlign w:val="top"/>
          </w:tcPr>
          <w:p>
            <w:pPr>
              <w:pStyle w:val="8"/>
              <w:spacing w:before="31" w:line="232" w:lineRule="auto"/>
              <w:ind w:left="9" w:right="4" w:firstLine="501"/>
            </w:pPr>
            <w:r>
              <w:rPr>
                <w:rFonts w:ascii="黑体" w:hAnsi="黑体" w:eastAsia="黑体" w:cs="黑体"/>
                <w:spacing w:val="-3"/>
              </w:rPr>
              <w:t xml:space="preserve">第一百四十三条  </w:t>
            </w:r>
            <w:r>
              <w:rPr>
                <w:spacing w:val="-3"/>
              </w:rPr>
              <w:t>证券公司违法经营或者出现重大风险， 严</w:t>
            </w:r>
            <w:r>
              <w:t xml:space="preserve"> </w:t>
            </w:r>
            <w:r>
              <w:rPr>
                <w:spacing w:val="2"/>
              </w:rPr>
              <w:t>重危害证券市场秩序、损害投资者利益的，国务院证券监</w:t>
            </w:r>
            <w:r>
              <w:rPr>
                <w:spacing w:val="1"/>
              </w:rPr>
              <w:t>督管理</w:t>
            </w:r>
            <w:r>
              <w:t xml:space="preserve"> 机构可以对该证券公司采取责令停业整顿、指定其他机构托管、</w:t>
            </w:r>
            <w:r>
              <w:rPr>
                <w:spacing w:val="9"/>
              </w:rPr>
              <w:t xml:space="preserve"> </w:t>
            </w:r>
            <w:r>
              <w:rPr>
                <w:spacing w:val="-5"/>
              </w:rPr>
              <w:t>接管或者撤销等监管措施。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0" w:hRule="atLeast"/>
        </w:trPr>
        <w:tc>
          <w:tcPr>
            <w:tcW w:w="7100" w:type="dxa"/>
            <w:gridSpan w:val="3"/>
            <w:vAlign w:val="top"/>
          </w:tcPr>
          <w:p>
            <w:pPr>
              <w:pStyle w:val="8"/>
              <w:spacing w:before="31" w:line="234" w:lineRule="auto"/>
              <w:ind w:left="14" w:firstLine="498"/>
            </w:pPr>
            <w:r>
              <w:rPr>
                <w:rFonts w:ascii="黑体" w:hAnsi="黑体" w:eastAsia="黑体" w:cs="黑体"/>
                <w:spacing w:val="3"/>
              </w:rPr>
              <w:t xml:space="preserve">第一百五十四条  </w:t>
            </w:r>
            <w:r>
              <w:rPr>
                <w:spacing w:val="3"/>
              </w:rPr>
              <w:t>在证券公司被责令停业整顿、被依法指定托</w:t>
            </w:r>
            <w:r>
              <w:rPr>
                <w:spacing w:val="4"/>
              </w:rPr>
              <w:t xml:space="preserve"> </w:t>
            </w:r>
            <w:r>
              <w:rPr>
                <w:spacing w:val="-4"/>
              </w:rPr>
              <w:t>管、接管或者清算期间， 或者出现重大风险时， 经</w:t>
            </w:r>
            <w:r>
              <w:rPr>
                <w:spacing w:val="-5"/>
              </w:rPr>
              <w:t>国务院证券监督</w:t>
            </w:r>
            <w:r>
              <w:t xml:space="preserve"> 管理机构批准， 可以对该证券公司直接负</w:t>
            </w:r>
            <w:r>
              <w:rPr>
                <w:spacing w:val="-1"/>
              </w:rPr>
              <w:t>责的董事、监事、高级管</w:t>
            </w:r>
            <w:r>
              <w:t xml:space="preserve"> </w:t>
            </w:r>
            <w:r>
              <w:rPr>
                <w:spacing w:val="-4"/>
              </w:rPr>
              <w:t>理人员和其他直接责任人员采取以下措施：</w:t>
            </w:r>
          </w:p>
          <w:p>
            <w:pPr>
              <w:pStyle w:val="8"/>
              <w:spacing w:before="28" w:line="218" w:lineRule="auto"/>
              <w:ind w:left="503"/>
            </w:pPr>
            <w:r>
              <w:rPr>
                <w:spacing w:val="-4"/>
              </w:rPr>
              <w:t>（一）通知出境管理机关依法阻止其出境；</w:t>
            </w:r>
          </w:p>
          <w:p>
            <w:pPr>
              <w:pStyle w:val="8"/>
              <w:spacing w:before="27" w:line="224" w:lineRule="auto"/>
              <w:ind w:left="13" w:right="15" w:firstLine="490"/>
            </w:pPr>
            <w:r>
              <w:rPr>
                <w:spacing w:val="3"/>
              </w:rPr>
              <w:t xml:space="preserve">（二）申请司法机关禁止其转移、转让或者以其他方式处分财 </w:t>
            </w:r>
            <w:r>
              <w:rPr>
                <w:spacing w:val="-1"/>
              </w:rPr>
              <w:t>产，或者在财产上设定其他权利。</w:t>
            </w:r>
          </w:p>
        </w:tc>
        <w:tc>
          <w:tcPr>
            <w:tcW w:w="6807" w:type="dxa"/>
            <w:vAlign w:val="top"/>
          </w:tcPr>
          <w:p>
            <w:pPr>
              <w:pStyle w:val="8"/>
              <w:spacing w:before="31" w:line="234" w:lineRule="auto"/>
              <w:ind w:left="9" w:right="4" w:firstLine="501"/>
            </w:pPr>
            <w:r>
              <w:rPr>
                <w:rFonts w:ascii="黑体" w:hAnsi="黑体" w:eastAsia="黑体" w:cs="黑体"/>
                <w:spacing w:val="1"/>
              </w:rPr>
              <w:t xml:space="preserve">第一百四十四条  </w:t>
            </w:r>
            <w:r>
              <w:rPr>
                <w:spacing w:val="1"/>
              </w:rPr>
              <w:t>在证券公司被责令停业整顿、被依法指定</w:t>
            </w:r>
            <w:r>
              <w:rPr>
                <w:spacing w:val="8"/>
              </w:rPr>
              <w:t xml:space="preserve"> </w:t>
            </w:r>
            <w:r>
              <w:rPr>
                <w:spacing w:val="-6"/>
              </w:rPr>
              <w:t>托管、接管或者清算期间， 或者出现重大风险时，</w:t>
            </w:r>
            <w:r>
              <w:rPr>
                <w:spacing w:val="-7"/>
              </w:rPr>
              <w:t xml:space="preserve"> 经国务院证券</w:t>
            </w:r>
            <w:r>
              <w:t xml:space="preserve"> 监督管理机构批准，可以对该证券公司直接负责的董事、监事、</w:t>
            </w:r>
            <w:r>
              <w:rPr>
                <w:spacing w:val="9"/>
              </w:rPr>
              <w:t xml:space="preserve"> </w:t>
            </w:r>
            <w:r>
              <w:rPr>
                <w:spacing w:val="-4"/>
              </w:rPr>
              <w:t>高级管理人员和其他直接责任人员采取以下措施：</w:t>
            </w:r>
          </w:p>
          <w:p>
            <w:pPr>
              <w:pStyle w:val="8"/>
              <w:spacing w:before="28" w:line="221" w:lineRule="auto"/>
              <w:ind w:left="501"/>
            </w:pPr>
            <w:r>
              <w:rPr>
                <w:spacing w:val="-3"/>
              </w:rPr>
              <w:t>（一）通知出境</w:t>
            </w:r>
            <w:r>
              <w:rPr>
                <w:rFonts w:ascii="黑体" w:hAnsi="黑体" w:eastAsia="黑体" w:cs="黑体"/>
                <w:spacing w:val="-3"/>
              </w:rPr>
              <w:t>入境</w:t>
            </w:r>
            <w:r>
              <w:rPr>
                <w:spacing w:val="-3"/>
              </w:rPr>
              <w:t>管理机关依法阻止其出境；</w:t>
            </w:r>
          </w:p>
          <w:p>
            <w:pPr>
              <w:pStyle w:val="8"/>
              <w:spacing w:before="21" w:line="225" w:lineRule="auto"/>
              <w:ind w:left="14" w:right="16" w:firstLine="486"/>
            </w:pPr>
            <w:r>
              <w:rPr>
                <w:spacing w:val="1"/>
              </w:rPr>
              <w:t>（二）申请司法机关禁止其转移、转让或者以其他方式处分</w:t>
            </w:r>
            <w:r>
              <w:rPr>
                <w:spacing w:val="6"/>
              </w:rPr>
              <w:t xml:space="preserve"> </w:t>
            </w:r>
            <w:r>
              <w:rPr>
                <w:spacing w:val="-4"/>
              </w:rPr>
              <w:t>财产，或者在财产上设定其他权利。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100" w:type="dxa"/>
            <w:gridSpan w:val="3"/>
            <w:vAlign w:val="top"/>
          </w:tcPr>
          <w:p>
            <w:pPr>
              <w:spacing w:before="34" w:line="222" w:lineRule="auto"/>
              <w:ind w:left="2111"/>
              <w:rPr>
                <w:rFonts w:ascii="黑体" w:hAnsi="黑体" w:eastAsia="黑体" w:cs="黑体"/>
                <w:sz w:val="24"/>
                <w:szCs w:val="24"/>
              </w:rPr>
            </w:pPr>
            <w:r>
              <w:rPr>
                <w:rFonts w:ascii="黑体" w:hAnsi="黑体" w:eastAsia="黑体" w:cs="黑体"/>
                <w:spacing w:val="-1"/>
                <w:sz w:val="24"/>
                <w:szCs w:val="24"/>
              </w:rPr>
              <w:t>第七章  证券登记结算机构</w:t>
            </w:r>
          </w:p>
        </w:tc>
        <w:tc>
          <w:tcPr>
            <w:tcW w:w="6807" w:type="dxa"/>
            <w:vAlign w:val="top"/>
          </w:tcPr>
          <w:p>
            <w:pPr>
              <w:spacing w:before="34" w:line="222" w:lineRule="auto"/>
              <w:ind w:left="1962"/>
              <w:rPr>
                <w:rFonts w:ascii="黑体" w:hAnsi="黑体" w:eastAsia="黑体" w:cs="黑体"/>
                <w:sz w:val="24"/>
                <w:szCs w:val="24"/>
              </w:rPr>
            </w:pPr>
            <w:r>
              <w:rPr>
                <w:rFonts w:ascii="黑体" w:hAnsi="黑体" w:eastAsia="黑体" w:cs="黑体"/>
                <w:spacing w:val="-1"/>
                <w:sz w:val="24"/>
                <w:szCs w:val="24"/>
              </w:rPr>
              <w:t>第九章  证券登记结算机构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7100" w:type="dxa"/>
            <w:gridSpan w:val="3"/>
            <w:vAlign w:val="top"/>
          </w:tcPr>
          <w:p>
            <w:pPr>
              <w:pStyle w:val="8"/>
              <w:spacing w:before="10" w:line="244" w:lineRule="auto"/>
              <w:ind w:left="19" w:right="4" w:firstLine="493"/>
            </w:pPr>
            <w:r>
              <w:rPr>
                <w:rFonts w:ascii="黑体" w:hAnsi="黑体" w:eastAsia="黑体" w:cs="黑体"/>
                <w:spacing w:val="1"/>
                <w:position w:val="7"/>
              </w:rPr>
              <w:t xml:space="preserve">第一百五十五条  </w:t>
            </w:r>
            <w:r>
              <w:rPr>
                <w:spacing w:val="1"/>
                <w:position w:val="7"/>
              </w:rPr>
              <w:t>证券登记结算机</w:t>
            </w:r>
            <w:r>
              <w:rPr>
                <w:spacing w:val="1"/>
                <w:position w:val="7"/>
                <w:u w:val="single" w:color="auto"/>
              </w:rPr>
              <w:t>构</w:t>
            </w:r>
            <w:r>
              <w:drawing>
                <wp:inline distT="0" distB="0" distL="0" distR="0">
                  <wp:extent cx="3810" cy="203835"/>
                  <wp:effectExtent l="0" t="0" r="0" b="0"/>
                  <wp:docPr id="638" name="IM 638"/>
                  <wp:cNvGraphicFramePr/>
                  <a:graphic xmlns:a="http://schemas.openxmlformats.org/drawingml/2006/main">
                    <a:graphicData uri="http://schemas.openxmlformats.org/drawingml/2006/picture">
                      <pic:pic xmlns:pic="http://schemas.openxmlformats.org/drawingml/2006/picture">
                        <pic:nvPicPr>
                          <pic:cNvPr id="638" name="IM 638"/>
                          <pic:cNvPicPr/>
                        </pic:nvPicPr>
                        <pic:blipFill>
                          <a:blip r:embed="rId83"/>
                          <a:stretch>
                            <a:fillRect/>
                          </a:stretch>
                        </pic:blipFill>
                        <pic:spPr>
                          <a:xfrm>
                            <a:off x="0" y="0"/>
                            <a:ext cx="3943" cy="204469"/>
                          </a:xfrm>
                          <a:prstGeom prst="rect">
                            <a:avLst/>
                          </a:prstGeom>
                        </pic:spPr>
                      </pic:pic>
                    </a:graphicData>
                  </a:graphic>
                </wp:inline>
              </w:drawing>
            </w:r>
            <w:r>
              <w:drawing>
                <wp:inline distT="0" distB="0" distL="0" distR="0">
                  <wp:extent cx="3810" cy="5715"/>
                  <wp:effectExtent l="0" t="0" r="0" b="0"/>
                  <wp:docPr id="640" name="IM 640"/>
                  <wp:cNvGraphicFramePr/>
                  <a:graphic xmlns:a="http://schemas.openxmlformats.org/drawingml/2006/main">
                    <a:graphicData uri="http://schemas.openxmlformats.org/drawingml/2006/picture">
                      <pic:pic xmlns:pic="http://schemas.openxmlformats.org/drawingml/2006/picture">
                        <pic:nvPicPr>
                          <pic:cNvPr id="640" name="IM 640"/>
                          <pic:cNvPicPr/>
                        </pic:nvPicPr>
                        <pic:blipFill>
                          <a:blip r:embed="rId99"/>
                          <a:stretch>
                            <a:fillRect/>
                          </a:stretch>
                        </pic:blipFill>
                        <pic:spPr>
                          <a:xfrm>
                            <a:off x="0" y="0"/>
                            <a:ext cx="3943" cy="6096"/>
                          </a:xfrm>
                          <a:prstGeom prst="rect">
                            <a:avLst/>
                          </a:prstGeom>
                        </pic:spPr>
                      </pic:pic>
                    </a:graphicData>
                  </a:graphic>
                </wp:inline>
              </w:drawing>
            </w:r>
            <w:r>
              <w:rPr>
                <w:spacing w:val="-104"/>
                <w:position w:val="7"/>
                <w:u w:val="single" w:color="auto"/>
                <w:shd w:val="clear" w:fill="D9D9D9"/>
              </w:rPr>
              <w:t xml:space="preserve"> </w:t>
            </w:r>
            <w:r>
              <w:rPr>
                <w:spacing w:val="1"/>
                <w:position w:val="7"/>
                <w:u w:val="single" w:color="auto"/>
                <w:shd w:val="clear" w:fill="D9D9D9"/>
              </w:rPr>
              <w:t>是</w:t>
            </w:r>
            <w:r>
              <w:drawing>
                <wp:inline distT="0" distB="0" distL="0" distR="0">
                  <wp:extent cx="3810" cy="203835"/>
                  <wp:effectExtent l="0" t="0" r="0" b="0"/>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76"/>
                          <a:stretch>
                            <a:fillRect/>
                          </a:stretch>
                        </pic:blipFill>
                        <pic:spPr>
                          <a:xfrm>
                            <a:off x="0" y="0"/>
                            <a:ext cx="3943" cy="204469"/>
                          </a:xfrm>
                          <a:prstGeom prst="rect">
                            <a:avLst/>
                          </a:prstGeom>
                        </pic:spPr>
                      </pic:pic>
                    </a:graphicData>
                  </a:graphic>
                </wp:inline>
              </w:drawing>
            </w:r>
            <w:r>
              <w:drawing>
                <wp:inline distT="0" distB="0" distL="0" distR="0">
                  <wp:extent cx="3810" cy="5715"/>
                  <wp:effectExtent l="0" t="0" r="0" b="0"/>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95"/>
                          <a:stretch>
                            <a:fillRect/>
                          </a:stretch>
                        </pic:blipFill>
                        <pic:spPr>
                          <a:xfrm>
                            <a:off x="0" y="0"/>
                            <a:ext cx="3943" cy="6096"/>
                          </a:xfrm>
                          <a:prstGeom prst="rect">
                            <a:avLst/>
                          </a:prstGeom>
                        </pic:spPr>
                      </pic:pic>
                    </a:graphicData>
                  </a:graphic>
                </wp:inline>
              </w:drawing>
            </w:r>
            <w:r>
              <w:rPr>
                <w:spacing w:val="-103"/>
                <w:position w:val="7"/>
                <w:u w:val="single" w:color="auto"/>
              </w:rPr>
              <w:t xml:space="preserve"> </w:t>
            </w:r>
            <w:r>
              <w:rPr>
                <w:spacing w:val="1"/>
                <w:position w:val="7"/>
                <w:u w:val="single" w:color="auto"/>
              </w:rPr>
              <w:t>为</w:t>
            </w:r>
            <w:r>
              <w:rPr>
                <w:spacing w:val="1"/>
                <w:position w:val="7"/>
              </w:rPr>
              <w:t>证券交易提供集中登</w:t>
            </w:r>
            <w:r>
              <w:rPr>
                <w:position w:val="7"/>
              </w:rPr>
              <w:t xml:space="preserve"> </w:t>
            </w:r>
            <w:r>
              <w:rPr>
                <w:spacing w:val="-3"/>
              </w:rPr>
              <w:t>记、存管与结算服务，不以营利为目的</w:t>
            </w:r>
            <w:r>
              <w:rPr>
                <w:position w:val="-7"/>
              </w:rPr>
              <w:drawing>
                <wp:inline distT="0" distB="0" distL="0" distR="0">
                  <wp:extent cx="3810" cy="203835"/>
                  <wp:effectExtent l="0" t="0" r="0" b="0"/>
                  <wp:docPr id="646" name="IM 646"/>
                  <wp:cNvGraphicFramePr/>
                  <a:graphic xmlns:a="http://schemas.openxmlformats.org/drawingml/2006/main">
                    <a:graphicData uri="http://schemas.openxmlformats.org/drawingml/2006/picture">
                      <pic:pic xmlns:pic="http://schemas.openxmlformats.org/drawingml/2006/picture">
                        <pic:nvPicPr>
                          <pic:cNvPr id="646" name="IM 646"/>
                          <pic:cNvPicPr/>
                        </pic:nvPicPr>
                        <pic:blipFill>
                          <a:blip r:embed="rId76"/>
                          <a:stretch>
                            <a:fillRect/>
                          </a:stretch>
                        </pic:blipFill>
                        <pic:spPr>
                          <a:xfrm>
                            <a:off x="0" y="0"/>
                            <a:ext cx="4275" cy="204215"/>
                          </a:xfrm>
                          <a:prstGeom prst="rect">
                            <a:avLst/>
                          </a:prstGeom>
                        </pic:spPr>
                      </pic:pic>
                    </a:graphicData>
                  </a:graphic>
                </wp:inline>
              </w:drawing>
            </w:r>
            <w:r>
              <w:rPr>
                <w:position w:val="-7"/>
              </w:rPr>
              <w:drawing>
                <wp:inline distT="0" distB="0" distL="0" distR="0">
                  <wp:extent cx="3810" cy="5715"/>
                  <wp:effectExtent l="0" t="0" r="0" b="0"/>
                  <wp:docPr id="648" name="IM 648"/>
                  <wp:cNvGraphicFramePr/>
                  <a:graphic xmlns:a="http://schemas.openxmlformats.org/drawingml/2006/main">
                    <a:graphicData uri="http://schemas.openxmlformats.org/drawingml/2006/picture">
                      <pic:pic xmlns:pic="http://schemas.openxmlformats.org/drawingml/2006/picture">
                        <pic:nvPicPr>
                          <pic:cNvPr id="648" name="IM 648"/>
                          <pic:cNvPicPr/>
                        </pic:nvPicPr>
                        <pic:blipFill>
                          <a:blip r:embed="rId74"/>
                          <a:stretch>
                            <a:fillRect/>
                          </a:stretch>
                        </pic:blipFill>
                        <pic:spPr>
                          <a:xfrm>
                            <a:off x="0" y="0"/>
                            <a:ext cx="4275" cy="6096"/>
                          </a:xfrm>
                          <a:prstGeom prst="rect">
                            <a:avLst/>
                          </a:prstGeom>
                        </pic:spPr>
                      </pic:pic>
                    </a:graphicData>
                  </a:graphic>
                </wp:inline>
              </w:drawing>
            </w:r>
            <w:r>
              <w:rPr>
                <w:spacing w:val="-74"/>
                <w:u w:val="single" w:color="auto"/>
                <w:shd w:val="clear" w:fill="D9D9D9"/>
              </w:rPr>
              <w:t xml:space="preserve"> </w:t>
            </w:r>
            <w:r>
              <w:rPr>
                <w:spacing w:val="-3"/>
                <w:u w:val="single" w:color="auto"/>
                <w:shd w:val="clear" w:fill="D9D9D9"/>
              </w:rPr>
              <w:t>的法人</w:t>
            </w:r>
            <w:r>
              <w:rPr>
                <w:position w:val="-7"/>
              </w:rPr>
              <w:drawing>
                <wp:inline distT="0" distB="0" distL="0" distR="0">
                  <wp:extent cx="3810" cy="203835"/>
                  <wp:effectExtent l="0" t="0" r="0" b="0"/>
                  <wp:docPr id="650" name="IM 650"/>
                  <wp:cNvGraphicFramePr/>
                  <a:graphic xmlns:a="http://schemas.openxmlformats.org/drawingml/2006/main">
                    <a:graphicData uri="http://schemas.openxmlformats.org/drawingml/2006/picture">
                      <pic:pic xmlns:pic="http://schemas.openxmlformats.org/drawingml/2006/picture">
                        <pic:nvPicPr>
                          <pic:cNvPr id="650" name="IM 650"/>
                          <pic:cNvPicPr/>
                        </pic:nvPicPr>
                        <pic:blipFill>
                          <a:blip r:embed="rId70"/>
                          <a:stretch>
                            <a:fillRect/>
                          </a:stretch>
                        </pic:blipFill>
                        <pic:spPr>
                          <a:xfrm>
                            <a:off x="0" y="0"/>
                            <a:ext cx="4275" cy="204215"/>
                          </a:xfrm>
                          <a:prstGeom prst="rect">
                            <a:avLst/>
                          </a:prstGeom>
                        </pic:spPr>
                      </pic:pic>
                    </a:graphicData>
                  </a:graphic>
                </wp:inline>
              </w:drawing>
            </w:r>
            <w:r>
              <w:rPr>
                <w:spacing w:val="-3"/>
              </w:rPr>
              <w:t>。</w:t>
            </w:r>
          </w:p>
          <w:p>
            <w:pPr>
              <w:pStyle w:val="8"/>
              <w:spacing w:before="34" w:line="217" w:lineRule="auto"/>
              <w:ind w:left="513"/>
            </w:pPr>
            <w:r>
              <w:rPr>
                <w:spacing w:val="-2"/>
              </w:rPr>
              <w:t>设立证券登记结算机构必须经国务院证券监督管理机构</w:t>
            </w:r>
            <w:r>
              <w:rPr>
                <w:spacing w:val="-3"/>
              </w:rPr>
              <w:t>批准。</w:t>
            </w:r>
          </w:p>
        </w:tc>
        <w:tc>
          <w:tcPr>
            <w:tcW w:w="6807" w:type="dxa"/>
            <w:vAlign w:val="top"/>
          </w:tcPr>
          <w:p>
            <w:pPr>
              <w:pStyle w:val="8"/>
              <w:spacing w:before="37" w:line="234" w:lineRule="auto"/>
              <w:ind w:left="11" w:right="4" w:firstLine="499"/>
              <w:jc w:val="both"/>
              <w:rPr>
                <w:rFonts w:ascii="黑体" w:hAnsi="黑体" w:eastAsia="黑体" w:cs="黑体"/>
              </w:rPr>
            </w:pPr>
            <w:r>
              <w:rPr>
                <w:rFonts w:ascii="黑体" w:hAnsi="黑体" w:eastAsia="黑体" w:cs="黑体"/>
                <w:spacing w:val="1"/>
              </w:rPr>
              <w:t xml:space="preserve">第一百四十五条  </w:t>
            </w:r>
            <w:r>
              <w:rPr>
                <w:spacing w:val="1"/>
              </w:rPr>
              <w:t>证券登记结算机构为证券交易提供集中登</w:t>
            </w:r>
            <w:r>
              <w:rPr>
                <w:spacing w:val="8"/>
              </w:rPr>
              <w:t xml:space="preserve"> </w:t>
            </w:r>
            <w:r>
              <w:rPr>
                <w:spacing w:val="-2"/>
              </w:rPr>
              <w:t>记、存管与结算服务， 不以营利为目的，</w:t>
            </w:r>
            <w:r>
              <w:rPr>
                <w:rFonts w:ascii="黑体" w:hAnsi="黑体" w:eastAsia="黑体" w:cs="黑体"/>
                <w:spacing w:val="-3"/>
              </w:rPr>
              <w:t>依法登记，取得法人资</w:t>
            </w:r>
            <w:r>
              <w:rPr>
                <w:rFonts w:ascii="黑体" w:hAnsi="黑体" w:eastAsia="黑体" w:cs="黑体"/>
              </w:rPr>
              <w:t xml:space="preserve"> </w:t>
            </w:r>
            <w:r>
              <w:rPr>
                <w:rFonts w:ascii="黑体" w:hAnsi="黑体" w:eastAsia="黑体" w:cs="黑体"/>
                <w:spacing w:val="-11"/>
              </w:rPr>
              <w:t>格。</w:t>
            </w:r>
          </w:p>
          <w:p>
            <w:pPr>
              <w:pStyle w:val="8"/>
              <w:spacing w:before="21" w:line="222" w:lineRule="auto"/>
              <w:ind w:left="16" w:right="7" w:firstLine="494"/>
              <w:jc w:val="both"/>
            </w:pPr>
            <w:r>
              <w:rPr>
                <w:spacing w:val="11"/>
              </w:rPr>
              <w:t>设立证券登记结算机构必须经国务院证券监督管理</w:t>
            </w:r>
            <w:r>
              <w:rPr>
                <w:spacing w:val="10"/>
              </w:rPr>
              <w:t>机构批</w:t>
            </w:r>
            <w:r>
              <w:t xml:space="preserve"> </w:t>
            </w:r>
            <w:r>
              <w:rPr>
                <w:spacing w:val="-16"/>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1" w:hRule="atLeast"/>
        </w:trPr>
        <w:tc>
          <w:tcPr>
            <w:tcW w:w="7100" w:type="dxa"/>
            <w:gridSpan w:val="3"/>
            <w:vAlign w:val="top"/>
          </w:tcPr>
          <w:p>
            <w:pPr>
              <w:pStyle w:val="8"/>
              <w:spacing w:before="38" w:line="229" w:lineRule="auto"/>
              <w:ind w:left="10" w:firstLine="502"/>
            </w:pPr>
            <w:r>
              <w:rPr>
                <w:rFonts w:ascii="黑体" w:hAnsi="黑体" w:eastAsia="黑体" w:cs="黑体"/>
                <w:spacing w:val="12"/>
              </w:rPr>
              <w:t xml:space="preserve">第一百五十六条  </w:t>
            </w:r>
            <w:r>
              <w:rPr>
                <w:spacing w:val="12"/>
              </w:rPr>
              <w:t>设立证券登记结算机构，应当具备下列条</w:t>
            </w:r>
            <w:r>
              <w:rPr>
                <w:spacing w:val="6"/>
              </w:rPr>
              <w:t xml:space="preserve"> </w:t>
            </w:r>
            <w:r>
              <w:rPr>
                <w:spacing w:val="-18"/>
              </w:rPr>
              <w:t>件：</w:t>
            </w:r>
          </w:p>
          <w:p>
            <w:pPr>
              <w:pStyle w:val="8"/>
              <w:spacing w:before="27" w:line="217" w:lineRule="auto"/>
              <w:ind w:left="503"/>
            </w:pPr>
            <w:r>
              <w:rPr>
                <w:spacing w:val="-4"/>
              </w:rPr>
              <w:t>（一）自有资金不少于人民币二亿元；</w:t>
            </w:r>
          </w:p>
          <w:p>
            <w:pPr>
              <w:pStyle w:val="8"/>
              <w:spacing w:before="30" w:line="213" w:lineRule="auto"/>
              <w:ind w:left="503"/>
            </w:pPr>
            <w:r>
              <w:rPr>
                <w:spacing w:val="-2"/>
              </w:rPr>
              <w:t>（二）具有证券登记、存管和结算服务所必</w:t>
            </w:r>
            <w:r>
              <w:rPr>
                <w:spacing w:val="-3"/>
              </w:rPr>
              <w:t>须的场所和设施；</w:t>
            </w:r>
          </w:p>
          <w:tbl>
            <w:tblPr>
              <w:tblStyle w:val="7"/>
              <w:tblW w:w="6014" w:type="dxa"/>
              <w:tblInd w:w="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
              <w:gridCol w:w="249"/>
              <w:gridCol w:w="5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014" w:type="dxa"/>
                  <w:gridSpan w:val="3"/>
                  <w:shd w:val="clear" w:color="auto" w:fill="D9D9D9"/>
                  <w:vAlign w:val="top"/>
                </w:tcPr>
                <w:p>
                  <w:pPr>
                    <w:pStyle w:val="8"/>
                    <w:spacing w:before="41" w:line="208" w:lineRule="auto"/>
                    <w:ind w:left="4"/>
                  </w:pPr>
                  <w:r>
                    <w:rPr>
                      <w:spacing w:val="-3"/>
                    </w:rPr>
                    <w:t>（三）主要管理人员和从业人员必须具有证券从业资格；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44" w:type="dxa"/>
                  <w:tcBorders>
                    <w:left w:val="nil"/>
                    <w:bottom w:val="nil"/>
                  </w:tcBorders>
                  <w:vAlign w:val="top"/>
                </w:tcPr>
                <w:p>
                  <w:pPr>
                    <w:pStyle w:val="8"/>
                    <w:spacing w:before="45" w:line="207" w:lineRule="auto"/>
                    <w:ind w:right="3"/>
                    <w:jc w:val="right"/>
                  </w:pPr>
                  <w:r>
                    <w:t>(</w:t>
                  </w:r>
                </w:p>
              </w:tc>
              <w:tc>
                <w:tcPr>
                  <w:tcW w:w="249" w:type="dxa"/>
                  <w:shd w:val="clear" w:color="auto" w:fill="D9D9D9"/>
                  <w:vAlign w:val="top"/>
                </w:tcPr>
                <w:p>
                  <w:pPr>
                    <w:pStyle w:val="8"/>
                    <w:spacing w:before="45" w:line="207" w:lineRule="auto"/>
                    <w:jc w:val="right"/>
                  </w:pPr>
                  <w:r>
                    <w:rPr>
                      <w:spacing w:val="-38"/>
                    </w:rPr>
                    <w:t>四</w:t>
                  </w:r>
                </w:p>
              </w:tc>
              <w:tc>
                <w:tcPr>
                  <w:tcW w:w="5521" w:type="dxa"/>
                  <w:tcBorders>
                    <w:bottom w:val="nil"/>
                    <w:right w:val="nil"/>
                  </w:tcBorders>
                  <w:vAlign w:val="top"/>
                </w:tcPr>
                <w:p>
                  <w:pPr>
                    <w:pStyle w:val="8"/>
                    <w:spacing w:before="45" w:line="207" w:lineRule="auto"/>
                    <w:ind w:left="66"/>
                  </w:pPr>
                  <w:r>
                    <w:t>)国务院证券监督管理机构规定的其他条件。</w:t>
                  </w:r>
                </w:p>
              </w:tc>
            </w:tr>
          </w:tbl>
          <w:p>
            <w:pPr>
              <w:pStyle w:val="8"/>
              <w:spacing w:before="34" w:line="202" w:lineRule="auto"/>
              <w:ind w:left="520"/>
            </w:pPr>
            <w:r>
              <w:rPr>
                <w:spacing w:val="-3"/>
              </w:rPr>
              <w:t>证券登记结算机构的名称中应当标明证券登记结算字样。</w:t>
            </w:r>
          </w:p>
        </w:tc>
        <w:tc>
          <w:tcPr>
            <w:tcW w:w="6807" w:type="dxa"/>
            <w:vAlign w:val="top"/>
          </w:tcPr>
          <w:p>
            <w:pPr>
              <w:pStyle w:val="8"/>
              <w:spacing w:before="38" w:line="229" w:lineRule="auto"/>
              <w:ind w:left="8" w:right="4" w:firstLine="502"/>
            </w:pPr>
            <w:r>
              <w:rPr>
                <w:rFonts w:ascii="黑体" w:hAnsi="黑体" w:eastAsia="黑体" w:cs="黑体"/>
                <w:spacing w:val="1"/>
              </w:rPr>
              <w:t xml:space="preserve">第一百四十六条  </w:t>
            </w:r>
            <w:r>
              <w:rPr>
                <w:spacing w:val="1"/>
              </w:rPr>
              <w:t>设立证券登记结算机构，应当具备下列条</w:t>
            </w:r>
            <w:r>
              <w:rPr>
                <w:spacing w:val="8"/>
              </w:rPr>
              <w:t xml:space="preserve"> </w:t>
            </w:r>
            <w:r>
              <w:rPr>
                <w:spacing w:val="-18"/>
              </w:rPr>
              <w:t>件：</w:t>
            </w:r>
          </w:p>
          <w:p>
            <w:pPr>
              <w:pStyle w:val="8"/>
              <w:spacing w:before="27" w:line="217" w:lineRule="auto"/>
              <w:ind w:left="501"/>
            </w:pPr>
            <w:r>
              <w:rPr>
                <w:spacing w:val="-4"/>
              </w:rPr>
              <w:t>（一）自有资金不少于人民币二亿元；</w:t>
            </w:r>
          </w:p>
          <w:p>
            <w:pPr>
              <w:pStyle w:val="8"/>
              <w:spacing w:before="29" w:line="229" w:lineRule="auto"/>
              <w:ind w:left="12" w:right="24" w:firstLine="488"/>
            </w:pPr>
            <w:r>
              <w:rPr>
                <w:spacing w:val="10"/>
              </w:rPr>
              <w:t>（二）具有证券登记、存管和结算服务所必须的场所和设</w:t>
            </w:r>
            <w:r>
              <w:rPr>
                <w:spacing w:val="14"/>
              </w:rPr>
              <w:t xml:space="preserve"> </w:t>
            </w:r>
            <w:r>
              <w:rPr>
                <w:spacing w:val="-19"/>
              </w:rPr>
              <w:t>施；</w:t>
            </w:r>
          </w:p>
          <w:p>
            <w:pPr>
              <w:pStyle w:val="8"/>
              <w:spacing w:before="26" w:line="217" w:lineRule="auto"/>
              <w:ind w:left="501"/>
            </w:pPr>
            <w:r>
              <w:rPr>
                <w:spacing w:val="-3"/>
              </w:rPr>
              <w:t>（三）国务院证券监督管理机构规定的其他条件。</w:t>
            </w:r>
          </w:p>
          <w:p>
            <w:pPr>
              <w:pStyle w:val="8"/>
              <w:spacing w:before="31" w:line="214" w:lineRule="auto"/>
              <w:ind w:left="518"/>
            </w:pPr>
            <w:r>
              <w:rPr>
                <w:spacing w:val="-3"/>
              </w:rPr>
              <w:t>证券登记结算机构的名称中应当标明证券登记结算字样。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7100" w:type="dxa"/>
            <w:gridSpan w:val="3"/>
            <w:vAlign w:val="top"/>
          </w:tcPr>
          <w:p>
            <w:pPr>
              <w:pStyle w:val="8"/>
              <w:spacing w:before="41" w:line="229" w:lineRule="auto"/>
              <w:ind w:left="503" w:right="1125" w:firstLine="9"/>
            </w:pPr>
            <w:r>
              <w:rPr>
                <w:rFonts w:ascii="黑体" w:hAnsi="黑体" w:eastAsia="黑体" w:cs="黑体"/>
                <w:spacing w:val="-3"/>
              </w:rPr>
              <w:t xml:space="preserve">第一百五十七条  </w:t>
            </w:r>
            <w:r>
              <w:rPr>
                <w:spacing w:val="-3"/>
              </w:rPr>
              <w:t>证券登记结算机构履行下列</w:t>
            </w:r>
            <w:r>
              <w:rPr>
                <w:spacing w:val="-4"/>
              </w:rPr>
              <w:t>职能：</w:t>
            </w:r>
            <w:r>
              <w:t xml:space="preserve"> </w:t>
            </w:r>
            <w:r>
              <w:rPr>
                <w:spacing w:val="-4"/>
              </w:rPr>
              <w:t>（一）证券账户、结算账户的设立；</w:t>
            </w:r>
          </w:p>
          <w:p>
            <w:pPr>
              <w:pStyle w:val="8"/>
              <w:spacing w:before="28" w:line="208" w:lineRule="auto"/>
              <w:ind w:left="503"/>
            </w:pPr>
            <w:r>
              <w:rPr>
                <w:spacing w:val="-5"/>
              </w:rPr>
              <w:t>（二）证券的存管和过户；</w:t>
            </w:r>
          </w:p>
        </w:tc>
        <w:tc>
          <w:tcPr>
            <w:tcW w:w="6807" w:type="dxa"/>
            <w:vAlign w:val="top"/>
          </w:tcPr>
          <w:p>
            <w:pPr>
              <w:pStyle w:val="8"/>
              <w:spacing w:before="41" w:line="229" w:lineRule="auto"/>
              <w:ind w:left="501" w:right="834" w:firstLine="9"/>
            </w:pPr>
            <w:r>
              <w:rPr>
                <w:rFonts w:ascii="黑体" w:hAnsi="黑体" w:eastAsia="黑体" w:cs="黑体"/>
                <w:spacing w:val="-3"/>
              </w:rPr>
              <w:t xml:space="preserve">第一百四十七条  </w:t>
            </w:r>
            <w:r>
              <w:rPr>
                <w:spacing w:val="-3"/>
              </w:rPr>
              <w:t>证券登记结算机构履行下列</w:t>
            </w:r>
            <w:r>
              <w:rPr>
                <w:spacing w:val="-4"/>
              </w:rPr>
              <w:t>职能：</w:t>
            </w:r>
            <w:r>
              <w:t xml:space="preserve"> </w:t>
            </w:r>
            <w:r>
              <w:rPr>
                <w:spacing w:val="-4"/>
              </w:rPr>
              <w:t>（一）证券账户、结算账户的设立；</w:t>
            </w:r>
          </w:p>
          <w:p>
            <w:pPr>
              <w:pStyle w:val="8"/>
              <w:spacing w:before="28" w:line="208" w:lineRule="auto"/>
              <w:ind w:left="501"/>
            </w:pPr>
            <w:r>
              <w:rPr>
                <w:spacing w:val="-5"/>
              </w:rPr>
              <w:t>（二）证券的存管和过户；</w:t>
            </w:r>
          </w:p>
        </w:tc>
      </w:tr>
    </w:tbl>
    <w:p>
      <w:pPr>
        <w:spacing w:line="130" w:lineRule="exact"/>
        <w:rPr>
          <w:rFonts w:ascii="Arial"/>
          <w:sz w:val="11"/>
        </w:rPr>
      </w:pPr>
    </w:p>
    <w:p>
      <w:pPr>
        <w:spacing w:line="130" w:lineRule="exact"/>
        <w:rPr>
          <w:rFonts w:ascii="Arial" w:hAnsi="Arial" w:eastAsia="Arial" w:cs="Arial"/>
          <w:sz w:val="11"/>
          <w:szCs w:val="11"/>
        </w:rPr>
        <w:sectPr>
          <w:footerReference r:id="rId4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7100" w:type="dxa"/>
            <w:vAlign w:val="top"/>
          </w:tcPr>
          <w:p>
            <w:pPr>
              <w:pStyle w:val="8"/>
              <w:spacing w:before="41" w:line="213" w:lineRule="auto"/>
              <w:ind w:left="503"/>
            </w:pPr>
            <w:r>
              <w:rPr>
                <w:spacing w:val="-15"/>
              </w:rPr>
              <w:t>（三）证券持有</w:t>
            </w:r>
            <w:r>
              <w:rPr>
                <w:spacing w:val="-15"/>
                <w:u w:val="single" w:color="auto"/>
              </w:rPr>
              <w:t>人名册登记；</w:t>
            </w:r>
            <w:r>
              <w:rPr>
                <w:spacing w:val="28"/>
                <w:u w:val="single" w:color="auto"/>
              </w:rPr>
              <w:t xml:space="preserve">   </w:t>
            </w:r>
            <w:r>
              <w:rPr>
                <w:position w:val="-8"/>
              </w:rPr>
              <w:drawing>
                <wp:inline distT="0" distB="0" distL="0" distR="0">
                  <wp:extent cx="5715" cy="5715"/>
                  <wp:effectExtent l="0" t="0" r="0" b="0"/>
                  <wp:docPr id="652" name="IM 652"/>
                  <wp:cNvGraphicFramePr/>
                  <a:graphic xmlns:a="http://schemas.openxmlformats.org/drawingml/2006/main">
                    <a:graphicData uri="http://schemas.openxmlformats.org/drawingml/2006/picture">
                      <pic:pic xmlns:pic="http://schemas.openxmlformats.org/drawingml/2006/picture">
                        <pic:nvPicPr>
                          <pic:cNvPr id="652" name="IM 652"/>
                          <pic:cNvPicPr/>
                        </pic:nvPicPr>
                        <pic:blipFill>
                          <a:blip r:embed="rId104"/>
                          <a:stretch>
                            <a:fillRect/>
                          </a:stretch>
                        </pic:blipFill>
                        <pic:spPr>
                          <a:xfrm>
                            <a:off x="0" y="0"/>
                            <a:ext cx="6096" cy="6095"/>
                          </a:xfrm>
                          <a:prstGeom prst="rect">
                            <a:avLst/>
                          </a:prstGeom>
                        </pic:spPr>
                      </pic:pic>
                    </a:graphicData>
                  </a:graphic>
                </wp:inline>
              </w:drawing>
            </w:r>
          </w:p>
          <w:p>
            <w:pPr>
              <w:pStyle w:val="8"/>
              <w:spacing w:line="266" w:lineRule="auto"/>
              <w:ind w:left="503"/>
            </w:pPr>
            <w:r>
              <w:rPr>
                <w:spacing w:val="-6"/>
              </w:rPr>
              <w:t>（四）证券交易</w:t>
            </w:r>
            <w:r>
              <w:rPr>
                <w:spacing w:val="-75"/>
              </w:rPr>
              <w:t xml:space="preserve"> </w:t>
            </w:r>
            <w:r>
              <w:rPr>
                <w:position w:val="-6"/>
              </w:rPr>
              <w:drawing>
                <wp:inline distT="0" distB="0" distL="0" distR="0">
                  <wp:extent cx="3810" cy="198120"/>
                  <wp:effectExtent l="0" t="0" r="0" b="0"/>
                  <wp:docPr id="654" name="IM 654"/>
                  <wp:cNvGraphicFramePr/>
                  <a:graphic xmlns:a="http://schemas.openxmlformats.org/drawingml/2006/main">
                    <a:graphicData uri="http://schemas.openxmlformats.org/drawingml/2006/picture">
                      <pic:pic xmlns:pic="http://schemas.openxmlformats.org/drawingml/2006/picture">
                        <pic:nvPicPr>
                          <pic:cNvPr id="654" name="IM 654"/>
                          <pic:cNvPicPr/>
                        </pic:nvPicPr>
                        <pic:blipFill>
                          <a:blip r:embed="rId76"/>
                          <a:stretch>
                            <a:fillRect/>
                          </a:stretch>
                        </pic:blipFill>
                        <pic:spPr>
                          <a:xfrm>
                            <a:off x="0" y="0"/>
                            <a:ext cx="4190" cy="198120"/>
                          </a:xfrm>
                          <a:prstGeom prst="rect">
                            <a:avLst/>
                          </a:prstGeom>
                        </pic:spPr>
                      </pic:pic>
                    </a:graphicData>
                  </a:graphic>
                </wp:inline>
              </w:drawing>
            </w:r>
            <w:r>
              <w:rPr>
                <w:spacing w:val="-6"/>
                <w:u w:val="single" w:color="auto"/>
                <w:shd w:val="clear" w:fill="D9D9D9"/>
              </w:rPr>
              <w:t>所上市证券交易</w:t>
            </w:r>
            <w:r>
              <w:rPr>
                <w:position w:val="-7"/>
              </w:rPr>
              <w:drawing>
                <wp:inline distT="0" distB="0" distL="0" distR="0">
                  <wp:extent cx="3810" cy="203835"/>
                  <wp:effectExtent l="0" t="0" r="0" b="0"/>
                  <wp:docPr id="656" name="IM 656"/>
                  <wp:cNvGraphicFramePr/>
                  <a:graphic xmlns:a="http://schemas.openxmlformats.org/drawingml/2006/main">
                    <a:graphicData uri="http://schemas.openxmlformats.org/drawingml/2006/picture">
                      <pic:pic xmlns:pic="http://schemas.openxmlformats.org/drawingml/2006/picture">
                        <pic:nvPicPr>
                          <pic:cNvPr id="656" name="IM 656"/>
                          <pic:cNvPicPr/>
                        </pic:nvPicPr>
                        <pic:blipFill>
                          <a:blip r:embed="rId70"/>
                          <a:stretch>
                            <a:fillRect/>
                          </a:stretch>
                        </pic:blipFill>
                        <pic:spPr>
                          <a:xfrm>
                            <a:off x="0" y="0"/>
                            <a:ext cx="4191" cy="204215"/>
                          </a:xfrm>
                          <a:prstGeom prst="rect">
                            <a:avLst/>
                          </a:prstGeom>
                        </pic:spPr>
                      </pic:pic>
                    </a:graphicData>
                  </a:graphic>
                </wp:inline>
              </w:drawing>
            </w:r>
            <w:r>
              <w:rPr>
                <w:position w:val="-7"/>
              </w:rPr>
              <w:drawing>
                <wp:inline distT="0" distB="0" distL="0" distR="0">
                  <wp:extent cx="3810" cy="5715"/>
                  <wp:effectExtent l="0" t="0" r="0" b="0"/>
                  <wp:docPr id="658" name="IM 658"/>
                  <wp:cNvGraphicFramePr/>
                  <a:graphic xmlns:a="http://schemas.openxmlformats.org/drawingml/2006/main">
                    <a:graphicData uri="http://schemas.openxmlformats.org/drawingml/2006/picture">
                      <pic:pic xmlns:pic="http://schemas.openxmlformats.org/drawingml/2006/picture">
                        <pic:nvPicPr>
                          <pic:cNvPr id="658" name="IM 658"/>
                          <pic:cNvPicPr/>
                        </pic:nvPicPr>
                        <pic:blipFill>
                          <a:blip r:embed="rId75"/>
                          <a:stretch>
                            <a:fillRect/>
                          </a:stretch>
                        </pic:blipFill>
                        <pic:spPr>
                          <a:xfrm>
                            <a:off x="0" y="0"/>
                            <a:ext cx="4191" cy="6096"/>
                          </a:xfrm>
                          <a:prstGeom prst="rect">
                            <a:avLst/>
                          </a:prstGeom>
                        </pic:spPr>
                      </pic:pic>
                    </a:graphicData>
                  </a:graphic>
                </wp:inline>
              </w:drawing>
            </w:r>
            <w:r>
              <w:rPr>
                <w:spacing w:val="-90"/>
              </w:rPr>
              <w:t xml:space="preserve"> </w:t>
            </w:r>
            <w:r>
              <w:rPr>
                <w:spacing w:val="-6"/>
              </w:rPr>
              <w:t>的清算和交收；</w:t>
            </w:r>
          </w:p>
          <w:p>
            <w:pPr>
              <w:pStyle w:val="8"/>
              <w:spacing w:before="1" w:line="215" w:lineRule="auto"/>
              <w:ind w:left="503"/>
            </w:pPr>
            <w:r>
              <w:rPr>
                <w:spacing w:val="-4"/>
              </w:rPr>
              <w:t>（五）受发行人的委托派发证券权益；</w:t>
            </w:r>
          </w:p>
          <w:p>
            <w:pPr>
              <w:pStyle w:val="8"/>
              <w:spacing w:before="29" w:line="217" w:lineRule="auto"/>
              <w:ind w:left="503"/>
            </w:pPr>
            <w:r>
              <w:rPr>
                <w:spacing w:val="-4"/>
              </w:rPr>
              <w:t>（六）办理与上述业务有关的查询；</w:t>
            </w:r>
          </w:p>
          <w:p>
            <w:pPr>
              <w:pStyle w:val="8"/>
              <w:spacing w:before="29" w:line="211" w:lineRule="auto"/>
              <w:ind w:left="503"/>
            </w:pPr>
            <w:r>
              <w:rPr>
                <w:spacing w:val="-3"/>
              </w:rPr>
              <w:t>（七）国务院证券监督管理机构批准的其他业务。</w:t>
            </w:r>
          </w:p>
        </w:tc>
        <w:tc>
          <w:tcPr>
            <w:tcW w:w="6807" w:type="dxa"/>
            <w:vAlign w:val="top"/>
          </w:tcPr>
          <w:p>
            <w:pPr>
              <w:pStyle w:val="8"/>
              <w:spacing w:before="42" w:line="217" w:lineRule="auto"/>
              <w:ind w:left="501"/>
            </w:pPr>
            <w:r>
              <w:rPr>
                <w:spacing w:val="-5"/>
              </w:rPr>
              <w:t>（三）证券持有人名册登记；</w:t>
            </w:r>
          </w:p>
          <w:p>
            <w:pPr>
              <w:pStyle w:val="8"/>
              <w:spacing w:before="28" w:line="217" w:lineRule="auto"/>
              <w:ind w:left="501"/>
            </w:pPr>
            <w:r>
              <w:rPr>
                <w:spacing w:val="-5"/>
              </w:rPr>
              <w:t>（四）证券交易的清算和交收；</w:t>
            </w:r>
          </w:p>
          <w:p>
            <w:pPr>
              <w:pStyle w:val="8"/>
              <w:spacing w:before="27" w:line="216" w:lineRule="auto"/>
              <w:ind w:left="501"/>
            </w:pPr>
            <w:r>
              <w:rPr>
                <w:spacing w:val="-4"/>
              </w:rPr>
              <w:t>（五）受发行人的委托派发证券权益；</w:t>
            </w:r>
          </w:p>
          <w:p>
            <w:pPr>
              <w:pStyle w:val="8"/>
              <w:spacing w:before="30" w:line="221" w:lineRule="auto"/>
              <w:ind w:left="501"/>
            </w:pPr>
            <w:r>
              <w:rPr>
                <w:spacing w:val="-1"/>
              </w:rPr>
              <w:t>（六）办理与上述业务有关的查询</w:t>
            </w:r>
            <w:r>
              <w:rPr>
                <w:rFonts w:ascii="黑体" w:hAnsi="黑体" w:eastAsia="黑体" w:cs="黑体"/>
                <w:spacing w:val="-1"/>
              </w:rPr>
              <w:t>、信息服务</w:t>
            </w:r>
            <w:r>
              <w:rPr>
                <w:spacing w:val="-1"/>
              </w:rPr>
              <w:t>；</w:t>
            </w:r>
          </w:p>
          <w:p>
            <w:pPr>
              <w:pStyle w:val="8"/>
              <w:spacing w:before="25" w:line="217" w:lineRule="auto"/>
              <w:ind w:left="501"/>
            </w:pPr>
            <w:r>
              <w:rPr>
                <w:spacing w:val="-3"/>
              </w:rPr>
              <w:t>（七）国务院证券监督管理机构批准的其他业务。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trPr>
        <w:tc>
          <w:tcPr>
            <w:tcW w:w="7100" w:type="dxa"/>
            <w:vMerge w:val="restart"/>
            <w:tcBorders>
              <w:bottom w:val="nil"/>
            </w:tcBorders>
            <w:vAlign w:val="top"/>
          </w:tcPr>
          <w:p>
            <w:pPr>
              <w:pStyle w:val="8"/>
              <w:spacing w:before="31" w:line="226" w:lineRule="auto"/>
              <w:ind w:left="31" w:firstLine="481"/>
            </w:pPr>
            <w:r>
              <w:pict>
                <v:shape id="_x0000_s1092" o:spid="_x0000_s1092" style="position:absolute;left:0pt;margin-left:147.15pt;margin-top:31.65pt;height:0.5pt;width:12.15pt;mso-position-horizontal-relative:page;mso-position-vertical-relative:page;z-index:-251593728;mso-width-relative:page;mso-height-relative:page;" fillcolor="#000000" filled="t" stroked="f" coordsize="242,10" path="m0,0l242,0,242,9,0,9,0,0xe">
                  <v:path/>
                  <v:fill on="t" focussize="0,0"/>
                  <v:stroke on="f"/>
                  <v:imagedata o:title=""/>
                  <o:lock v:ext="edit"/>
                </v:shape>
              </w:pict>
            </w:r>
            <w:r>
              <w:pict>
                <v:shape id="_x0000_s1093" o:spid="_x0000_s1093" style="position:absolute;left:0pt;margin-left:208.75pt;margin-top:31.65pt;height:0.5pt;width:72.65pt;mso-position-horizontal-relative:page;mso-position-vertical-relative:page;z-index:-251594752;mso-width-relative:page;mso-height-relative:page;" fillcolor="#000000" filled="t" stroked="f" coordsize="1453,10" path="m0,0l1452,0,1452,9,0,9,0,0xe">
                  <v:path/>
                  <v:fill on="t" focussize="0,0"/>
                  <v:stroke on="f"/>
                  <v:imagedata o:title=""/>
                  <o:lock v:ext="edit"/>
                </v:shape>
              </w:pict>
            </w:r>
            <w:r>
              <w:rPr>
                <w:rFonts w:ascii="黑体" w:hAnsi="黑体" w:eastAsia="黑体" w:cs="黑体"/>
                <w:spacing w:val="12"/>
              </w:rPr>
              <w:t xml:space="preserve">第一百五十八条  </w:t>
            </w:r>
            <w:r>
              <w:rPr>
                <w:spacing w:val="12"/>
              </w:rPr>
              <w:t>证券登记结算采取全国集中统一的运营方</w:t>
            </w:r>
            <w:r>
              <w:rPr>
                <w:spacing w:val="6"/>
              </w:rPr>
              <w:t xml:space="preserve"> </w:t>
            </w:r>
            <w:r>
              <w:rPr>
                <w:spacing w:val="-19"/>
              </w:rPr>
              <w:t>式。</w:t>
            </w:r>
          </w:p>
          <w:p>
            <w:pPr>
              <w:pStyle w:val="8"/>
              <w:spacing w:before="1" w:line="245" w:lineRule="auto"/>
              <w:ind w:left="20" w:right="31" w:firstLine="499"/>
            </w:pPr>
            <w:r>
              <w:rPr>
                <w:spacing w:val="-4"/>
              </w:rPr>
              <w:t>证券登记结算机构章程</w:t>
            </w:r>
            <w:r>
              <w:rPr>
                <w:position w:val="24"/>
              </w:rPr>
              <w:drawing>
                <wp:inline distT="0" distB="0" distL="0" distR="0">
                  <wp:extent cx="1905" cy="5715"/>
                  <wp:effectExtent l="0" t="0" r="0" b="0"/>
                  <wp:docPr id="660" name="IM 660"/>
                  <wp:cNvGraphicFramePr/>
                  <a:graphic xmlns:a="http://schemas.openxmlformats.org/drawingml/2006/main">
                    <a:graphicData uri="http://schemas.openxmlformats.org/drawingml/2006/picture">
                      <pic:pic xmlns:pic="http://schemas.openxmlformats.org/drawingml/2006/picture">
                        <pic:nvPicPr>
                          <pic:cNvPr id="660" name="IM 660"/>
                          <pic:cNvPicPr/>
                        </pic:nvPicPr>
                        <pic:blipFill>
                          <a:blip r:embed="rId104"/>
                          <a:stretch>
                            <a:fillRect/>
                          </a:stretch>
                        </pic:blipFill>
                        <pic:spPr>
                          <a:xfrm>
                            <a:off x="0" y="0"/>
                            <a:ext cx="2307" cy="6096"/>
                          </a:xfrm>
                          <a:prstGeom prst="rect">
                            <a:avLst/>
                          </a:prstGeom>
                        </pic:spPr>
                      </pic:pic>
                    </a:graphicData>
                  </a:graphic>
                </wp:inline>
              </w:drawing>
            </w:r>
            <w:r>
              <w:rPr>
                <w:position w:val="-7"/>
              </w:rPr>
              <w:drawing>
                <wp:inline distT="0" distB="0" distL="0" distR="0">
                  <wp:extent cx="1905" cy="20447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70"/>
                          <a:stretch>
                            <a:fillRect/>
                          </a:stretch>
                        </pic:blipFill>
                        <pic:spPr>
                          <a:xfrm>
                            <a:off x="0" y="0"/>
                            <a:ext cx="2307" cy="204596"/>
                          </a:xfrm>
                          <a:prstGeom prst="rect">
                            <a:avLst/>
                          </a:prstGeom>
                        </pic:spPr>
                      </pic:pic>
                    </a:graphicData>
                  </a:graphic>
                </wp:inline>
              </w:drawing>
            </w:r>
            <w:r>
              <w:rPr>
                <w:position w:val="-7"/>
              </w:rPr>
              <w:drawing>
                <wp:inline distT="0" distB="0" distL="0" distR="0">
                  <wp:extent cx="1905" cy="5715"/>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75"/>
                          <a:stretch>
                            <a:fillRect/>
                          </a:stretch>
                        </pic:blipFill>
                        <pic:spPr>
                          <a:xfrm>
                            <a:off x="0" y="0"/>
                            <a:ext cx="2307" cy="6096"/>
                          </a:xfrm>
                          <a:prstGeom prst="rect">
                            <a:avLst/>
                          </a:prstGeom>
                        </pic:spPr>
                      </pic:pic>
                    </a:graphicData>
                  </a:graphic>
                </wp:inline>
              </w:drawing>
            </w:r>
            <w:r>
              <w:rPr>
                <w:spacing w:val="-78"/>
                <w:u w:val="single" w:color="auto"/>
                <w:shd w:val="clear" w:fill="D9D9D9"/>
              </w:rPr>
              <w:t xml:space="preserve"> </w:t>
            </w:r>
            <w:r>
              <w:rPr>
                <w:spacing w:val="-4"/>
                <w:u w:val="single" w:color="auto"/>
                <w:shd w:val="clear" w:fill="D9D9D9"/>
              </w:rPr>
              <w:t>、</w:t>
            </w:r>
            <w:r>
              <w:rPr>
                <w:position w:val="24"/>
              </w:rPr>
              <w:drawing>
                <wp:inline distT="0" distB="0" distL="0" distR="0">
                  <wp:extent cx="1905" cy="5715"/>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99"/>
                          <a:stretch>
                            <a:fillRect/>
                          </a:stretch>
                        </pic:blipFill>
                        <pic:spPr>
                          <a:xfrm>
                            <a:off x="0" y="0"/>
                            <a:ext cx="2307" cy="6096"/>
                          </a:xfrm>
                          <a:prstGeom prst="rect">
                            <a:avLst/>
                          </a:prstGeom>
                        </pic:spPr>
                      </pic:pic>
                    </a:graphicData>
                  </a:graphic>
                </wp:inline>
              </w:drawing>
            </w:r>
            <w:r>
              <w:rPr>
                <w:position w:val="-7"/>
              </w:rPr>
              <w:drawing>
                <wp:inline distT="0" distB="0" distL="0" distR="0">
                  <wp:extent cx="1905" cy="20447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83"/>
                          <a:stretch>
                            <a:fillRect/>
                          </a:stretch>
                        </pic:blipFill>
                        <pic:spPr>
                          <a:xfrm>
                            <a:off x="0" y="0"/>
                            <a:ext cx="2307" cy="204596"/>
                          </a:xfrm>
                          <a:prstGeom prst="rect">
                            <a:avLst/>
                          </a:prstGeom>
                        </pic:spPr>
                      </pic:pic>
                    </a:graphicData>
                  </a:graphic>
                </wp:inline>
              </w:drawing>
            </w:r>
            <w:r>
              <w:rPr>
                <w:position w:val="-7"/>
              </w:rPr>
              <w:drawing>
                <wp:inline distT="0" distB="0" distL="0" distR="0">
                  <wp:extent cx="1905" cy="5715"/>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72"/>
                          <a:stretch>
                            <a:fillRect/>
                          </a:stretch>
                        </pic:blipFill>
                        <pic:spPr>
                          <a:xfrm>
                            <a:off x="0" y="0"/>
                            <a:ext cx="2307" cy="6096"/>
                          </a:xfrm>
                          <a:prstGeom prst="rect">
                            <a:avLst/>
                          </a:prstGeom>
                        </pic:spPr>
                      </pic:pic>
                    </a:graphicData>
                  </a:graphic>
                </wp:inline>
              </w:drawing>
            </w:r>
            <w:r>
              <w:rPr>
                <w:spacing w:val="-100"/>
              </w:rPr>
              <w:t xml:space="preserve"> </w:t>
            </w:r>
            <w:r>
              <w:rPr>
                <w:spacing w:val="-4"/>
              </w:rPr>
              <w:t>业务规则</w:t>
            </w:r>
            <w:r>
              <w:rPr>
                <w:spacing w:val="-115"/>
              </w:rPr>
              <w:t xml:space="preserve"> </w:t>
            </w:r>
            <w:r>
              <w:rPr>
                <w:position w:val="24"/>
              </w:rPr>
              <w:drawing>
                <wp:inline distT="0" distB="0" distL="0" distR="0">
                  <wp:extent cx="1905" cy="5715"/>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104"/>
                          <a:stretch>
                            <a:fillRect/>
                          </a:stretch>
                        </pic:blipFill>
                        <pic:spPr>
                          <a:xfrm>
                            <a:off x="0" y="0"/>
                            <a:ext cx="2307" cy="6096"/>
                          </a:xfrm>
                          <a:prstGeom prst="rect">
                            <a:avLst/>
                          </a:prstGeom>
                        </pic:spPr>
                      </pic:pic>
                    </a:graphicData>
                  </a:graphic>
                </wp:inline>
              </w:drawing>
            </w:r>
            <w:r>
              <w:rPr>
                <w:position w:val="-7"/>
              </w:rPr>
              <w:drawing>
                <wp:inline distT="0" distB="0" distL="0" distR="0">
                  <wp:extent cx="1905" cy="20447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70"/>
                          <a:stretch>
                            <a:fillRect/>
                          </a:stretch>
                        </pic:blipFill>
                        <pic:spPr>
                          <a:xfrm>
                            <a:off x="0" y="0"/>
                            <a:ext cx="2307" cy="204596"/>
                          </a:xfrm>
                          <a:prstGeom prst="rect">
                            <a:avLst/>
                          </a:prstGeom>
                        </pic:spPr>
                      </pic:pic>
                    </a:graphicData>
                  </a:graphic>
                </wp:inline>
              </w:drawing>
            </w:r>
            <w:r>
              <w:rPr>
                <w:position w:val="-7"/>
              </w:rPr>
              <w:drawing>
                <wp:inline distT="0" distB="0" distL="0" distR="0">
                  <wp:extent cx="1905" cy="5715"/>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75"/>
                          <a:stretch>
                            <a:fillRect/>
                          </a:stretch>
                        </pic:blipFill>
                        <pic:spPr>
                          <a:xfrm>
                            <a:off x="0" y="0"/>
                            <a:ext cx="2307" cy="6096"/>
                          </a:xfrm>
                          <a:prstGeom prst="rect">
                            <a:avLst/>
                          </a:prstGeom>
                        </pic:spPr>
                      </pic:pic>
                    </a:graphicData>
                  </a:graphic>
                </wp:inline>
              </w:drawing>
            </w:r>
            <w:r>
              <w:rPr>
                <w:spacing w:val="-104"/>
                <w:u w:val="single" w:color="auto"/>
                <w:shd w:val="clear" w:fill="D9D9D9"/>
              </w:rPr>
              <w:t xml:space="preserve"> </w:t>
            </w:r>
            <w:r>
              <w:rPr>
                <w:spacing w:val="-4"/>
                <w:u w:val="single" w:color="auto"/>
                <w:shd w:val="clear" w:fill="D9D9D9"/>
              </w:rPr>
              <w:t>应当依法制定</w:t>
            </w:r>
            <w:r>
              <w:rPr>
                <w:position w:val="24"/>
              </w:rPr>
              <w:drawing>
                <wp:inline distT="0" distB="0" distL="0" distR="0">
                  <wp:extent cx="1905" cy="5715"/>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95"/>
                          <a:stretch>
                            <a:fillRect/>
                          </a:stretch>
                        </pic:blipFill>
                        <pic:spPr>
                          <a:xfrm>
                            <a:off x="0" y="0"/>
                            <a:ext cx="2307" cy="6096"/>
                          </a:xfrm>
                          <a:prstGeom prst="rect">
                            <a:avLst/>
                          </a:prstGeom>
                        </pic:spPr>
                      </pic:pic>
                    </a:graphicData>
                  </a:graphic>
                </wp:inline>
              </w:drawing>
            </w:r>
            <w:r>
              <w:rPr>
                <w:position w:val="-7"/>
              </w:rPr>
              <w:drawing>
                <wp:inline distT="0" distB="0" distL="0" distR="0">
                  <wp:extent cx="1905" cy="20447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76"/>
                          <a:stretch>
                            <a:fillRect/>
                          </a:stretch>
                        </pic:blipFill>
                        <pic:spPr>
                          <a:xfrm>
                            <a:off x="0" y="0"/>
                            <a:ext cx="2307" cy="204596"/>
                          </a:xfrm>
                          <a:prstGeom prst="rect">
                            <a:avLst/>
                          </a:prstGeom>
                        </pic:spPr>
                      </pic:pic>
                    </a:graphicData>
                  </a:graphic>
                </wp:inline>
              </w:drawing>
            </w:r>
            <w:r>
              <w:rPr>
                <w:position w:val="-7"/>
              </w:rPr>
              <w:drawing>
                <wp:inline distT="0" distB="0" distL="0" distR="0">
                  <wp:extent cx="1905" cy="5715"/>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74"/>
                          <a:stretch>
                            <a:fillRect/>
                          </a:stretch>
                        </pic:blipFill>
                        <pic:spPr>
                          <a:xfrm>
                            <a:off x="0" y="0"/>
                            <a:ext cx="2307" cy="6096"/>
                          </a:xfrm>
                          <a:prstGeom prst="rect">
                            <a:avLst/>
                          </a:prstGeom>
                        </pic:spPr>
                      </pic:pic>
                    </a:graphicData>
                  </a:graphic>
                </wp:inline>
              </w:drawing>
            </w:r>
            <w:r>
              <w:rPr>
                <w:spacing w:val="-88"/>
              </w:rPr>
              <w:t xml:space="preserve"> </w:t>
            </w:r>
            <w:r>
              <w:rPr>
                <w:spacing w:val="-4"/>
              </w:rPr>
              <w:t>，并经国务院</w:t>
            </w:r>
            <w:r>
              <w:t xml:space="preserve"> </w:t>
            </w:r>
            <w:r>
              <w:rPr>
                <w:spacing w:val="-6"/>
              </w:rPr>
              <w:t>证券监督管理机构批准。</w:t>
            </w:r>
          </w:p>
        </w:tc>
        <w:tc>
          <w:tcPr>
            <w:tcW w:w="6807" w:type="dxa"/>
            <w:vAlign w:val="top"/>
          </w:tcPr>
          <w:p>
            <w:pPr>
              <w:pStyle w:val="8"/>
              <w:spacing w:before="32" w:line="232" w:lineRule="auto"/>
              <w:ind w:left="10" w:right="4" w:firstLine="500"/>
              <w:jc w:val="both"/>
            </w:pPr>
            <w:r>
              <w:rPr>
                <w:rFonts w:ascii="黑体" w:hAnsi="黑体" w:eastAsia="黑体" w:cs="黑体"/>
                <w:spacing w:val="1"/>
              </w:rPr>
              <w:t>第一百四十八条  在证券交易所和国务院批准的其他全国性</w:t>
            </w:r>
            <w:r>
              <w:rPr>
                <w:rFonts w:ascii="黑体" w:hAnsi="黑体" w:eastAsia="黑体" w:cs="黑体"/>
                <w:spacing w:val="8"/>
              </w:rPr>
              <w:t xml:space="preserve"> </w:t>
            </w:r>
            <w:r>
              <w:rPr>
                <w:rFonts w:ascii="黑体" w:hAnsi="黑体" w:eastAsia="黑体" w:cs="黑体"/>
                <w:spacing w:val="2"/>
              </w:rPr>
              <w:t>证券交易场所交易的</w:t>
            </w:r>
            <w:r>
              <w:rPr>
                <w:spacing w:val="2"/>
              </w:rPr>
              <w:t>证券的登记结算，应当采取全国集中统一的</w:t>
            </w:r>
            <w:r>
              <w:t xml:space="preserve"> </w:t>
            </w:r>
            <w:r>
              <w:rPr>
                <w:spacing w:val="-10"/>
              </w:rPr>
              <w:t>运营方式。</w:t>
            </w:r>
          </w:p>
          <w:p>
            <w:pPr>
              <w:spacing w:before="29" w:line="230" w:lineRule="auto"/>
              <w:ind w:left="9" w:right="7" w:firstLine="501"/>
              <w:jc w:val="both"/>
              <w:rPr>
                <w:rFonts w:ascii="黑体" w:hAnsi="黑体" w:eastAsia="黑体" w:cs="黑体"/>
                <w:sz w:val="24"/>
                <w:szCs w:val="24"/>
              </w:rPr>
            </w:pPr>
            <w:r>
              <w:rPr>
                <w:rFonts w:ascii="黑体" w:hAnsi="黑体" w:eastAsia="黑体" w:cs="黑体"/>
                <w:spacing w:val="1"/>
                <w:sz w:val="24"/>
                <w:szCs w:val="24"/>
              </w:rPr>
              <w:t>前款规定以外的证券，其登记、结算可以委托证券登记结算</w:t>
            </w:r>
            <w:r>
              <w:rPr>
                <w:rFonts w:ascii="黑体" w:hAnsi="黑体" w:eastAsia="黑体" w:cs="黑体"/>
                <w:spacing w:val="6"/>
                <w:sz w:val="24"/>
                <w:szCs w:val="24"/>
              </w:rPr>
              <w:t xml:space="preserve"> </w:t>
            </w:r>
            <w:r>
              <w:rPr>
                <w:rFonts w:ascii="黑体" w:hAnsi="黑体" w:eastAsia="黑体" w:cs="黑体"/>
                <w:spacing w:val="-2"/>
                <w:sz w:val="24"/>
                <w:szCs w:val="24"/>
              </w:rPr>
              <w:t>机构或者其他依法从事证券登记、结算业务的机构办理。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7100" w:type="dxa"/>
            <w:vMerge w:val="continue"/>
            <w:tcBorders>
              <w:top w:val="nil"/>
            </w:tcBorders>
            <w:vAlign w:val="top"/>
          </w:tcPr>
          <w:p>
            <w:pPr>
              <w:rPr>
                <w:rFonts w:ascii="Arial"/>
                <w:sz w:val="21"/>
              </w:rPr>
            </w:pPr>
          </w:p>
        </w:tc>
        <w:tc>
          <w:tcPr>
            <w:tcW w:w="6807" w:type="dxa"/>
            <w:vAlign w:val="top"/>
          </w:tcPr>
          <w:p>
            <w:pPr>
              <w:pStyle w:val="8"/>
              <w:spacing w:before="34" w:line="229" w:lineRule="auto"/>
              <w:ind w:left="11" w:right="4" w:firstLine="499"/>
              <w:jc w:val="both"/>
              <w:rPr>
                <w:rFonts w:ascii="黑体" w:hAnsi="黑体" w:eastAsia="黑体" w:cs="黑体"/>
              </w:rPr>
            </w:pPr>
            <w:r>
              <w:rPr>
                <w:rFonts w:ascii="黑体" w:hAnsi="黑体" w:eastAsia="黑体" w:cs="黑体"/>
                <w:spacing w:val="1"/>
              </w:rPr>
              <w:t xml:space="preserve">第一百四十九条  </w:t>
            </w:r>
            <w:r>
              <w:rPr>
                <w:spacing w:val="1"/>
              </w:rPr>
              <w:t>证券登记结算机构应当依法制定章程和业</w:t>
            </w:r>
            <w:r>
              <w:rPr>
                <w:spacing w:val="8"/>
              </w:rPr>
              <w:t xml:space="preserve"> </w:t>
            </w:r>
            <w:r>
              <w:rPr>
                <w:spacing w:val="-6"/>
              </w:rPr>
              <w:t xml:space="preserve">务规则， 并经国务院证券监督管理机构批准。 </w:t>
            </w:r>
            <w:r>
              <w:rPr>
                <w:rFonts w:ascii="黑体" w:hAnsi="黑体" w:eastAsia="黑体" w:cs="黑体"/>
                <w:spacing w:val="-7"/>
              </w:rPr>
              <w:t>证券登记结算业务</w:t>
            </w:r>
            <w:r>
              <w:rPr>
                <w:rFonts w:ascii="黑体" w:hAnsi="黑体" w:eastAsia="黑体" w:cs="黑体"/>
              </w:rPr>
              <w:t xml:space="preserve"> </w:t>
            </w:r>
            <w:r>
              <w:rPr>
                <w:rFonts w:ascii="黑体" w:hAnsi="黑体" w:eastAsia="黑体" w:cs="黑体"/>
                <w:spacing w:val="-2"/>
              </w:rPr>
              <w:t>参与人应当遵守证券登记结算机构制定的业务规则。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100" w:type="dxa"/>
            <w:vAlign w:val="top"/>
          </w:tcPr>
          <w:p>
            <w:pPr>
              <w:pStyle w:val="8"/>
              <w:spacing w:before="10" w:line="241" w:lineRule="auto"/>
              <w:ind w:left="43" w:right="34" w:firstLine="469"/>
            </w:pPr>
            <w:r>
              <w:rPr>
                <w:rFonts w:ascii="黑体" w:hAnsi="黑体" w:eastAsia="黑体" w:cs="黑体"/>
                <w:spacing w:val="-3"/>
              </w:rPr>
              <w:t xml:space="preserve">第一百五十九条  </w:t>
            </w:r>
            <w:r>
              <w:rPr>
                <w:position w:val="-7"/>
              </w:rPr>
              <w:drawing>
                <wp:inline distT="0" distB="0" distL="0" distR="0">
                  <wp:extent cx="7620" cy="203835"/>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77"/>
                          <a:stretch>
                            <a:fillRect/>
                          </a:stretch>
                        </pic:blipFill>
                        <pic:spPr>
                          <a:xfrm>
                            <a:off x="0" y="0"/>
                            <a:ext cx="7810" cy="204216"/>
                          </a:xfrm>
                          <a:prstGeom prst="rect">
                            <a:avLst/>
                          </a:prstGeom>
                        </pic:spPr>
                      </pic:pic>
                    </a:graphicData>
                  </a:graphic>
                </wp:inline>
              </w:drawing>
            </w:r>
            <w:r>
              <w:rPr>
                <w:spacing w:val="-3"/>
                <w:u w:val="single" w:color="auto"/>
                <w:shd w:val="clear" w:fill="D9D9D9"/>
              </w:rPr>
              <w:t>证券持有人持有的证券， 在上市交易时</w:t>
            </w:r>
            <w:r>
              <w:rPr>
                <w:position w:val="-7"/>
              </w:rPr>
              <w:drawing>
                <wp:inline distT="0" distB="0" distL="0" distR="0">
                  <wp:extent cx="7620" cy="203835"/>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80"/>
                          <a:stretch>
                            <a:fillRect/>
                          </a:stretch>
                        </pic:blipFill>
                        <pic:spPr>
                          <a:xfrm>
                            <a:off x="0" y="0"/>
                            <a:ext cx="7810" cy="204216"/>
                          </a:xfrm>
                          <a:prstGeom prst="rect">
                            <a:avLst/>
                          </a:prstGeom>
                        </pic:spPr>
                      </pic:pic>
                    </a:graphicData>
                  </a:graphic>
                </wp:inline>
              </w:drawing>
            </w:r>
            <w:r>
              <w:rPr>
                <w:spacing w:val="-4"/>
              </w:rPr>
              <w:t>，应</w:t>
            </w:r>
            <w:r>
              <w:t xml:space="preserve"> </w:t>
            </w:r>
            <w:r>
              <w:rPr>
                <w:spacing w:val="-6"/>
              </w:rPr>
              <w:t>当全部存管在证券登记结算机构。</w:t>
            </w:r>
          </w:p>
          <w:p>
            <w:pPr>
              <w:pStyle w:val="8"/>
              <w:spacing w:before="34" w:line="204" w:lineRule="auto"/>
              <w:ind w:left="520"/>
            </w:pPr>
            <w:r>
              <w:rPr>
                <w:spacing w:val="-4"/>
              </w:rPr>
              <w:t>证券登记结算机构不得挪用客户的证券。</w:t>
            </w:r>
          </w:p>
        </w:tc>
        <w:tc>
          <w:tcPr>
            <w:tcW w:w="6807" w:type="dxa"/>
            <w:vAlign w:val="top"/>
          </w:tcPr>
          <w:p>
            <w:pPr>
              <w:pStyle w:val="8"/>
              <w:spacing w:before="37" w:line="226" w:lineRule="auto"/>
              <w:ind w:left="10" w:right="6" w:firstLine="500"/>
            </w:pPr>
            <w:r>
              <w:rPr>
                <w:rFonts w:ascii="黑体" w:hAnsi="黑体" w:eastAsia="黑体" w:cs="黑体"/>
                <w:spacing w:val="1"/>
              </w:rPr>
              <w:t>第一百五十条  在证券交易所或者国务院批准的其他全国性</w:t>
            </w:r>
            <w:r>
              <w:rPr>
                <w:rFonts w:ascii="黑体" w:hAnsi="黑体" w:eastAsia="黑体" w:cs="黑体"/>
                <w:spacing w:val="6"/>
              </w:rPr>
              <w:t xml:space="preserve"> </w:t>
            </w:r>
            <w:r>
              <w:rPr>
                <w:rFonts w:ascii="黑体" w:hAnsi="黑体" w:eastAsia="黑体" w:cs="黑体"/>
                <w:spacing w:val="-9"/>
              </w:rPr>
              <w:t>证券交易场所交易的证券，</w:t>
            </w:r>
            <w:r>
              <w:rPr>
                <w:rFonts w:ascii="黑体" w:hAnsi="黑体" w:eastAsia="黑体" w:cs="黑体"/>
                <w:spacing w:val="77"/>
              </w:rPr>
              <w:t xml:space="preserve"> </w:t>
            </w:r>
            <w:r>
              <w:rPr>
                <w:spacing w:val="-9"/>
              </w:rPr>
              <w:t>应当全部存管在证券登记结算机构。</w:t>
            </w:r>
          </w:p>
          <w:p>
            <w:pPr>
              <w:pStyle w:val="8"/>
              <w:spacing w:before="33" w:line="217" w:lineRule="auto"/>
              <w:ind w:left="518"/>
            </w:pPr>
            <w:r>
              <w:rPr>
                <w:spacing w:val="-4"/>
              </w:rPr>
              <w:t>证券登记结算机构不得挪用客户的证券。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7100" w:type="dxa"/>
            <w:vAlign w:val="top"/>
          </w:tcPr>
          <w:p>
            <w:pPr>
              <w:pStyle w:val="8"/>
              <w:spacing w:before="39" w:line="227" w:lineRule="auto"/>
              <w:ind w:left="16" w:firstLine="496"/>
            </w:pPr>
            <w:r>
              <w:rPr>
                <w:rFonts w:ascii="黑体" w:hAnsi="黑体" w:eastAsia="黑体" w:cs="黑体"/>
                <w:spacing w:val="3"/>
              </w:rPr>
              <w:t xml:space="preserve">第一百六十条  </w:t>
            </w:r>
            <w:r>
              <w:rPr>
                <w:spacing w:val="3"/>
              </w:rPr>
              <w:t>证券登记结算机构应当向证券发行人提供证券</w:t>
            </w:r>
            <w:r>
              <w:rPr>
                <w:spacing w:val="6"/>
              </w:rPr>
              <w:t xml:space="preserve"> </w:t>
            </w:r>
            <w:r>
              <w:rPr>
                <w:spacing w:val="-5"/>
              </w:rPr>
              <w:t>持有人名册及其有关资料。</w:t>
            </w:r>
          </w:p>
          <w:p>
            <w:pPr>
              <w:pStyle w:val="8"/>
              <w:spacing w:before="31" w:line="228" w:lineRule="auto"/>
              <w:ind w:left="19" w:firstLine="501"/>
            </w:pPr>
            <w:r>
              <w:rPr>
                <w:spacing w:val="3"/>
              </w:rPr>
              <w:t>证券登记结算机构应当根据证券登记结算的结果，确认证券持</w:t>
            </w:r>
            <w:r>
              <w:rPr>
                <w:spacing w:val="1"/>
              </w:rPr>
              <w:t xml:space="preserve"> </w:t>
            </w:r>
            <w:r>
              <w:rPr>
                <w:spacing w:val="-3"/>
              </w:rPr>
              <w:t>有人持有证券的事实，提供证券持有人登记资料。</w:t>
            </w:r>
          </w:p>
          <w:p>
            <w:pPr>
              <w:pStyle w:val="8"/>
              <w:spacing w:before="32" w:line="221" w:lineRule="auto"/>
              <w:ind w:left="25" w:firstLine="494"/>
            </w:pPr>
            <w:r>
              <w:rPr>
                <w:spacing w:val="3"/>
              </w:rPr>
              <w:t>证券登记结算机构应当保证证券持有人名册和登记过户记录真</w:t>
            </w:r>
            <w:r>
              <w:rPr>
                <w:spacing w:val="1"/>
              </w:rPr>
              <w:t xml:space="preserve"> </w:t>
            </w:r>
            <w:r>
              <w:rPr>
                <w:spacing w:val="-3"/>
              </w:rPr>
              <w:t>实、准确、完整，不得隐匿、伪造、篡改或者毁损。</w:t>
            </w:r>
          </w:p>
        </w:tc>
        <w:tc>
          <w:tcPr>
            <w:tcW w:w="6807" w:type="dxa"/>
            <w:vAlign w:val="top"/>
          </w:tcPr>
          <w:p>
            <w:pPr>
              <w:pStyle w:val="8"/>
              <w:spacing w:before="39" w:line="227" w:lineRule="auto"/>
              <w:ind w:left="19" w:right="4" w:firstLine="491"/>
            </w:pPr>
            <w:r>
              <w:rPr>
                <w:rFonts w:ascii="黑体" w:hAnsi="黑体" w:eastAsia="黑体" w:cs="黑体"/>
                <w:spacing w:val="1"/>
              </w:rPr>
              <w:t xml:space="preserve">第一百五十一条  </w:t>
            </w:r>
            <w:r>
              <w:rPr>
                <w:spacing w:val="1"/>
              </w:rPr>
              <w:t>证券登记结算机构应当向证券发行人提供</w:t>
            </w:r>
            <w:r>
              <w:rPr>
                <w:spacing w:val="8"/>
              </w:rPr>
              <w:t xml:space="preserve"> </w:t>
            </w:r>
            <w:r>
              <w:rPr>
                <w:spacing w:val="-5"/>
              </w:rPr>
              <w:t>证券持有人名册及其有关资料。</w:t>
            </w:r>
          </w:p>
          <w:p>
            <w:pPr>
              <w:pStyle w:val="8"/>
              <w:spacing w:before="31" w:line="228" w:lineRule="auto"/>
              <w:ind w:left="14" w:right="4" w:firstLine="503"/>
            </w:pPr>
            <w:r>
              <w:rPr>
                <w:spacing w:val="-4"/>
              </w:rPr>
              <w:t>证券登记结算机构应当根据证券登记结算的结果， 确认证券</w:t>
            </w:r>
            <w:r>
              <w:rPr>
                <w:spacing w:val="16"/>
              </w:rPr>
              <w:t xml:space="preserve"> </w:t>
            </w:r>
            <w:r>
              <w:rPr>
                <w:spacing w:val="-3"/>
              </w:rPr>
              <w:t>持有人持有证券的事实，提供证券持有人登记资料。</w:t>
            </w:r>
          </w:p>
          <w:p>
            <w:pPr>
              <w:pStyle w:val="8"/>
              <w:spacing w:before="32" w:line="221" w:lineRule="auto"/>
              <w:ind w:left="19" w:right="7" w:firstLine="499"/>
            </w:pPr>
            <w:r>
              <w:rPr>
                <w:spacing w:val="1"/>
              </w:rPr>
              <w:t>证券登记结算机构应当保证证券持有人名册和登记过户记录</w:t>
            </w:r>
            <w:r>
              <w:t xml:space="preserve"> </w:t>
            </w:r>
            <w:r>
              <w:rPr>
                <w:spacing w:val="-3"/>
              </w:rPr>
              <w:t>真实、准确、完整，不得隐匿、伪造、篡改或者毁损。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7100" w:type="dxa"/>
            <w:vAlign w:val="top"/>
          </w:tcPr>
          <w:p>
            <w:pPr>
              <w:pStyle w:val="8"/>
              <w:spacing w:before="41" w:line="228" w:lineRule="auto"/>
              <w:ind w:left="18" w:firstLine="494"/>
            </w:pPr>
            <w:r>
              <w:rPr>
                <w:rFonts w:ascii="黑体" w:hAnsi="黑体" w:eastAsia="黑体" w:cs="黑体"/>
                <w:spacing w:val="3"/>
              </w:rPr>
              <w:t xml:space="preserve">第一百六十一条  </w:t>
            </w:r>
            <w:r>
              <w:rPr>
                <w:spacing w:val="3"/>
              </w:rPr>
              <w:t>证券登记结算机构应当采取下列措施保证业</w:t>
            </w:r>
            <w:r>
              <w:rPr>
                <w:spacing w:val="6"/>
              </w:rPr>
              <w:t xml:space="preserve"> </w:t>
            </w:r>
            <w:r>
              <w:rPr>
                <w:spacing w:val="-10"/>
              </w:rPr>
              <w:t>务的正常进行：</w:t>
            </w:r>
          </w:p>
          <w:p>
            <w:pPr>
              <w:pStyle w:val="8"/>
              <w:spacing w:before="31" w:line="216" w:lineRule="auto"/>
              <w:ind w:left="503"/>
            </w:pPr>
            <w:r>
              <w:rPr>
                <w:spacing w:val="-3"/>
              </w:rPr>
              <w:t>（一）具有必备的服务设备和完善的数据安全保护措施；</w:t>
            </w:r>
          </w:p>
          <w:p>
            <w:pPr>
              <w:pStyle w:val="8"/>
              <w:spacing w:before="28" w:line="217" w:lineRule="auto"/>
              <w:ind w:left="503"/>
            </w:pPr>
            <w:r>
              <w:rPr>
                <w:spacing w:val="-3"/>
              </w:rPr>
              <w:t>（二）建立完善的业务、财务和安全防范等管理制度；</w:t>
            </w:r>
          </w:p>
          <w:p>
            <w:pPr>
              <w:pStyle w:val="8"/>
              <w:spacing w:before="30" w:line="202" w:lineRule="auto"/>
              <w:ind w:left="503"/>
            </w:pPr>
            <w:r>
              <w:rPr>
                <w:spacing w:val="-4"/>
              </w:rPr>
              <w:t>（三）建立完善的风险管理系统。</w:t>
            </w:r>
          </w:p>
        </w:tc>
        <w:tc>
          <w:tcPr>
            <w:tcW w:w="6807" w:type="dxa"/>
            <w:vAlign w:val="top"/>
          </w:tcPr>
          <w:p>
            <w:pPr>
              <w:pStyle w:val="8"/>
              <w:spacing w:before="41" w:line="228" w:lineRule="auto"/>
              <w:ind w:left="22" w:right="4" w:firstLine="488"/>
            </w:pPr>
            <w:r>
              <w:rPr>
                <w:rFonts w:ascii="黑体" w:hAnsi="黑体" w:eastAsia="黑体" w:cs="黑体"/>
                <w:spacing w:val="1"/>
              </w:rPr>
              <w:t xml:space="preserve">第一百五十二条  </w:t>
            </w:r>
            <w:r>
              <w:rPr>
                <w:spacing w:val="1"/>
              </w:rPr>
              <w:t>证券登记结算机构应当采取下列措施保证</w:t>
            </w:r>
            <w:r>
              <w:rPr>
                <w:spacing w:val="8"/>
              </w:rPr>
              <w:t xml:space="preserve"> </w:t>
            </w:r>
            <w:r>
              <w:rPr>
                <w:spacing w:val="-10"/>
              </w:rPr>
              <w:t>业务的正常进行：</w:t>
            </w:r>
          </w:p>
          <w:p>
            <w:pPr>
              <w:pStyle w:val="8"/>
              <w:spacing w:before="31" w:line="216" w:lineRule="auto"/>
              <w:ind w:left="501"/>
            </w:pPr>
            <w:r>
              <w:rPr>
                <w:spacing w:val="-3"/>
              </w:rPr>
              <w:t>（一）具有必备的服务设备和完善的数据安全保护措施；</w:t>
            </w:r>
          </w:p>
          <w:p>
            <w:pPr>
              <w:pStyle w:val="8"/>
              <w:spacing w:before="28" w:line="217" w:lineRule="auto"/>
              <w:ind w:left="501"/>
            </w:pPr>
            <w:r>
              <w:rPr>
                <w:spacing w:val="-3"/>
              </w:rPr>
              <w:t>（二）建立完善的业务、财务和安全防范等管理制度；</w:t>
            </w:r>
          </w:p>
          <w:p>
            <w:pPr>
              <w:pStyle w:val="8"/>
              <w:spacing w:before="30" w:line="202" w:lineRule="auto"/>
              <w:ind w:left="501"/>
            </w:pPr>
            <w:r>
              <w:rPr>
                <w:spacing w:val="-4"/>
              </w:rPr>
              <w:t>（三）建立完善的风险管理系统。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100" w:type="dxa"/>
            <w:vAlign w:val="top"/>
          </w:tcPr>
          <w:p>
            <w:pPr>
              <w:pStyle w:val="8"/>
              <w:spacing w:before="43" w:line="224" w:lineRule="auto"/>
              <w:ind w:left="19" w:firstLine="493"/>
            </w:pPr>
            <w:r>
              <w:rPr>
                <w:rFonts w:ascii="黑体" w:hAnsi="黑体" w:eastAsia="黑体" w:cs="黑体"/>
                <w:spacing w:val="3"/>
              </w:rPr>
              <w:t xml:space="preserve">第一百六十二条  </w:t>
            </w:r>
            <w:r>
              <w:rPr>
                <w:spacing w:val="3"/>
              </w:rPr>
              <w:t>证券登记结算机构应当妥善保存登记、存管</w:t>
            </w:r>
            <w:r>
              <w:rPr>
                <w:spacing w:val="6"/>
              </w:rPr>
              <w:t xml:space="preserve"> </w:t>
            </w:r>
            <w:r>
              <w:rPr>
                <w:spacing w:val="12"/>
              </w:rPr>
              <w:t>和结算的原始凭证及有关文件和资料。其保存期限不得少于二十</w:t>
            </w:r>
          </w:p>
        </w:tc>
        <w:tc>
          <w:tcPr>
            <w:tcW w:w="6807" w:type="dxa"/>
            <w:vAlign w:val="top"/>
          </w:tcPr>
          <w:p>
            <w:pPr>
              <w:pStyle w:val="8"/>
              <w:spacing w:before="43" w:line="224" w:lineRule="auto"/>
              <w:ind w:left="12" w:right="4" w:firstLine="498"/>
            </w:pPr>
            <w:r>
              <w:rPr>
                <w:rFonts w:ascii="黑体" w:hAnsi="黑体" w:eastAsia="黑体" w:cs="黑体"/>
                <w:spacing w:val="1"/>
              </w:rPr>
              <w:t xml:space="preserve">第一百五十三条  </w:t>
            </w:r>
            <w:r>
              <w:rPr>
                <w:spacing w:val="1"/>
              </w:rPr>
              <w:t>证券登记结算机构应当妥善保存登记、存</w:t>
            </w:r>
            <w:r>
              <w:rPr>
                <w:spacing w:val="8"/>
              </w:rPr>
              <w:t xml:space="preserve"> </w:t>
            </w:r>
            <w:r>
              <w:rPr>
                <w:spacing w:val="2"/>
              </w:rPr>
              <w:t>管和结算的原始凭证及有关文件和资料。其保存期</w:t>
            </w:r>
            <w:r>
              <w:rPr>
                <w:spacing w:val="1"/>
              </w:rPr>
              <w:t>限不得少于二</w:t>
            </w:r>
          </w:p>
        </w:tc>
      </w:tr>
    </w:tbl>
    <w:p>
      <w:pPr>
        <w:rPr>
          <w:rFonts w:ascii="Arial"/>
          <w:sz w:val="21"/>
        </w:rPr>
      </w:pPr>
    </w:p>
    <w:p>
      <w:pPr>
        <w:rPr>
          <w:rFonts w:ascii="Arial" w:hAnsi="Arial" w:eastAsia="Arial" w:cs="Arial"/>
          <w:sz w:val="21"/>
          <w:szCs w:val="21"/>
        </w:rPr>
        <w:sectPr>
          <w:footerReference r:id="rId45"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4"/>
        <w:gridCol w:w="240"/>
        <w:gridCol w:w="2183"/>
        <w:gridCol w:w="494"/>
        <w:gridCol w:w="974"/>
        <w:gridCol w:w="494"/>
        <w:gridCol w:w="480"/>
        <w:gridCol w:w="494"/>
        <w:gridCol w:w="1223"/>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096" w:type="dxa"/>
            <w:gridSpan w:val="9"/>
            <w:vAlign w:val="top"/>
          </w:tcPr>
          <w:p>
            <w:pPr>
              <w:pStyle w:val="8"/>
              <w:spacing w:before="41" w:line="215" w:lineRule="auto"/>
              <w:ind w:left="16"/>
            </w:pPr>
            <w:r>
              <w:rPr>
                <w:spacing w:val="-16"/>
              </w:rPr>
              <w:t>年。</w:t>
            </w:r>
          </w:p>
        </w:tc>
        <w:tc>
          <w:tcPr>
            <w:tcW w:w="6811" w:type="dxa"/>
            <w:vAlign w:val="top"/>
          </w:tcPr>
          <w:p>
            <w:pPr>
              <w:pStyle w:val="8"/>
              <w:spacing w:before="41" w:line="215" w:lineRule="auto"/>
              <w:ind w:left="26"/>
            </w:pPr>
            <w:r>
              <w:rPr>
                <w:spacing w:val="-16"/>
              </w:rPr>
              <w:t>十年。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2" w:hRule="atLeast"/>
        </w:trPr>
        <w:tc>
          <w:tcPr>
            <w:tcW w:w="7096" w:type="dxa"/>
            <w:gridSpan w:val="9"/>
            <w:vAlign w:val="top"/>
          </w:tcPr>
          <w:p>
            <w:pPr>
              <w:pStyle w:val="8"/>
              <w:spacing w:before="27" w:line="232" w:lineRule="auto"/>
              <w:ind w:left="15" w:firstLine="497"/>
            </w:pPr>
            <w:r>
              <w:rPr>
                <w:rFonts w:ascii="黑体" w:hAnsi="黑体" w:eastAsia="黑体" w:cs="黑体"/>
                <w:spacing w:val="3"/>
              </w:rPr>
              <w:t xml:space="preserve">第一百六十三条  </w:t>
            </w:r>
            <w:r>
              <w:rPr>
                <w:spacing w:val="3"/>
              </w:rPr>
              <w:t>证券登记结算机构应当设立证券结算风险基</w:t>
            </w:r>
            <w:r>
              <w:rPr>
                <w:spacing w:val="1"/>
              </w:rPr>
              <w:t xml:space="preserve"> </w:t>
            </w:r>
            <w:r>
              <w:rPr>
                <w:spacing w:val="3"/>
              </w:rPr>
              <w:t>金，用于垫付或者弥补因违约交收、技术故障、操作失误、不可抗</w:t>
            </w:r>
            <w:r>
              <w:rPr>
                <w:spacing w:val="17"/>
              </w:rPr>
              <w:t xml:space="preserve"> </w:t>
            </w:r>
            <w:r>
              <w:rPr>
                <w:spacing w:val="-4"/>
              </w:rPr>
              <w:t>力造成的证券登记结算机构的损失。</w:t>
            </w:r>
          </w:p>
          <w:p>
            <w:pPr>
              <w:pStyle w:val="8"/>
              <w:spacing w:before="29" w:line="228" w:lineRule="auto"/>
              <w:ind w:left="16" w:firstLine="503"/>
            </w:pPr>
            <w:r>
              <w:rPr>
                <w:spacing w:val="3"/>
              </w:rPr>
              <w:t>证券结算风险基金从证券登记结算机构的业务收入和收益</w:t>
            </w:r>
            <w:r>
              <w:rPr>
                <w:spacing w:val="2"/>
              </w:rPr>
              <w:t>中提</w:t>
            </w:r>
            <w:r>
              <w:t xml:space="preserve"> </w:t>
            </w:r>
            <w:r>
              <w:rPr>
                <w:spacing w:val="-2"/>
              </w:rPr>
              <w:t>取，并可以由结算参与人按照证券交易业务量的一定比例缴纳。</w:t>
            </w:r>
          </w:p>
          <w:p>
            <w:pPr>
              <w:pStyle w:val="8"/>
              <w:spacing w:before="30" w:line="228" w:lineRule="auto"/>
              <w:ind w:left="11" w:firstLine="508"/>
            </w:pPr>
            <w:r>
              <w:rPr>
                <w:spacing w:val="1"/>
              </w:rPr>
              <w:t>证券结算风险基金的筹集、管理办法，</w:t>
            </w:r>
            <w:r>
              <w:rPr>
                <w:spacing w:val="-66"/>
              </w:rPr>
              <w:t xml:space="preserve"> </w:t>
            </w:r>
            <w:r>
              <w:rPr>
                <w:spacing w:val="1"/>
              </w:rPr>
              <w:t>由国务院证券监督</w:t>
            </w:r>
            <w:r>
              <w:t xml:space="preserve">管理 </w:t>
            </w:r>
            <w:r>
              <w:rPr>
                <w:spacing w:val="-4"/>
              </w:rPr>
              <w:t>机构会同国务院财政部门规定。</w:t>
            </w:r>
          </w:p>
        </w:tc>
        <w:tc>
          <w:tcPr>
            <w:tcW w:w="6811" w:type="dxa"/>
            <w:vAlign w:val="top"/>
          </w:tcPr>
          <w:p>
            <w:pPr>
              <w:pStyle w:val="8"/>
              <w:spacing w:before="27" w:line="232" w:lineRule="auto"/>
              <w:ind w:left="11" w:right="4" w:firstLine="503"/>
              <w:jc w:val="both"/>
            </w:pPr>
            <w:r>
              <w:rPr>
                <w:rFonts w:ascii="黑体" w:hAnsi="黑体" w:eastAsia="黑体" w:cs="黑体"/>
                <w:spacing w:val="1"/>
              </w:rPr>
              <w:t xml:space="preserve">第一百五十四条  </w:t>
            </w:r>
            <w:r>
              <w:rPr>
                <w:spacing w:val="1"/>
              </w:rPr>
              <w:t>证券登记结算机构应当设立证券结算风险</w:t>
            </w:r>
            <w:r>
              <w:rPr>
                <w:spacing w:val="8"/>
              </w:rPr>
              <w:t xml:space="preserve"> </w:t>
            </w:r>
            <w:r>
              <w:rPr>
                <w:spacing w:val="1"/>
              </w:rPr>
              <w:t>基金，用于垫付或者弥补因违约交收、技术故障、操作失</w:t>
            </w:r>
            <w:r>
              <w:t xml:space="preserve">误、不 </w:t>
            </w:r>
            <w:r>
              <w:rPr>
                <w:spacing w:val="-3"/>
              </w:rPr>
              <w:t>可抗力造成的证券登记结算机构的损失。</w:t>
            </w:r>
          </w:p>
          <w:p>
            <w:pPr>
              <w:pStyle w:val="8"/>
              <w:spacing w:before="31" w:line="232" w:lineRule="auto"/>
              <w:ind w:left="13" w:right="2" w:firstLine="508"/>
              <w:jc w:val="both"/>
            </w:pPr>
            <w:r>
              <w:rPr>
                <w:spacing w:val="1"/>
              </w:rPr>
              <w:t>证券结算风险基金从证券登记结算机构的业务收入和收益中</w:t>
            </w:r>
            <w:r>
              <w:t xml:space="preserve"> </w:t>
            </w:r>
            <w:r>
              <w:rPr>
                <w:spacing w:val="11"/>
              </w:rPr>
              <w:t>提取，并可以由结算参与人按照证券交易业务量的一定比例缴</w:t>
            </w:r>
            <w:r>
              <w:rPr>
                <w:spacing w:val="1"/>
              </w:rPr>
              <w:t xml:space="preserve"> </w:t>
            </w:r>
            <w:r>
              <w:rPr>
                <w:spacing w:val="-15"/>
              </w:rPr>
              <w:t>纳。</w:t>
            </w:r>
          </w:p>
          <w:p>
            <w:pPr>
              <w:pStyle w:val="8"/>
              <w:spacing w:before="27" w:line="225" w:lineRule="auto"/>
              <w:ind w:left="18" w:right="7" w:firstLine="503"/>
              <w:jc w:val="both"/>
            </w:pPr>
            <w:r>
              <w:rPr>
                <w:spacing w:val="1"/>
              </w:rPr>
              <w:t>证券结算风险基金的筹集、管理办法，由国务院证券监督管</w:t>
            </w:r>
            <w:r>
              <w:t xml:space="preserve"> </w:t>
            </w:r>
            <w:r>
              <w:rPr>
                <w:spacing w:val="-4"/>
              </w:rPr>
              <w:t>理机构会同国务院财政部门规定。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7096" w:type="dxa"/>
            <w:gridSpan w:val="9"/>
            <w:vAlign w:val="top"/>
          </w:tcPr>
          <w:p>
            <w:pPr>
              <w:pStyle w:val="8"/>
              <w:spacing w:before="33" w:line="228" w:lineRule="auto"/>
              <w:ind w:left="10" w:firstLine="502"/>
            </w:pPr>
            <w:r>
              <w:rPr>
                <w:rFonts w:ascii="黑体" w:hAnsi="黑体" w:eastAsia="黑体" w:cs="黑体"/>
                <w:spacing w:val="3"/>
              </w:rPr>
              <w:t xml:space="preserve">第一百六十四条  </w:t>
            </w:r>
            <w:r>
              <w:rPr>
                <w:spacing w:val="3"/>
              </w:rPr>
              <w:t xml:space="preserve">证券结算风险基金应当存入指定银行的专门 </w:t>
            </w:r>
            <w:r>
              <w:rPr>
                <w:spacing w:val="-6"/>
              </w:rPr>
              <w:t>账户，实行专项管理。</w:t>
            </w:r>
          </w:p>
          <w:p>
            <w:pPr>
              <w:pStyle w:val="8"/>
              <w:spacing w:before="29" w:line="225" w:lineRule="auto"/>
              <w:ind w:left="17" w:firstLine="503"/>
            </w:pPr>
            <w:r>
              <w:rPr>
                <w:spacing w:val="-2"/>
              </w:rPr>
              <w:t>证券登记结算机构以证券结算风险基金赔偿后， 应当向有关责</w:t>
            </w:r>
            <w:r>
              <w:rPr>
                <w:spacing w:val="15"/>
              </w:rPr>
              <w:t xml:space="preserve"> </w:t>
            </w:r>
            <w:r>
              <w:rPr>
                <w:spacing w:val="-10"/>
              </w:rPr>
              <w:t>任人追偿。</w:t>
            </w:r>
          </w:p>
        </w:tc>
        <w:tc>
          <w:tcPr>
            <w:tcW w:w="6811" w:type="dxa"/>
            <w:vAlign w:val="top"/>
          </w:tcPr>
          <w:p>
            <w:pPr>
              <w:pStyle w:val="8"/>
              <w:spacing w:before="33" w:line="228" w:lineRule="auto"/>
              <w:ind w:left="42" w:right="4" w:firstLine="472"/>
            </w:pPr>
            <w:r>
              <w:rPr>
                <w:rFonts w:ascii="黑体" w:hAnsi="黑体" w:eastAsia="黑体" w:cs="黑体"/>
                <w:spacing w:val="1"/>
              </w:rPr>
              <w:t xml:space="preserve">第一百五十五条  </w:t>
            </w:r>
            <w:r>
              <w:rPr>
                <w:spacing w:val="1"/>
              </w:rPr>
              <w:t>证券结算风险基金应当存入指定银行的专</w:t>
            </w:r>
            <w:r>
              <w:rPr>
                <w:spacing w:val="8"/>
              </w:rPr>
              <w:t xml:space="preserve"> </w:t>
            </w:r>
            <w:r>
              <w:rPr>
                <w:spacing w:val="-8"/>
              </w:rPr>
              <w:t>门账户，实行专项管理。</w:t>
            </w:r>
          </w:p>
          <w:p>
            <w:pPr>
              <w:pStyle w:val="8"/>
              <w:spacing w:before="29" w:line="225" w:lineRule="auto"/>
              <w:ind w:left="23" w:right="7" w:firstLine="499"/>
            </w:pPr>
            <w:r>
              <w:rPr>
                <w:spacing w:val="1"/>
              </w:rPr>
              <w:t>证券登记结算机构以证券结算风险基金赔偿后，应当向有关</w:t>
            </w:r>
            <w:r>
              <w:t xml:space="preserve"> </w:t>
            </w:r>
            <w:r>
              <w:rPr>
                <w:spacing w:val="-10"/>
              </w:rPr>
              <w:t>责任人追偿。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096" w:type="dxa"/>
            <w:gridSpan w:val="9"/>
            <w:vAlign w:val="top"/>
          </w:tcPr>
          <w:p>
            <w:pPr>
              <w:pStyle w:val="8"/>
              <w:spacing w:before="30" w:line="225" w:lineRule="auto"/>
              <w:ind w:left="20" w:firstLine="492"/>
            </w:pPr>
            <w:r>
              <w:rPr>
                <w:rFonts w:ascii="黑体" w:hAnsi="黑体" w:eastAsia="黑体" w:cs="黑体"/>
                <w:spacing w:val="-1"/>
              </w:rPr>
              <w:t xml:space="preserve">第一百六十五条  </w:t>
            </w:r>
            <w:r>
              <w:rPr>
                <w:spacing w:val="-1"/>
              </w:rPr>
              <w:t>证券登记结算机构申请解散， 应</w:t>
            </w:r>
            <w:r>
              <w:rPr>
                <w:spacing w:val="-2"/>
              </w:rPr>
              <w:t>当经国务院</w:t>
            </w:r>
            <w:r>
              <w:t xml:space="preserve"> </w:t>
            </w:r>
            <w:r>
              <w:rPr>
                <w:spacing w:val="-6"/>
              </w:rPr>
              <w:t>证券监督管理机构批准。</w:t>
            </w:r>
          </w:p>
        </w:tc>
        <w:tc>
          <w:tcPr>
            <w:tcW w:w="6811" w:type="dxa"/>
            <w:vAlign w:val="top"/>
          </w:tcPr>
          <w:p>
            <w:pPr>
              <w:pStyle w:val="8"/>
              <w:spacing w:before="30" w:line="225" w:lineRule="auto"/>
              <w:ind w:left="32" w:right="4" w:firstLine="482"/>
            </w:pPr>
            <w:r>
              <w:rPr>
                <w:rFonts w:ascii="黑体" w:hAnsi="黑体" w:eastAsia="黑体" w:cs="黑体"/>
                <w:spacing w:val="-5"/>
              </w:rPr>
              <w:t xml:space="preserve">第一百五十六条  </w:t>
            </w:r>
            <w:r>
              <w:rPr>
                <w:spacing w:val="-5"/>
              </w:rPr>
              <w:t>证券登记结算机构申请解散，</w:t>
            </w:r>
            <w:r>
              <w:rPr>
                <w:spacing w:val="50"/>
              </w:rPr>
              <w:t xml:space="preserve"> </w:t>
            </w:r>
            <w:r>
              <w:rPr>
                <w:spacing w:val="-5"/>
              </w:rPr>
              <w:t>应当经国务</w:t>
            </w:r>
            <w:r>
              <w:t xml:space="preserve"> </w:t>
            </w:r>
            <w:r>
              <w:rPr>
                <w:spacing w:val="-6"/>
              </w:rPr>
              <w:t>院证券监督管理机构批准。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096" w:type="dxa"/>
            <w:gridSpan w:val="9"/>
            <w:tcBorders>
              <w:bottom w:val="nil"/>
            </w:tcBorders>
            <w:vAlign w:val="top"/>
          </w:tcPr>
          <w:p>
            <w:pPr>
              <w:pStyle w:val="8"/>
              <w:spacing w:before="34" w:line="206" w:lineRule="auto"/>
              <w:jc w:val="right"/>
            </w:pPr>
            <w:r>
              <w:rPr>
                <w:rFonts w:ascii="黑体" w:hAnsi="黑体" w:eastAsia="黑体" w:cs="黑体"/>
                <w:spacing w:val="-1"/>
              </w:rPr>
              <w:t xml:space="preserve">第一百六十六条  </w:t>
            </w:r>
            <w:r>
              <w:rPr>
                <w:spacing w:val="-1"/>
              </w:rPr>
              <w:t>投资者委托证券公司进行证券交易</w:t>
            </w:r>
            <w:r>
              <w:rPr>
                <w:spacing w:val="-2"/>
              </w:rPr>
              <w:t>， 应当申</w:t>
            </w:r>
          </w:p>
        </w:tc>
        <w:tc>
          <w:tcPr>
            <w:tcW w:w="6811" w:type="dxa"/>
            <w:vMerge w:val="restart"/>
            <w:tcBorders>
              <w:bottom w:val="nil"/>
            </w:tcBorders>
            <w:vAlign w:val="top"/>
          </w:tcPr>
          <w:p>
            <w:pPr>
              <w:pStyle w:val="8"/>
              <w:spacing w:before="34" w:line="232" w:lineRule="auto"/>
              <w:ind w:left="13" w:right="4" w:firstLine="501"/>
              <w:jc w:val="both"/>
            </w:pPr>
            <w:r>
              <w:rPr>
                <w:rFonts w:ascii="黑体" w:hAnsi="黑体" w:eastAsia="黑体" w:cs="黑体"/>
                <w:spacing w:val="1"/>
              </w:rPr>
              <w:t xml:space="preserve">第一百五十七条  </w:t>
            </w:r>
            <w:r>
              <w:rPr>
                <w:spacing w:val="1"/>
              </w:rPr>
              <w:t>投资者委托证券公司进行证券交易，应当</w:t>
            </w:r>
            <w:r>
              <w:rPr>
                <w:spacing w:val="8"/>
              </w:rPr>
              <w:t xml:space="preserve"> </w:t>
            </w:r>
            <w:r>
              <w:rPr>
                <w:rFonts w:ascii="黑体" w:hAnsi="黑体" w:eastAsia="黑体" w:cs="黑体"/>
                <w:spacing w:val="2"/>
              </w:rPr>
              <w:t>通过证券公司</w:t>
            </w:r>
            <w:r>
              <w:rPr>
                <w:spacing w:val="2"/>
              </w:rPr>
              <w:t>申请</w:t>
            </w:r>
            <w:r>
              <w:rPr>
                <w:rFonts w:ascii="黑体" w:hAnsi="黑体" w:eastAsia="黑体" w:cs="黑体"/>
                <w:spacing w:val="2"/>
              </w:rPr>
              <w:t>在证券登记结算机构</w:t>
            </w:r>
            <w:r>
              <w:rPr>
                <w:spacing w:val="2"/>
              </w:rPr>
              <w:t>开立证券账户。证券登记</w:t>
            </w:r>
            <w:r>
              <w:t xml:space="preserve"> </w:t>
            </w:r>
            <w:r>
              <w:rPr>
                <w:spacing w:val="-3"/>
              </w:rPr>
              <w:t>结算机构应当按照规定为投资者开立证券账户。</w:t>
            </w:r>
          </w:p>
          <w:p>
            <w:pPr>
              <w:pStyle w:val="8"/>
              <w:spacing w:before="28" w:line="230" w:lineRule="auto"/>
              <w:ind w:left="17" w:right="48" w:firstLine="500"/>
              <w:jc w:val="both"/>
            </w:pPr>
            <w:r>
              <w:rPr>
                <w:spacing w:val="-5"/>
              </w:rPr>
              <w:t xml:space="preserve">投资者申请开立账户， </w:t>
            </w:r>
            <w:r>
              <w:rPr>
                <w:rFonts w:ascii="黑体" w:hAnsi="黑体" w:eastAsia="黑体" w:cs="黑体"/>
                <w:spacing w:val="-5"/>
              </w:rPr>
              <w:t>应当</w:t>
            </w:r>
            <w:r>
              <w:rPr>
                <w:spacing w:val="-5"/>
              </w:rPr>
              <w:t>持有证明中华人民共和国公民、</w:t>
            </w:r>
            <w:r>
              <w:rPr>
                <w:spacing w:val="3"/>
              </w:rPr>
              <w:t xml:space="preserve"> </w:t>
            </w:r>
            <w:r>
              <w:rPr>
                <w:rFonts w:ascii="黑体" w:hAnsi="黑体" w:eastAsia="黑体" w:cs="黑体"/>
                <w:spacing w:val="-3"/>
              </w:rPr>
              <w:t>法人、合伙企业身份</w:t>
            </w:r>
            <w:r>
              <w:rPr>
                <w:spacing w:val="-3"/>
              </w:rPr>
              <w:t>的合法证件。国家另有规定的除外。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5379" w:type="dxa"/>
            <w:gridSpan w:val="7"/>
            <w:tcBorders>
              <w:top w:val="nil"/>
              <w:bottom w:val="nil"/>
              <w:right w:val="single" w:color="000000" w:sz="2" w:space="0"/>
            </w:tcBorders>
            <w:vAlign w:val="top"/>
          </w:tcPr>
          <w:p>
            <w:pPr>
              <w:pStyle w:val="8"/>
              <w:spacing w:before="40" w:line="204" w:lineRule="auto"/>
              <w:ind w:left="13"/>
            </w:pPr>
            <w:r>
              <w:rPr>
                <w:spacing w:val="2"/>
              </w:rPr>
              <w:t>请开立证券账户。证券登记结算机构应当按照规定</w:t>
            </w:r>
          </w:p>
        </w:tc>
        <w:tc>
          <w:tcPr>
            <w:tcW w:w="1717" w:type="dxa"/>
            <w:gridSpan w:val="2"/>
            <w:tcBorders>
              <w:top w:val="single" w:color="000000" w:sz="2" w:space="0"/>
              <w:left w:val="single" w:color="000000" w:sz="2" w:space="0"/>
              <w:bottom w:val="single" w:color="000000" w:sz="2" w:space="0"/>
            </w:tcBorders>
            <w:shd w:val="clear" w:color="auto" w:fill="D9D9D9"/>
            <w:vAlign w:val="top"/>
          </w:tcPr>
          <w:p>
            <w:pPr>
              <w:pStyle w:val="8"/>
              <w:spacing w:before="40" w:line="204" w:lineRule="auto"/>
              <w:ind w:left="39"/>
            </w:pPr>
            <w:r>
              <w:rPr>
                <w:spacing w:val="-4"/>
              </w:rPr>
              <w:t>以投资者本人的</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514" w:type="dxa"/>
            <w:tcBorders>
              <w:top w:val="single" w:color="000000" w:sz="2" w:space="0"/>
              <w:bottom w:val="single" w:color="000000" w:sz="2" w:space="0"/>
              <w:right w:val="single" w:color="000000" w:sz="2" w:space="0"/>
            </w:tcBorders>
            <w:shd w:val="clear" w:color="auto" w:fill="D9D9D9"/>
            <w:vAlign w:val="top"/>
          </w:tcPr>
          <w:p>
            <w:pPr>
              <w:pStyle w:val="8"/>
              <w:spacing w:before="50" w:line="212" w:lineRule="auto"/>
              <w:ind w:left="19"/>
            </w:pPr>
            <w:r>
              <w:rPr>
                <w:spacing w:val="-2"/>
              </w:rPr>
              <w:t>名义</w:t>
            </w:r>
          </w:p>
        </w:tc>
        <w:tc>
          <w:tcPr>
            <w:tcW w:w="2423" w:type="dxa"/>
            <w:gridSpan w:val="2"/>
            <w:vMerge w:val="restart"/>
            <w:tcBorders>
              <w:top w:val="nil"/>
              <w:left w:val="nil"/>
              <w:bottom w:val="nil"/>
              <w:right w:val="nil"/>
            </w:tcBorders>
            <w:vAlign w:val="top"/>
          </w:tcPr>
          <w:p>
            <w:pPr>
              <w:pStyle w:val="8"/>
              <w:spacing w:before="50" w:line="230" w:lineRule="auto"/>
              <w:ind w:left="7" w:right="25" w:firstLine="4"/>
            </w:pPr>
            <w:r>
              <w:rPr>
                <w:spacing w:val="-2"/>
              </w:rPr>
              <w:t>为投资者开立证券账户</w:t>
            </w:r>
            <w:r>
              <w:rPr>
                <w:spacing w:val="2"/>
              </w:rPr>
              <w:t xml:space="preserve"> </w:t>
            </w:r>
            <w:r>
              <w:rPr>
                <w:spacing w:val="-3"/>
              </w:rPr>
              <w:t>投资者申请开立账户，</w:t>
            </w:r>
          </w:p>
        </w:tc>
        <w:tc>
          <w:tcPr>
            <w:tcW w:w="494" w:type="dxa"/>
            <w:tcBorders>
              <w:top w:val="nil"/>
              <w:left w:val="nil"/>
              <w:bottom w:val="single" w:color="000000" w:sz="2" w:space="0"/>
              <w:right w:val="nil"/>
            </w:tcBorders>
            <w:vAlign w:val="top"/>
          </w:tcPr>
          <w:p>
            <w:pPr>
              <w:pStyle w:val="8"/>
              <w:spacing w:before="220" w:line="104" w:lineRule="exact"/>
            </w:pPr>
            <w:r>
              <w:rPr>
                <w:position w:val="1"/>
              </w:rPr>
              <w:t>。</w:t>
            </w:r>
          </w:p>
        </w:tc>
        <w:tc>
          <w:tcPr>
            <w:tcW w:w="974" w:type="dxa"/>
            <w:vMerge w:val="restart"/>
            <w:tcBorders>
              <w:top w:val="nil"/>
              <w:left w:val="nil"/>
              <w:bottom w:val="nil"/>
              <w:right w:val="nil"/>
            </w:tcBorders>
            <w:vAlign w:val="top"/>
          </w:tcPr>
          <w:p>
            <w:pPr>
              <w:spacing w:line="301" w:lineRule="auto"/>
              <w:rPr>
                <w:rFonts w:ascii="Arial"/>
                <w:sz w:val="21"/>
              </w:rPr>
            </w:pPr>
          </w:p>
          <w:p>
            <w:pPr>
              <w:pStyle w:val="8"/>
              <w:spacing w:before="78" w:line="206" w:lineRule="auto"/>
              <w:ind w:left="10"/>
            </w:pPr>
            <w:r>
              <w:rPr>
                <w:spacing w:val="-2"/>
              </w:rPr>
              <w:t>持有证明</w:t>
            </w:r>
          </w:p>
        </w:tc>
        <w:tc>
          <w:tcPr>
            <w:tcW w:w="494" w:type="dxa"/>
            <w:tcBorders>
              <w:top w:val="nil"/>
              <w:left w:val="nil"/>
              <w:bottom w:val="single" w:color="000000" w:sz="2" w:space="0"/>
              <w:right w:val="nil"/>
            </w:tcBorders>
            <w:vAlign w:val="top"/>
          </w:tcPr>
          <w:p>
            <w:pPr>
              <w:rPr>
                <w:rFonts w:ascii="Arial"/>
                <w:sz w:val="21"/>
              </w:rPr>
            </w:pPr>
          </w:p>
        </w:tc>
        <w:tc>
          <w:tcPr>
            <w:tcW w:w="974" w:type="dxa"/>
            <w:gridSpan w:val="2"/>
            <w:vMerge w:val="restart"/>
            <w:tcBorders>
              <w:top w:val="single" w:color="000000" w:sz="2" w:space="0"/>
              <w:left w:val="nil"/>
              <w:bottom w:val="nil"/>
              <w:right w:val="nil"/>
            </w:tcBorders>
            <w:vAlign w:val="top"/>
          </w:tcPr>
          <w:p>
            <w:pPr>
              <w:spacing w:line="302" w:lineRule="auto"/>
              <w:rPr>
                <w:rFonts w:ascii="Arial"/>
                <w:sz w:val="21"/>
              </w:rPr>
            </w:pPr>
          </w:p>
          <w:p>
            <w:pPr>
              <w:pStyle w:val="8"/>
              <w:spacing w:before="78" w:line="217" w:lineRule="auto"/>
              <w:ind w:left="8"/>
            </w:pPr>
            <w:r>
              <w:rPr>
                <w:spacing w:val="-2"/>
              </w:rPr>
              <w:t>公民身份</w:t>
            </w:r>
          </w:p>
        </w:tc>
        <w:tc>
          <w:tcPr>
            <w:tcW w:w="1223" w:type="dxa"/>
            <w:tcBorders>
              <w:top w:val="single" w:color="000000" w:sz="2" w:space="0"/>
              <w:left w:val="nil"/>
              <w:bottom w:val="single" w:color="000000" w:sz="2" w:space="0"/>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14" w:type="dxa"/>
            <w:tcBorders>
              <w:top w:val="single" w:color="000000" w:sz="2" w:space="0"/>
              <w:bottom w:val="single" w:color="000000" w:sz="2" w:space="0"/>
              <w:right w:val="nil"/>
            </w:tcBorders>
            <w:vAlign w:val="top"/>
          </w:tcPr>
          <w:p>
            <w:pPr>
              <w:rPr>
                <w:rFonts w:ascii="Arial"/>
                <w:sz w:val="21"/>
              </w:rPr>
            </w:pPr>
          </w:p>
        </w:tc>
        <w:tc>
          <w:tcPr>
            <w:tcW w:w="2423" w:type="dxa"/>
            <w:gridSpan w:val="2"/>
            <w:vMerge w:val="continue"/>
            <w:tcBorders>
              <w:top w:val="nil"/>
              <w:left w:val="nil"/>
              <w:bottom w:val="nil"/>
              <w:right w:val="nil"/>
            </w:tcBorders>
            <w:vAlign w:val="top"/>
          </w:tcPr>
          <w:p>
            <w:pPr>
              <w:rPr>
                <w:rFonts w:ascii="Arial"/>
                <w:sz w:val="21"/>
              </w:rPr>
            </w:pPr>
          </w:p>
        </w:tc>
        <w:tc>
          <w:tcPr>
            <w:tcW w:w="494"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0" w:line="206" w:lineRule="auto"/>
              <w:ind w:right="1"/>
              <w:jc w:val="right"/>
            </w:pPr>
            <w:r>
              <w:rPr>
                <w:spacing w:val="-6"/>
              </w:rPr>
              <w:t>必须</w:t>
            </w:r>
          </w:p>
        </w:tc>
        <w:tc>
          <w:tcPr>
            <w:tcW w:w="974" w:type="dxa"/>
            <w:vMerge w:val="continue"/>
            <w:tcBorders>
              <w:top w:val="nil"/>
              <w:left w:val="nil"/>
              <w:bottom w:val="nil"/>
              <w:right w:val="nil"/>
            </w:tcBorders>
            <w:vAlign w:val="top"/>
          </w:tcPr>
          <w:p>
            <w:pPr>
              <w:rPr>
                <w:rFonts w:ascii="Arial"/>
                <w:sz w:val="21"/>
              </w:rPr>
            </w:pPr>
          </w:p>
        </w:tc>
        <w:tc>
          <w:tcPr>
            <w:tcW w:w="494"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0" w:line="206" w:lineRule="auto"/>
              <w:jc w:val="right"/>
            </w:pPr>
            <w:r>
              <w:rPr>
                <w:spacing w:val="-19"/>
              </w:rPr>
              <w:t>中国</w:t>
            </w:r>
          </w:p>
        </w:tc>
        <w:tc>
          <w:tcPr>
            <w:tcW w:w="974" w:type="dxa"/>
            <w:gridSpan w:val="2"/>
            <w:vMerge w:val="continue"/>
            <w:tcBorders>
              <w:top w:val="nil"/>
              <w:left w:val="nil"/>
              <w:bottom w:val="nil"/>
              <w:right w:val="nil"/>
            </w:tcBorders>
            <w:vAlign w:val="top"/>
          </w:tcPr>
          <w:p>
            <w:pPr>
              <w:rPr>
                <w:rFonts w:ascii="Arial"/>
                <w:sz w:val="21"/>
              </w:rPr>
            </w:pPr>
          </w:p>
        </w:tc>
        <w:tc>
          <w:tcPr>
            <w:tcW w:w="1223" w:type="dxa"/>
            <w:tcBorders>
              <w:top w:val="single" w:color="000000" w:sz="2" w:space="0"/>
              <w:left w:val="single" w:color="000000" w:sz="2" w:space="0"/>
              <w:bottom w:val="single" w:color="000000" w:sz="2" w:space="0"/>
            </w:tcBorders>
            <w:shd w:val="clear" w:color="auto" w:fill="D9D9D9"/>
            <w:vAlign w:val="top"/>
          </w:tcPr>
          <w:p>
            <w:pPr>
              <w:pStyle w:val="8"/>
              <w:spacing w:before="40" w:line="206" w:lineRule="auto"/>
              <w:ind w:left="7"/>
            </w:pPr>
            <w:r>
              <w:rPr>
                <w:spacing w:val="-1"/>
              </w:rPr>
              <w:t>或者中国法</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754" w:type="dxa"/>
            <w:gridSpan w:val="2"/>
            <w:tcBorders>
              <w:top w:val="single" w:color="000000" w:sz="2" w:space="0"/>
              <w:right w:val="single" w:color="000000" w:sz="2" w:space="0"/>
            </w:tcBorders>
            <w:shd w:val="clear" w:color="auto" w:fill="D9D9D9"/>
            <w:vAlign w:val="top"/>
          </w:tcPr>
          <w:p>
            <w:pPr>
              <w:pStyle w:val="8"/>
              <w:spacing w:before="48" w:line="208" w:lineRule="auto"/>
              <w:ind w:left="25"/>
            </w:pPr>
            <w:r>
              <w:rPr>
                <w:spacing w:val="-3"/>
              </w:rPr>
              <w:t>人资格</w:t>
            </w:r>
          </w:p>
        </w:tc>
        <w:tc>
          <w:tcPr>
            <w:tcW w:w="4145" w:type="dxa"/>
            <w:gridSpan w:val="4"/>
            <w:tcBorders>
              <w:top w:val="nil"/>
              <w:left w:val="single" w:color="000000" w:sz="2" w:space="0"/>
              <w:right w:val="nil"/>
            </w:tcBorders>
            <w:vAlign w:val="top"/>
          </w:tcPr>
          <w:p>
            <w:pPr>
              <w:pStyle w:val="8"/>
              <w:spacing w:before="48" w:line="208" w:lineRule="auto"/>
              <w:ind w:left="24"/>
            </w:pPr>
            <w:r>
              <w:rPr>
                <w:spacing w:val="-5"/>
              </w:rPr>
              <w:t>的合法证件。国家另有规定的除外。</w:t>
            </w:r>
          </w:p>
        </w:tc>
        <w:tc>
          <w:tcPr>
            <w:tcW w:w="974" w:type="dxa"/>
            <w:gridSpan w:val="2"/>
            <w:vMerge w:val="continue"/>
            <w:tcBorders>
              <w:top w:val="nil"/>
              <w:left w:val="nil"/>
              <w:right w:val="nil"/>
            </w:tcBorders>
            <w:vAlign w:val="top"/>
          </w:tcPr>
          <w:p>
            <w:pPr>
              <w:rPr>
                <w:rFonts w:ascii="Arial"/>
                <w:sz w:val="21"/>
              </w:rPr>
            </w:pPr>
          </w:p>
        </w:tc>
        <w:tc>
          <w:tcPr>
            <w:tcW w:w="1223" w:type="dxa"/>
            <w:tcBorders>
              <w:top w:val="single" w:color="000000" w:sz="2" w:space="0"/>
              <w:left w:val="nil"/>
            </w:tcBorders>
            <w:vAlign w:val="top"/>
          </w:tcPr>
          <w:p>
            <w:pPr>
              <w:rPr>
                <w:rFonts w:ascii="Arial"/>
                <w:sz w:val="21"/>
              </w:rPr>
            </w:pP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8" w:hRule="atLeast"/>
        </w:trPr>
        <w:tc>
          <w:tcPr>
            <w:tcW w:w="7096" w:type="dxa"/>
            <w:gridSpan w:val="9"/>
            <w:vAlign w:val="top"/>
          </w:tcPr>
          <w:p>
            <w:pPr>
              <w:pStyle w:val="8"/>
              <w:spacing w:before="46" w:line="231" w:lineRule="auto"/>
              <w:ind w:left="16" w:firstLine="496"/>
            </w:pPr>
            <w:r>
              <w:rPr>
                <w:rFonts w:ascii="黑体" w:hAnsi="黑体" w:eastAsia="黑体" w:cs="黑体"/>
                <w:spacing w:val="3"/>
              </w:rPr>
              <w:t xml:space="preserve">第一百六十七条  </w:t>
            </w:r>
            <w:r>
              <w:rPr>
                <w:spacing w:val="3"/>
              </w:rPr>
              <w:t>证券登记结算机构为证券交易提供净额结算</w:t>
            </w:r>
            <w:r>
              <w:rPr>
                <w:spacing w:val="1"/>
              </w:rPr>
              <w:t xml:space="preserve"> </w:t>
            </w:r>
            <w:r>
              <w:rPr>
                <w:spacing w:val="3"/>
              </w:rPr>
              <w:t>服务时，应当要求结算参与人按照货银对付的原则，足额交付证券</w:t>
            </w:r>
            <w:r>
              <w:rPr>
                <w:spacing w:val="16"/>
              </w:rPr>
              <w:t xml:space="preserve"> </w:t>
            </w:r>
            <w:r>
              <w:rPr>
                <w:spacing w:val="-5"/>
              </w:rPr>
              <w:t>和资金，并提供交收担保。</w:t>
            </w:r>
          </w:p>
          <w:p>
            <w:pPr>
              <w:pStyle w:val="8"/>
              <w:spacing w:before="32" w:line="227" w:lineRule="auto"/>
              <w:ind w:left="10" w:firstLine="505"/>
            </w:pPr>
            <w:r>
              <w:rPr>
                <w:spacing w:val="3"/>
              </w:rPr>
              <w:t xml:space="preserve">在交收完成之前，任何人不得动用用于交收的证券、资金和担 </w:t>
            </w:r>
            <w:r>
              <w:rPr>
                <w:spacing w:val="-13"/>
              </w:rPr>
              <w:t>保物。</w:t>
            </w:r>
          </w:p>
          <w:p>
            <w:pPr>
              <w:pStyle w:val="8"/>
              <w:spacing w:before="32" w:line="228" w:lineRule="auto"/>
              <w:ind w:left="31" w:firstLine="489"/>
            </w:pPr>
            <w:r>
              <w:rPr>
                <w:spacing w:val="-2"/>
              </w:rPr>
              <w:t>结算参与人未按时履行交收义务的， 证券登记结算机构有权按</w:t>
            </w:r>
            <w:r>
              <w:rPr>
                <w:spacing w:val="15"/>
              </w:rPr>
              <w:t xml:space="preserve"> </w:t>
            </w:r>
            <w:r>
              <w:rPr>
                <w:spacing w:val="-6"/>
              </w:rPr>
              <w:t>照业务规则处理前款所述财产。</w:t>
            </w:r>
          </w:p>
        </w:tc>
        <w:tc>
          <w:tcPr>
            <w:tcW w:w="6811" w:type="dxa"/>
            <w:vAlign w:val="top"/>
          </w:tcPr>
          <w:p>
            <w:pPr>
              <w:spacing w:before="46" w:line="230" w:lineRule="auto"/>
              <w:ind w:left="15" w:right="4" w:firstLine="499"/>
              <w:rPr>
                <w:rFonts w:ascii="黑体" w:hAnsi="黑体" w:eastAsia="黑体" w:cs="黑体"/>
                <w:sz w:val="24"/>
                <w:szCs w:val="24"/>
              </w:rPr>
            </w:pPr>
            <w:r>
              <w:rPr>
                <w:rFonts w:ascii="黑体" w:hAnsi="黑体" w:eastAsia="黑体" w:cs="黑体"/>
                <w:spacing w:val="1"/>
                <w:sz w:val="24"/>
                <w:szCs w:val="24"/>
              </w:rPr>
              <w:t>第一百五十八条  证券登记结算机构作为中央对手方提供证</w:t>
            </w:r>
            <w:r>
              <w:rPr>
                <w:rFonts w:ascii="黑体" w:hAnsi="黑体" w:eastAsia="黑体" w:cs="黑体"/>
                <w:spacing w:val="8"/>
                <w:sz w:val="24"/>
                <w:szCs w:val="24"/>
              </w:rPr>
              <w:t xml:space="preserve"> </w:t>
            </w:r>
            <w:r>
              <w:rPr>
                <w:rFonts w:ascii="黑体" w:hAnsi="黑体" w:eastAsia="黑体" w:cs="黑体"/>
                <w:spacing w:val="2"/>
                <w:sz w:val="24"/>
                <w:szCs w:val="24"/>
              </w:rPr>
              <w:t>券结算服务的，是结算参与人共同的清算交收对手，</w:t>
            </w:r>
            <w:r>
              <w:rPr>
                <w:rFonts w:ascii="黑体" w:hAnsi="黑体" w:eastAsia="黑体" w:cs="黑体"/>
                <w:spacing w:val="1"/>
                <w:sz w:val="24"/>
                <w:szCs w:val="24"/>
              </w:rPr>
              <w:t>进行净额结</w:t>
            </w:r>
            <w:r>
              <w:rPr>
                <w:rFonts w:ascii="黑体" w:hAnsi="黑体" w:eastAsia="黑体" w:cs="黑体"/>
                <w:sz w:val="24"/>
                <w:szCs w:val="24"/>
              </w:rPr>
              <w:t xml:space="preserve"> </w:t>
            </w:r>
            <w:r>
              <w:rPr>
                <w:rFonts w:ascii="黑体" w:hAnsi="黑体" w:eastAsia="黑体" w:cs="黑体"/>
                <w:spacing w:val="-3"/>
                <w:sz w:val="24"/>
                <w:szCs w:val="24"/>
              </w:rPr>
              <w:t>算，为证券交易提供集中履约保障。</w:t>
            </w:r>
          </w:p>
          <w:p>
            <w:pPr>
              <w:pStyle w:val="8"/>
              <w:spacing w:before="38" w:line="231" w:lineRule="auto"/>
              <w:ind w:left="11" w:right="7" w:firstLine="511"/>
            </w:pPr>
            <w:r>
              <w:rPr>
                <w:spacing w:val="1"/>
              </w:rPr>
              <w:t>证券登记结算机构为证券交易提供净额结算服务时，应当要</w:t>
            </w:r>
            <w:r>
              <w:t xml:space="preserve"> </w:t>
            </w:r>
            <w:r>
              <w:rPr>
                <w:spacing w:val="-6"/>
              </w:rPr>
              <w:t>求结算参与人按照货银对付的原则， 足额交付证券和资金</w:t>
            </w:r>
            <w:r>
              <w:rPr>
                <w:spacing w:val="-7"/>
              </w:rPr>
              <w:t>， 并提</w:t>
            </w:r>
            <w:r>
              <w:t xml:space="preserve"> </w:t>
            </w:r>
            <w:r>
              <w:rPr>
                <w:spacing w:val="-8"/>
              </w:rPr>
              <w:t>供交收担保。</w:t>
            </w:r>
          </w:p>
          <w:p>
            <w:pPr>
              <w:pStyle w:val="8"/>
              <w:spacing w:before="31" w:line="228" w:lineRule="auto"/>
              <w:ind w:left="18" w:right="6" w:firstLine="499"/>
            </w:pPr>
            <w:r>
              <w:rPr>
                <w:spacing w:val="1"/>
              </w:rPr>
              <w:t>在交收完成之前，任何人不得动用用于交收的证券、资金和</w:t>
            </w:r>
            <w:r>
              <w:rPr>
                <w:spacing w:val="4"/>
              </w:rPr>
              <w:t xml:space="preserve"> </w:t>
            </w:r>
            <w:r>
              <w:rPr>
                <w:spacing w:val="-12"/>
              </w:rPr>
              <w:t>担保物。</w:t>
            </w:r>
          </w:p>
          <w:p>
            <w:pPr>
              <w:pStyle w:val="8"/>
              <w:spacing w:before="29" w:line="224" w:lineRule="auto"/>
              <w:ind w:left="16" w:right="6" w:firstLine="505"/>
            </w:pPr>
            <w:r>
              <w:rPr>
                <w:spacing w:val="-4"/>
              </w:rPr>
              <w:t>结算参与人未按时履行交收义务的， 证券登记结算机构有权</w:t>
            </w:r>
            <w:r>
              <w:rPr>
                <w:spacing w:val="13"/>
              </w:rPr>
              <w:t xml:space="preserve"> </w:t>
            </w:r>
            <w:r>
              <w:rPr>
                <w:spacing w:val="-4"/>
              </w:rPr>
              <w:t>按照业务规则处理前款所述财产。</w:t>
            </w:r>
          </w:p>
        </w:tc>
      </w:tr>
    </w:tbl>
    <w:p>
      <w:pPr>
        <w:spacing w:before="56" w:line="186"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p>
      <w:pPr>
        <w:spacing w:line="186" w:lineRule="auto"/>
        <w:rPr>
          <w:rFonts w:ascii="Times New Roman" w:hAnsi="Times New Roman" w:eastAsia="Times New Roman" w:cs="Times New Roman"/>
          <w:sz w:val="18"/>
          <w:szCs w:val="18"/>
        </w:rPr>
        <w:sectPr>
          <w:footerReference r:id="rId46"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1422"/>
        <w:gridCol w:w="2176"/>
        <w:gridCol w:w="1441"/>
        <w:gridCol w:w="81"/>
        <w:gridCol w:w="1211"/>
        <w:gridCol w:w="246"/>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1" w:hRule="atLeast"/>
        </w:trPr>
        <w:tc>
          <w:tcPr>
            <w:tcW w:w="7097" w:type="dxa"/>
            <w:gridSpan w:val="7"/>
            <w:vAlign w:val="top"/>
          </w:tcPr>
          <w:p>
            <w:pPr>
              <w:pStyle w:val="8"/>
              <w:spacing w:before="40" w:line="231" w:lineRule="auto"/>
              <w:ind w:left="17" w:firstLine="495"/>
              <w:jc w:val="both"/>
            </w:pPr>
            <w:r>
              <w:rPr>
                <w:rFonts w:ascii="黑体" w:hAnsi="黑体" w:eastAsia="黑体" w:cs="黑体"/>
                <w:spacing w:val="3"/>
              </w:rPr>
              <w:t xml:space="preserve">第一百六十八条  </w:t>
            </w:r>
            <w:r>
              <w:rPr>
                <w:spacing w:val="3"/>
              </w:rPr>
              <w:t>证券登记结算机构按照业务规则收取的各类</w:t>
            </w:r>
            <w:r>
              <w:rPr>
                <w:spacing w:val="2"/>
              </w:rPr>
              <w:t xml:space="preserve"> </w:t>
            </w:r>
            <w:r>
              <w:rPr>
                <w:spacing w:val="3"/>
              </w:rPr>
              <w:t>结算资金和证券，必须存放于专门的清算交收账户，只能按业务规</w:t>
            </w:r>
            <w:r>
              <w:rPr>
                <w:spacing w:val="16"/>
              </w:rPr>
              <w:t xml:space="preserve"> </w:t>
            </w:r>
            <w:r>
              <w:rPr>
                <w:spacing w:val="-3"/>
              </w:rPr>
              <w:t>则用于已成交的证券交易的清算交收，不得被强制执行。</w:t>
            </w:r>
          </w:p>
        </w:tc>
        <w:tc>
          <w:tcPr>
            <w:tcW w:w="6810" w:type="dxa"/>
            <w:vAlign w:val="top"/>
          </w:tcPr>
          <w:p>
            <w:pPr>
              <w:pStyle w:val="8"/>
              <w:spacing w:before="40" w:line="231" w:lineRule="auto"/>
              <w:ind w:left="19" w:right="4" w:firstLine="494"/>
              <w:jc w:val="both"/>
            </w:pPr>
            <w:r>
              <w:rPr>
                <w:rFonts w:ascii="黑体" w:hAnsi="黑体" w:eastAsia="黑体" w:cs="黑体"/>
                <w:spacing w:val="1"/>
              </w:rPr>
              <w:t xml:space="preserve">第一百五十九条  </w:t>
            </w:r>
            <w:r>
              <w:rPr>
                <w:spacing w:val="1"/>
              </w:rPr>
              <w:t>证券登记结算机构按照业务规则收取的各</w:t>
            </w:r>
            <w:r>
              <w:rPr>
                <w:spacing w:val="8"/>
              </w:rPr>
              <w:t xml:space="preserve"> </w:t>
            </w:r>
            <w:r>
              <w:rPr>
                <w:spacing w:val="-3"/>
              </w:rPr>
              <w:t>类结算资金和证券，必须存放于专门的清算交收账户， 只能按业</w:t>
            </w:r>
            <w:r>
              <w:rPr>
                <w:spacing w:val="13"/>
              </w:rPr>
              <w:t xml:space="preserve"> </w:t>
            </w:r>
            <w:r>
              <w:rPr>
                <w:spacing w:val="-2"/>
              </w:rPr>
              <w:t>务规则用于已成交的证券交易的清算交收，</w:t>
            </w:r>
            <w:r>
              <w:rPr>
                <w:spacing w:val="-3"/>
              </w:rPr>
              <w:t>不得被强制执行。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7097" w:type="dxa"/>
            <w:gridSpan w:val="7"/>
            <w:vAlign w:val="top"/>
          </w:tcPr>
          <w:p>
            <w:pPr>
              <w:spacing w:before="27" w:line="221" w:lineRule="auto"/>
              <w:ind w:left="2351"/>
              <w:rPr>
                <w:rFonts w:ascii="黑体" w:hAnsi="黑体" w:eastAsia="黑体" w:cs="黑体"/>
                <w:sz w:val="24"/>
                <w:szCs w:val="24"/>
              </w:rPr>
            </w:pPr>
            <w:r>
              <w:rPr>
                <w:rFonts w:ascii="黑体" w:hAnsi="黑体" w:eastAsia="黑体" w:cs="黑体"/>
                <w:spacing w:val="-1"/>
                <w:sz w:val="24"/>
                <w:szCs w:val="24"/>
              </w:rPr>
              <w:t>第八章  证券服务机构</w:t>
            </w:r>
          </w:p>
        </w:tc>
        <w:tc>
          <w:tcPr>
            <w:tcW w:w="6810" w:type="dxa"/>
            <w:vAlign w:val="top"/>
          </w:tcPr>
          <w:p>
            <w:pPr>
              <w:spacing w:before="27" w:line="221" w:lineRule="auto"/>
              <w:ind w:left="2205"/>
              <w:rPr>
                <w:rFonts w:ascii="黑体" w:hAnsi="黑体" w:eastAsia="黑体" w:cs="黑体"/>
                <w:sz w:val="24"/>
                <w:szCs w:val="24"/>
              </w:rPr>
            </w:pPr>
            <w:r>
              <w:rPr>
                <w:rFonts w:ascii="黑体" w:hAnsi="黑体" w:eastAsia="黑体" w:cs="黑体"/>
                <w:spacing w:val="-1"/>
                <w:sz w:val="24"/>
                <w:szCs w:val="24"/>
              </w:rPr>
              <w:t>第十章  证券服务机构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5640" w:type="dxa"/>
            <w:gridSpan w:val="5"/>
            <w:vMerge w:val="restart"/>
            <w:tcBorders>
              <w:bottom w:val="nil"/>
              <w:right w:val="single" w:color="000000" w:sz="2" w:space="0"/>
            </w:tcBorders>
            <w:vAlign w:val="top"/>
          </w:tcPr>
          <w:p>
            <w:pPr>
              <w:pStyle w:val="8"/>
              <w:spacing w:line="231" w:lineRule="auto"/>
              <w:ind w:right="6"/>
              <w:jc w:val="right"/>
            </w:pPr>
            <w:r>
              <w:pict>
                <v:shape id="_x0000_s1094" o:spid="_x0000_s1094" style="position:absolute;left:0pt;margin-left:172.15pt;margin-top:15.75pt;height:0.15pt;width:24.4pt;mso-position-horizontal-relative:page;mso-position-vertical-relative:page;z-index:-251592704;mso-width-relative:page;mso-height-relative:page;" fillcolor="#000000" filled="t" stroked="f" coordsize="487,3" path="m0,0l487,0,487,2,0,2,0,0xe">
                  <v:path/>
                  <v:fill on="t" focussize="0,0"/>
                  <v:stroke on="f"/>
                  <v:imagedata o:title=""/>
                  <o:lock v:ext="edit"/>
                </v:shape>
              </w:pict>
            </w:r>
            <w:r>
              <w:pict>
                <v:shape id="_x0000_s1095" o:spid="_x0000_s1095" style="position:absolute;left:0pt;margin-left:257.6pt;margin-top:15.75pt;height:0.15pt;width:24.25pt;mso-position-horizontal-relative:page;mso-position-vertical-relative:page;z-index:-251591680;mso-width-relative:page;mso-height-relative:page;" fillcolor="#000000" filled="t" stroked="f" coordsize="485,3" path="m0,0l484,0,484,2,0,2,0,0xe">
                  <v:path/>
                  <v:fill on="t" focussize="0,0"/>
                  <v:stroke on="f"/>
                  <v:imagedata o:title=""/>
                  <o:lock v:ext="edit"/>
                </v:shape>
              </w:pict>
            </w:r>
            <w:r>
              <w:rPr>
                <w:rFonts w:ascii="黑体" w:hAnsi="黑体" w:eastAsia="黑体" w:cs="黑体"/>
                <w:spacing w:val="2"/>
              </w:rPr>
              <w:t xml:space="preserve">第一百六十九条  </w:t>
            </w:r>
            <w:r>
              <w:rPr>
                <w:spacing w:val="2"/>
              </w:rPr>
              <w:t>投资咨询</w:t>
            </w:r>
            <w:r>
              <w:rPr>
                <w:position w:val="-6"/>
              </w:rPr>
              <w:drawing>
                <wp:inline distT="0" distB="0" distL="0" distR="0">
                  <wp:extent cx="3810" cy="19050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84"/>
                          <a:stretch>
                            <a:fillRect/>
                          </a:stretch>
                        </pic:blipFill>
                        <pic:spPr>
                          <a:xfrm>
                            <a:off x="0" y="0"/>
                            <a:ext cx="4241" cy="190880"/>
                          </a:xfrm>
                          <a:prstGeom prst="rect">
                            <a:avLst/>
                          </a:prstGeom>
                        </pic:spPr>
                      </pic:pic>
                    </a:graphicData>
                  </a:graphic>
                </wp:inline>
              </w:drawing>
            </w:r>
            <w:r>
              <w:rPr>
                <w:spacing w:val="2"/>
                <w:shd w:val="clear" w:fill="D9D9D9"/>
              </w:rPr>
              <w:t>机构</w:t>
            </w:r>
            <w:r>
              <w:rPr>
                <w:position w:val="-6"/>
              </w:rPr>
              <w:drawing>
                <wp:inline distT="0" distB="0" distL="0" distR="0">
                  <wp:extent cx="3810" cy="19050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84"/>
                          <a:stretch>
                            <a:fillRect/>
                          </a:stretch>
                        </pic:blipFill>
                        <pic:spPr>
                          <a:xfrm>
                            <a:off x="0" y="0"/>
                            <a:ext cx="4241" cy="190880"/>
                          </a:xfrm>
                          <a:prstGeom prst="rect">
                            <a:avLst/>
                          </a:prstGeom>
                        </pic:spPr>
                      </pic:pic>
                    </a:graphicData>
                  </a:graphic>
                </wp:inline>
              </w:drawing>
            </w:r>
            <w:r>
              <w:rPr>
                <w:spacing w:val="2"/>
              </w:rPr>
              <w:t>、财务顾问</w:t>
            </w:r>
            <w:r>
              <w:rPr>
                <w:spacing w:val="-115"/>
              </w:rPr>
              <w:t xml:space="preserve"> </w:t>
            </w:r>
            <w:r>
              <w:rPr>
                <w:position w:val="-6"/>
              </w:rPr>
              <w:drawing>
                <wp:inline distT="0" distB="0" distL="0" distR="0">
                  <wp:extent cx="3810" cy="19050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84"/>
                          <a:stretch>
                            <a:fillRect/>
                          </a:stretch>
                        </pic:blipFill>
                        <pic:spPr>
                          <a:xfrm>
                            <a:off x="0" y="0"/>
                            <a:ext cx="4241" cy="190880"/>
                          </a:xfrm>
                          <a:prstGeom prst="rect">
                            <a:avLst/>
                          </a:prstGeom>
                        </pic:spPr>
                      </pic:pic>
                    </a:graphicData>
                  </a:graphic>
                </wp:inline>
              </w:drawing>
            </w:r>
            <w:r>
              <w:rPr>
                <w:spacing w:val="2"/>
                <w:shd w:val="clear" w:fill="D9D9D9"/>
              </w:rPr>
              <w:t>机构</w:t>
            </w:r>
          </w:p>
          <w:p>
            <w:pPr>
              <w:pStyle w:val="8"/>
              <w:spacing w:line="243" w:lineRule="auto"/>
              <w:jc w:val="right"/>
            </w:pPr>
            <w:r>
              <w:pict>
                <v:shape id="_x0000_s1096" o:spid="_x0000_s1096" style="position:absolute;left:0pt;margin-left:73.9pt;margin-top:0.25pt;height:0.15pt;width:24.5pt;z-index:251725824;mso-width-relative:page;mso-height-relative:page;" fillcolor="#000000" filled="t" stroked="f" coordsize="490,3" path="m0,0l489,0,489,2,0,2,0,0xe">
                  <v:path/>
                  <v:fill on="t" focussize="0,0"/>
                  <v:stroke on="f"/>
                  <v:imagedata o:title=""/>
                  <o:lock v:ext="edit"/>
                </v:shape>
              </w:pict>
            </w:r>
            <w:r>
              <w:rPr>
                <w:position w:val="23"/>
                <w:shd w:val="clear" w:fill="D9D9D9"/>
              </w:rPr>
              <w:drawing>
                <wp:inline distT="0" distB="0" distL="0" distR="0">
                  <wp:extent cx="151130" cy="127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121"/>
                          <a:stretch>
                            <a:fillRect/>
                          </a:stretch>
                        </pic:blipFill>
                        <pic:spPr>
                          <a:xfrm>
                            <a:off x="0" y="0"/>
                            <a:ext cx="151550" cy="1523"/>
                          </a:xfrm>
                          <a:prstGeom prst="rect">
                            <a:avLst/>
                          </a:prstGeom>
                        </pic:spPr>
                      </pic:pic>
                    </a:graphicData>
                  </a:graphic>
                </wp:inline>
              </w:drawing>
            </w:r>
            <w:r>
              <w:rPr>
                <w:spacing w:val="-10"/>
                <w:u w:val="single" w:color="auto"/>
                <w:shd w:val="clear" w:fill="D9D9D9"/>
              </w:rPr>
              <w:t>构</w:t>
            </w:r>
            <w:r>
              <w:rPr>
                <w:spacing w:val="-111"/>
                <w:u w:val="single" w:color="auto"/>
                <w:shd w:val="clear" w:fill="D9D9D9"/>
              </w:rPr>
              <w:t xml:space="preserve"> </w:t>
            </w:r>
            <w:r>
              <w:rPr>
                <w:position w:val="23"/>
              </w:rPr>
              <w:drawing>
                <wp:inline distT="0" distB="0" distL="0" distR="0">
                  <wp:extent cx="1270" cy="127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74"/>
                          <a:stretch>
                            <a:fillRect/>
                          </a:stretch>
                        </pic:blipFill>
                        <pic:spPr>
                          <a:xfrm>
                            <a:off x="0" y="0"/>
                            <a:ext cx="1482" cy="1523"/>
                          </a:xfrm>
                          <a:prstGeom prst="rect">
                            <a:avLst/>
                          </a:prstGeom>
                        </pic:spPr>
                      </pic:pic>
                    </a:graphicData>
                  </a:graphic>
                </wp:inline>
              </w:drawing>
            </w:r>
            <w:r>
              <w:rPr>
                <w:position w:val="-6"/>
              </w:rPr>
              <w:drawing>
                <wp:inline distT="0" distB="0" distL="0" distR="0">
                  <wp:extent cx="1270" cy="19304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76"/>
                          <a:stretch>
                            <a:fillRect/>
                          </a:stretch>
                        </pic:blipFill>
                        <pic:spPr>
                          <a:xfrm>
                            <a:off x="0" y="0"/>
                            <a:ext cx="1482" cy="193547"/>
                          </a:xfrm>
                          <a:prstGeom prst="rect">
                            <a:avLst/>
                          </a:prstGeom>
                        </pic:spPr>
                      </pic:pic>
                    </a:graphicData>
                  </a:graphic>
                </wp:inline>
              </w:drawing>
            </w:r>
            <w:r>
              <w:rPr>
                <w:spacing w:val="-10"/>
                <w:u w:val="single" w:color="auto"/>
              </w:rPr>
              <w:t>、资产评估</w:t>
            </w:r>
            <w:r>
              <w:rPr>
                <w:spacing w:val="-117"/>
                <w:u w:val="single" w:color="auto"/>
              </w:rPr>
              <w:t xml:space="preserve"> </w:t>
            </w:r>
            <w:r>
              <w:rPr>
                <w:position w:val="23"/>
              </w:rPr>
              <w:drawing>
                <wp:inline distT="0" distB="0" distL="0" distR="0">
                  <wp:extent cx="1270" cy="127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74"/>
                          <a:stretch>
                            <a:fillRect/>
                          </a:stretch>
                        </pic:blipFill>
                        <pic:spPr>
                          <a:xfrm>
                            <a:off x="0" y="0"/>
                            <a:ext cx="1482" cy="1523"/>
                          </a:xfrm>
                          <a:prstGeom prst="rect">
                            <a:avLst/>
                          </a:prstGeom>
                        </pic:spPr>
                      </pic:pic>
                    </a:graphicData>
                  </a:graphic>
                </wp:inline>
              </w:drawing>
            </w:r>
            <w:r>
              <w:rPr>
                <w:position w:val="-6"/>
              </w:rPr>
              <w:drawing>
                <wp:inline distT="0" distB="0" distL="0" distR="0">
                  <wp:extent cx="1270" cy="19304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76"/>
                          <a:stretch>
                            <a:fillRect/>
                          </a:stretch>
                        </pic:blipFill>
                        <pic:spPr>
                          <a:xfrm>
                            <a:off x="0" y="0"/>
                            <a:ext cx="1482" cy="193547"/>
                          </a:xfrm>
                          <a:prstGeom prst="rect">
                            <a:avLst/>
                          </a:prstGeom>
                        </pic:spPr>
                      </pic:pic>
                    </a:graphicData>
                  </a:graphic>
                </wp:inline>
              </w:drawing>
            </w:r>
            <w:r>
              <w:rPr>
                <w:spacing w:val="-10"/>
                <w:u w:val="single" w:color="auto"/>
                <w:shd w:val="clear" w:fill="D9D9D9"/>
              </w:rPr>
              <w:t>机构</w:t>
            </w:r>
            <w:r>
              <w:rPr>
                <w:spacing w:val="-115"/>
                <w:u w:val="single" w:color="auto"/>
                <w:shd w:val="clear" w:fill="D9D9D9"/>
              </w:rPr>
              <w:t xml:space="preserve"> </w:t>
            </w:r>
            <w:r>
              <w:rPr>
                <w:position w:val="23"/>
              </w:rPr>
              <w:drawing>
                <wp:inline distT="0" distB="0" distL="0" distR="0">
                  <wp:extent cx="1270" cy="127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72"/>
                          <a:stretch>
                            <a:fillRect/>
                          </a:stretch>
                        </pic:blipFill>
                        <pic:spPr>
                          <a:xfrm>
                            <a:off x="0" y="0"/>
                            <a:ext cx="1482" cy="1523"/>
                          </a:xfrm>
                          <a:prstGeom prst="rect">
                            <a:avLst/>
                          </a:prstGeom>
                        </pic:spPr>
                      </pic:pic>
                    </a:graphicData>
                  </a:graphic>
                </wp:inline>
              </w:drawing>
            </w:r>
            <w:r>
              <w:rPr>
                <w:position w:val="-6"/>
              </w:rPr>
              <w:drawing>
                <wp:inline distT="0" distB="0" distL="0" distR="0">
                  <wp:extent cx="1270" cy="19304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88"/>
                          <a:stretch>
                            <a:fillRect/>
                          </a:stretch>
                        </pic:blipFill>
                        <pic:spPr>
                          <a:xfrm>
                            <a:off x="0" y="0"/>
                            <a:ext cx="1482" cy="193547"/>
                          </a:xfrm>
                          <a:prstGeom prst="rect">
                            <a:avLst/>
                          </a:prstGeom>
                        </pic:spPr>
                      </pic:pic>
                    </a:graphicData>
                  </a:graphic>
                </wp:inline>
              </w:drawing>
            </w:r>
            <w:r>
              <w:rPr>
                <w:spacing w:val="-10"/>
                <w:u w:val="single" w:color="auto"/>
              </w:rPr>
              <w:t>、会计师事务</w:t>
            </w:r>
            <w:r>
              <w:rPr>
                <w:position w:val="24"/>
              </w:rPr>
              <w:drawing>
                <wp:inline distT="0" distB="0" distL="0" distR="0">
                  <wp:extent cx="1270" cy="127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74"/>
                          <a:stretch>
                            <a:fillRect/>
                          </a:stretch>
                        </pic:blipFill>
                        <pic:spPr>
                          <a:xfrm>
                            <a:off x="0" y="0"/>
                            <a:ext cx="1482" cy="1523"/>
                          </a:xfrm>
                          <a:prstGeom prst="rect">
                            <a:avLst/>
                          </a:prstGeom>
                        </pic:spPr>
                      </pic:pic>
                    </a:graphicData>
                  </a:graphic>
                </wp:inline>
              </w:drawing>
            </w:r>
            <w:r>
              <w:rPr>
                <w:spacing w:val="-108"/>
                <w:u w:val="single" w:color="auto"/>
              </w:rPr>
              <w:t xml:space="preserve"> </w:t>
            </w:r>
            <w:r>
              <w:rPr>
                <w:spacing w:val="-10"/>
                <w:u w:val="single" w:color="auto"/>
              </w:rPr>
              <w:t>所从</w:t>
            </w:r>
            <w:r>
              <w:rPr>
                <w:spacing w:val="-119"/>
                <w:u w:val="single" w:color="auto"/>
              </w:rPr>
              <w:t xml:space="preserve"> </w:t>
            </w:r>
            <w:r>
              <w:rPr>
                <w:position w:val="24"/>
              </w:rPr>
              <w:drawing>
                <wp:inline distT="0" distB="0" distL="0" distR="0">
                  <wp:extent cx="1270" cy="127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74"/>
                          <a:stretch>
                            <a:fillRect/>
                          </a:stretch>
                        </pic:blipFill>
                        <pic:spPr>
                          <a:xfrm>
                            <a:off x="0" y="0"/>
                            <a:ext cx="1482" cy="1523"/>
                          </a:xfrm>
                          <a:prstGeom prst="rect">
                            <a:avLst/>
                          </a:prstGeom>
                        </pic:spPr>
                      </pic:pic>
                    </a:graphicData>
                  </a:graphic>
                </wp:inline>
              </w:drawing>
            </w:r>
            <w:r>
              <w:rPr>
                <w:spacing w:val="-106"/>
                <w:u w:val="single" w:color="auto"/>
              </w:rPr>
              <w:t xml:space="preserve"> </w:t>
            </w:r>
            <w:r>
              <w:rPr>
                <w:spacing w:val="-10"/>
                <w:u w:val="single" w:color="auto"/>
              </w:rPr>
              <w:t>事</w:t>
            </w:r>
            <w:r>
              <w:rPr>
                <w:spacing w:val="-10"/>
              </w:rPr>
              <w:t>证券服务</w:t>
            </w:r>
            <w:r>
              <w:rPr>
                <w:spacing w:val="-118"/>
              </w:rPr>
              <w:t xml:space="preserve"> </w:t>
            </w:r>
            <w:r>
              <w:rPr>
                <w:position w:val="24"/>
              </w:rPr>
              <w:drawing>
                <wp:inline distT="0" distB="0" distL="0" distR="0">
                  <wp:extent cx="1270" cy="127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74"/>
                          <a:stretch>
                            <a:fillRect/>
                          </a:stretch>
                        </pic:blipFill>
                        <pic:spPr>
                          <a:xfrm>
                            <a:off x="0" y="0"/>
                            <a:ext cx="1482" cy="1523"/>
                          </a:xfrm>
                          <a:prstGeom prst="rect">
                            <a:avLst/>
                          </a:prstGeom>
                        </pic:spPr>
                      </pic:pic>
                    </a:graphicData>
                  </a:graphic>
                </wp:inline>
              </w:drawing>
            </w:r>
            <w:r>
              <w:rPr>
                <w:spacing w:val="-98"/>
              </w:rPr>
              <w:t xml:space="preserve"> </w:t>
            </w:r>
            <w:r>
              <w:rPr>
                <w:spacing w:val="-10"/>
              </w:rPr>
              <w:t>业务</w:t>
            </w:r>
          </w:p>
          <w:p>
            <w:pPr>
              <w:pStyle w:val="8"/>
              <w:spacing w:line="206" w:lineRule="auto"/>
              <w:ind w:left="32"/>
            </w:pPr>
            <w:r>
              <w:rPr>
                <w:spacing w:val="-2"/>
                <w:shd w:val="clear" w:fill="D9D9D9"/>
              </w:rPr>
              <w:t>院证券监督管理机构和有关主管部门批准</w:t>
            </w:r>
            <w:r>
              <w:rPr>
                <w:position w:val="-6"/>
              </w:rPr>
              <w:drawing>
                <wp:inline distT="0" distB="0" distL="0" distR="0">
                  <wp:extent cx="1905" cy="17018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122"/>
                          <a:stretch>
                            <a:fillRect/>
                          </a:stretch>
                        </pic:blipFill>
                        <pic:spPr>
                          <a:xfrm>
                            <a:off x="0" y="0"/>
                            <a:ext cx="2159" cy="170307"/>
                          </a:xfrm>
                          <a:prstGeom prst="rect">
                            <a:avLst/>
                          </a:prstGeom>
                        </pic:spPr>
                      </pic:pic>
                    </a:graphicData>
                  </a:graphic>
                </wp:inline>
              </w:drawing>
            </w:r>
            <w:r>
              <w:rPr>
                <w:spacing w:val="-2"/>
              </w:rPr>
              <w:t>。</w:t>
            </w:r>
          </w:p>
        </w:tc>
        <w:tc>
          <w:tcPr>
            <w:tcW w:w="1211" w:type="dxa"/>
            <w:tcBorders>
              <w:left w:val="single" w:color="000000" w:sz="2" w:space="0"/>
              <w:bottom w:val="single" w:color="000000" w:sz="2" w:space="0"/>
              <w:right w:val="single" w:color="000000" w:sz="2" w:space="0"/>
            </w:tcBorders>
            <w:vAlign w:val="top"/>
          </w:tcPr>
          <w:p>
            <w:pPr>
              <w:pStyle w:val="8"/>
              <w:spacing w:before="26" w:line="199" w:lineRule="auto"/>
              <w:ind w:left="24"/>
            </w:pPr>
            <w:r>
              <w:rPr>
                <w:spacing w:val="-5"/>
              </w:rPr>
              <w:t>、资信评级</w:t>
            </w:r>
          </w:p>
        </w:tc>
        <w:tc>
          <w:tcPr>
            <w:tcW w:w="246" w:type="dxa"/>
            <w:tcBorders>
              <w:left w:val="single" w:color="000000" w:sz="2" w:space="0"/>
              <w:bottom w:val="single" w:color="000000" w:sz="2" w:space="0"/>
            </w:tcBorders>
            <w:shd w:val="clear" w:color="auto" w:fill="D9D9D9"/>
            <w:vAlign w:val="top"/>
          </w:tcPr>
          <w:p>
            <w:pPr>
              <w:pStyle w:val="8"/>
              <w:spacing w:before="26" w:line="199" w:lineRule="auto"/>
              <w:jc w:val="right"/>
            </w:pPr>
            <w:r>
              <w:rPr>
                <w:spacing w:val="-11"/>
              </w:rPr>
              <w:t>机</w:t>
            </w:r>
          </w:p>
        </w:tc>
        <w:tc>
          <w:tcPr>
            <w:tcW w:w="6810" w:type="dxa"/>
            <w:vMerge w:val="restart"/>
            <w:tcBorders>
              <w:bottom w:val="nil"/>
            </w:tcBorders>
            <w:vAlign w:val="top"/>
          </w:tcPr>
          <w:p>
            <w:pPr>
              <w:pStyle w:val="8"/>
              <w:spacing w:before="26" w:line="235" w:lineRule="auto"/>
              <w:ind w:left="13" w:right="6" w:firstLine="500"/>
              <w:jc w:val="both"/>
              <w:rPr>
                <w:rFonts w:ascii="黑体" w:hAnsi="黑体" w:eastAsia="黑体" w:cs="黑体"/>
              </w:rPr>
            </w:pPr>
            <w:r>
              <w:rPr>
                <w:rFonts w:ascii="黑体" w:hAnsi="黑体" w:eastAsia="黑体" w:cs="黑体"/>
                <w:spacing w:val="6"/>
              </w:rPr>
              <w:t xml:space="preserve">第一百六十条 </w:t>
            </w:r>
            <w:r>
              <w:rPr>
                <w:spacing w:val="6"/>
              </w:rPr>
              <w:t>会计师事务所、律师事务所以及</w:t>
            </w:r>
            <w:r>
              <w:rPr>
                <w:spacing w:val="5"/>
              </w:rPr>
              <w:t>从事</w:t>
            </w:r>
            <w:r>
              <w:rPr>
                <w:rFonts w:ascii="黑体" w:hAnsi="黑体" w:eastAsia="黑体" w:cs="黑体"/>
                <w:spacing w:val="5"/>
              </w:rPr>
              <w:t>证券</w:t>
            </w:r>
            <w:r>
              <w:rPr>
                <w:spacing w:val="5"/>
              </w:rPr>
              <w:t>投</w:t>
            </w:r>
            <w:r>
              <w:t xml:space="preserve"> </w:t>
            </w:r>
            <w:r>
              <w:rPr>
                <w:spacing w:val="2"/>
              </w:rPr>
              <w:t>资咨询、资产评估、资信评级、财务顾问、</w:t>
            </w:r>
            <w:r>
              <w:rPr>
                <w:rFonts w:ascii="黑体" w:hAnsi="黑体" w:eastAsia="黑体" w:cs="黑体"/>
                <w:spacing w:val="2"/>
              </w:rPr>
              <w:t>信息技术系统</w:t>
            </w:r>
            <w:r>
              <w:rPr>
                <w:rFonts w:ascii="黑体" w:hAnsi="黑体" w:eastAsia="黑体" w:cs="黑体"/>
                <w:spacing w:val="1"/>
              </w:rPr>
              <w:t>服务的</w:t>
            </w:r>
            <w:r>
              <w:rPr>
                <w:rFonts w:ascii="黑体" w:hAnsi="黑体" w:eastAsia="黑体" w:cs="黑体"/>
              </w:rPr>
              <w:t xml:space="preserve"> </w:t>
            </w:r>
            <w:r>
              <w:rPr>
                <w:rFonts w:ascii="黑体" w:hAnsi="黑体" w:eastAsia="黑体" w:cs="黑体"/>
                <w:spacing w:val="2"/>
              </w:rPr>
              <w:t>证券服务机构，应当勤勉尽责、恪尽职守，按照相关业</w:t>
            </w:r>
            <w:r>
              <w:rPr>
                <w:rFonts w:ascii="黑体" w:hAnsi="黑体" w:eastAsia="黑体" w:cs="黑体"/>
                <w:spacing w:val="1"/>
              </w:rPr>
              <w:t>务规则为</w:t>
            </w:r>
            <w:r>
              <w:rPr>
                <w:rFonts w:ascii="黑体" w:hAnsi="黑体" w:eastAsia="黑体" w:cs="黑体"/>
              </w:rPr>
              <w:t xml:space="preserve"> </w:t>
            </w:r>
            <w:r>
              <w:rPr>
                <w:rFonts w:ascii="黑体" w:hAnsi="黑体" w:eastAsia="黑体" w:cs="黑体"/>
                <w:spacing w:val="-3"/>
              </w:rPr>
              <w:t>证券的交易及相关活动提供服务。</w:t>
            </w:r>
          </w:p>
          <w:p>
            <w:pPr>
              <w:spacing w:before="26" w:line="235" w:lineRule="auto"/>
              <w:ind w:left="11" w:right="6" w:firstLine="502"/>
              <w:jc w:val="both"/>
              <w:rPr>
                <w:rFonts w:ascii="黑体" w:hAnsi="黑体" w:eastAsia="黑体" w:cs="黑体"/>
                <w:sz w:val="24"/>
                <w:szCs w:val="24"/>
              </w:rPr>
            </w:pPr>
            <w:r>
              <w:rPr>
                <w:rFonts w:ascii="黑体" w:hAnsi="黑体" w:eastAsia="黑体" w:cs="黑体"/>
                <w:spacing w:val="-3"/>
                <w:sz w:val="24"/>
                <w:szCs w:val="24"/>
              </w:rPr>
              <w:t>从事证券投资咨询服务业务， 应当经国务院</w:t>
            </w:r>
            <w:r>
              <w:rPr>
                <w:rFonts w:ascii="黑体" w:hAnsi="黑体" w:eastAsia="黑体" w:cs="黑体"/>
                <w:spacing w:val="-4"/>
                <w:sz w:val="24"/>
                <w:szCs w:val="24"/>
              </w:rPr>
              <w:t>证券监督管理机</w:t>
            </w:r>
            <w:r>
              <w:rPr>
                <w:rFonts w:ascii="黑体" w:hAnsi="黑体" w:eastAsia="黑体" w:cs="黑体"/>
                <w:sz w:val="24"/>
                <w:szCs w:val="24"/>
              </w:rPr>
              <w:t xml:space="preserve"> </w:t>
            </w:r>
            <w:r>
              <w:rPr>
                <w:rFonts w:ascii="黑体" w:hAnsi="黑体" w:eastAsia="黑体" w:cs="黑体"/>
                <w:spacing w:val="-2"/>
                <w:sz w:val="24"/>
                <w:szCs w:val="24"/>
              </w:rPr>
              <w:t>构核准；</w:t>
            </w:r>
            <w:r>
              <w:rPr>
                <w:rFonts w:ascii="黑体" w:hAnsi="黑体" w:eastAsia="黑体" w:cs="黑体"/>
                <w:spacing w:val="-20"/>
                <w:sz w:val="24"/>
                <w:szCs w:val="24"/>
              </w:rPr>
              <w:t xml:space="preserve"> </w:t>
            </w:r>
            <w:r>
              <w:rPr>
                <w:rFonts w:ascii="黑体" w:hAnsi="黑体" w:eastAsia="黑体" w:cs="黑体"/>
                <w:spacing w:val="-2"/>
                <w:sz w:val="24"/>
                <w:szCs w:val="24"/>
              </w:rPr>
              <w:t>未经核准，不得为证券的交易及相关活动提供服务。从</w:t>
            </w:r>
            <w:r>
              <w:rPr>
                <w:rFonts w:ascii="黑体" w:hAnsi="黑体" w:eastAsia="黑体" w:cs="黑体"/>
                <w:sz w:val="24"/>
                <w:szCs w:val="24"/>
              </w:rPr>
              <w:t xml:space="preserve"> </w:t>
            </w:r>
            <w:r>
              <w:rPr>
                <w:rFonts w:ascii="黑体" w:hAnsi="黑体" w:eastAsia="黑体" w:cs="黑体"/>
                <w:spacing w:val="-2"/>
                <w:sz w:val="24"/>
                <w:szCs w:val="24"/>
              </w:rPr>
              <w:t>事其他证券服务业务， 应当报国务院证券监督管</w:t>
            </w:r>
            <w:r>
              <w:rPr>
                <w:rFonts w:ascii="黑体" w:hAnsi="黑体" w:eastAsia="黑体" w:cs="黑体"/>
                <w:spacing w:val="-3"/>
                <w:sz w:val="24"/>
                <w:szCs w:val="24"/>
              </w:rPr>
              <w:t>理机构和国务院</w:t>
            </w:r>
            <w:r>
              <w:rPr>
                <w:rFonts w:ascii="黑体" w:hAnsi="黑体" w:eastAsia="黑体" w:cs="黑体"/>
                <w:sz w:val="24"/>
                <w:szCs w:val="24"/>
              </w:rPr>
              <w:t xml:space="preserve"> </w:t>
            </w:r>
            <w:r>
              <w:rPr>
                <w:rFonts w:ascii="黑体" w:hAnsi="黑体" w:eastAsia="黑体" w:cs="黑体"/>
                <w:spacing w:val="-4"/>
                <w:sz w:val="24"/>
                <w:szCs w:val="24"/>
              </w:rPr>
              <w:t>有关主管部门备案。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5640" w:type="dxa"/>
            <w:gridSpan w:val="5"/>
            <w:vMerge w:val="continue"/>
            <w:tcBorders>
              <w:top w:val="nil"/>
              <w:bottom w:val="nil"/>
              <w:right w:val="single" w:color="000000" w:sz="2" w:space="0"/>
            </w:tcBorders>
            <w:vAlign w:val="top"/>
          </w:tcPr>
          <w:p>
            <w:pPr>
              <w:rPr>
                <w:rFonts w:ascii="Arial"/>
                <w:sz w:val="21"/>
              </w:rPr>
            </w:pPr>
          </w:p>
        </w:tc>
        <w:tc>
          <w:tcPr>
            <w:tcW w:w="1457" w:type="dxa"/>
            <w:gridSpan w:val="2"/>
            <w:tcBorders>
              <w:top w:val="single" w:color="000000" w:sz="2" w:space="0"/>
              <w:left w:val="single" w:color="000000" w:sz="2" w:space="0"/>
              <w:bottom w:val="single" w:color="000000" w:sz="2" w:space="0"/>
            </w:tcBorders>
            <w:shd w:val="clear" w:color="auto" w:fill="D9D9D9"/>
            <w:vAlign w:val="top"/>
          </w:tcPr>
          <w:p>
            <w:pPr>
              <w:pStyle w:val="8"/>
              <w:spacing w:before="38" w:line="199" w:lineRule="auto"/>
              <w:ind w:left="31"/>
            </w:pPr>
            <w:r>
              <w:rPr>
                <w:spacing w:val="14"/>
              </w:rPr>
              <w:t>,必须经国务</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5640" w:type="dxa"/>
            <w:gridSpan w:val="5"/>
            <w:vMerge w:val="continue"/>
            <w:tcBorders>
              <w:top w:val="nil"/>
              <w:bottom w:val="single" w:color="000000" w:sz="2" w:space="0"/>
              <w:right w:val="single" w:color="000000" w:sz="2" w:space="0"/>
            </w:tcBorders>
            <w:vAlign w:val="top"/>
          </w:tcPr>
          <w:p>
            <w:pPr>
              <w:rPr>
                <w:rFonts w:ascii="Arial"/>
                <w:sz w:val="21"/>
              </w:rPr>
            </w:pPr>
          </w:p>
        </w:tc>
        <w:tc>
          <w:tcPr>
            <w:tcW w:w="1457" w:type="dxa"/>
            <w:gridSpan w:val="2"/>
            <w:tcBorders>
              <w:top w:val="single" w:color="000000" w:sz="2" w:space="0"/>
              <w:left w:val="nil"/>
              <w:bottom w:val="nil"/>
            </w:tcBorders>
            <w:vAlign w:val="top"/>
          </w:tcPr>
          <w:p>
            <w:pPr>
              <w:rPr>
                <w:rFonts w:ascii="Arial"/>
                <w:sz w:val="21"/>
              </w:rPr>
            </w:pP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1" w:hRule="atLeast"/>
        </w:trPr>
        <w:tc>
          <w:tcPr>
            <w:tcW w:w="7097" w:type="dxa"/>
            <w:gridSpan w:val="7"/>
            <w:tcBorders>
              <w:top w:val="single" w:color="000000" w:sz="2" w:space="0"/>
            </w:tcBorders>
            <w:vAlign w:val="top"/>
          </w:tcPr>
          <w:p>
            <w:pPr>
              <w:pStyle w:val="8"/>
              <w:spacing w:before="60" w:line="232" w:lineRule="auto"/>
              <w:ind w:left="13" w:firstLine="502"/>
              <w:jc w:val="both"/>
            </w:pPr>
            <w:r>
              <w:rPr>
                <w:spacing w:val="12"/>
              </w:rPr>
              <w:t>投资咨询机构、财务顾问机构、资信评级机构、资产评估机</w:t>
            </w:r>
            <w:r>
              <w:rPr>
                <w:spacing w:val="11"/>
              </w:rPr>
              <w:t xml:space="preserve"> </w:t>
            </w:r>
            <w:r>
              <w:rPr>
                <w:spacing w:val="2"/>
              </w:rPr>
              <w:t>构、会计师事务所从事证券服务业务的审批管理办法，</w:t>
            </w:r>
            <w:r>
              <w:rPr>
                <w:spacing w:val="-68"/>
              </w:rPr>
              <w:t xml:space="preserve"> </w:t>
            </w:r>
            <w:r>
              <w:rPr>
                <w:spacing w:val="2"/>
              </w:rPr>
              <w:t>由国</w:t>
            </w:r>
            <w:r>
              <w:rPr>
                <w:spacing w:val="1"/>
              </w:rPr>
              <w:t>务院证</w:t>
            </w:r>
            <w:r>
              <w:t xml:space="preserve"> </w:t>
            </w:r>
            <w:r>
              <w:rPr>
                <w:spacing w:val="-4"/>
              </w:rPr>
              <w:t>券监督管理机构和有关主管部门制定。</w:t>
            </w: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5" w:hRule="atLeast"/>
        </w:trPr>
        <w:tc>
          <w:tcPr>
            <w:tcW w:w="7097" w:type="dxa"/>
            <w:gridSpan w:val="7"/>
            <w:tcBorders>
              <w:bottom w:val="nil"/>
            </w:tcBorders>
            <w:vAlign w:val="top"/>
          </w:tcPr>
          <w:p>
            <w:pPr>
              <w:pStyle w:val="8"/>
              <w:spacing w:before="49" w:line="228" w:lineRule="auto"/>
              <w:ind w:left="18" w:firstLine="494"/>
            </w:pPr>
            <w:r>
              <w:rPr>
                <w:rFonts w:ascii="黑体" w:hAnsi="黑体" w:eastAsia="黑体" w:cs="黑体"/>
                <w:spacing w:val="3"/>
              </w:rPr>
              <w:t xml:space="preserve">第一百七十一条  </w:t>
            </w:r>
            <w:r>
              <w:rPr>
                <w:spacing w:val="3"/>
              </w:rPr>
              <w:t xml:space="preserve">投资咨询机构及其从业人员从事证券服务业 </w:t>
            </w:r>
            <w:r>
              <w:rPr>
                <w:spacing w:val="-8"/>
              </w:rPr>
              <w:t>务不得有下列行为：</w:t>
            </w:r>
          </w:p>
          <w:p>
            <w:pPr>
              <w:pStyle w:val="8"/>
              <w:spacing w:before="31" w:line="217" w:lineRule="auto"/>
              <w:ind w:left="503"/>
            </w:pPr>
            <w:r>
              <w:rPr>
                <w:spacing w:val="-4"/>
              </w:rPr>
              <w:t>（一）代理委托人从事证券投资；</w:t>
            </w:r>
          </w:p>
          <w:p>
            <w:pPr>
              <w:pStyle w:val="8"/>
              <w:spacing w:before="27" w:line="216" w:lineRule="auto"/>
              <w:ind w:left="25" w:right="27" w:firstLine="478"/>
            </w:pPr>
            <w:r>
              <w:rPr>
                <w:spacing w:val="10"/>
              </w:rPr>
              <w:t>（二）</w:t>
            </w:r>
            <w:r>
              <w:rPr>
                <w:spacing w:val="-69"/>
              </w:rPr>
              <w:t xml:space="preserve"> </w:t>
            </w:r>
            <w:r>
              <w:rPr>
                <w:spacing w:val="10"/>
              </w:rPr>
              <w:t>与委托人约定分享证券投资收益或者分担证券投</w:t>
            </w:r>
            <w:r>
              <w:rPr>
                <w:spacing w:val="9"/>
              </w:rPr>
              <w:t>资损</w:t>
            </w:r>
            <w:r>
              <w:t xml:space="preserve"> </w:t>
            </w:r>
            <w:r>
              <w:rPr>
                <w:spacing w:val="-22"/>
              </w:rPr>
              <w:t>失；</w:t>
            </w:r>
          </w:p>
        </w:tc>
        <w:tc>
          <w:tcPr>
            <w:tcW w:w="6810" w:type="dxa"/>
            <w:vMerge w:val="restart"/>
            <w:tcBorders>
              <w:bottom w:val="nil"/>
            </w:tcBorders>
            <w:vAlign w:val="top"/>
          </w:tcPr>
          <w:p>
            <w:pPr>
              <w:pStyle w:val="8"/>
              <w:spacing w:before="49" w:line="228" w:lineRule="auto"/>
              <w:ind w:left="25" w:right="6" w:firstLine="488"/>
            </w:pPr>
            <w:r>
              <w:rPr>
                <w:rFonts w:ascii="黑体" w:hAnsi="黑体" w:eastAsia="黑体" w:cs="黑体"/>
                <w:spacing w:val="1"/>
              </w:rPr>
              <w:t xml:space="preserve">第一百六十一条  </w:t>
            </w:r>
            <w:r>
              <w:rPr>
                <w:spacing w:val="1"/>
              </w:rPr>
              <w:t>投资咨询机构及其从业人员从事证券服务</w:t>
            </w:r>
            <w:r>
              <w:rPr>
                <w:spacing w:val="6"/>
              </w:rPr>
              <w:t xml:space="preserve"> </w:t>
            </w:r>
            <w:r>
              <w:rPr>
                <w:spacing w:val="-8"/>
              </w:rPr>
              <w:t>业务不得有下列行为：</w:t>
            </w:r>
          </w:p>
          <w:p>
            <w:pPr>
              <w:pStyle w:val="8"/>
              <w:spacing w:before="31" w:line="217" w:lineRule="auto"/>
              <w:ind w:left="504"/>
            </w:pPr>
            <w:r>
              <w:rPr>
                <w:spacing w:val="-4"/>
              </w:rPr>
              <w:t>（一）代理委托人从事证券投资；</w:t>
            </w:r>
          </w:p>
          <w:p>
            <w:pPr>
              <w:pStyle w:val="8"/>
              <w:spacing w:before="26" w:line="229" w:lineRule="auto"/>
              <w:ind w:left="27" w:right="37" w:firstLine="477"/>
            </w:pPr>
            <w:r>
              <w:t>（二）与委托人约定分享证券投资收益或者分担证券投资损</w:t>
            </w:r>
            <w:r>
              <w:rPr>
                <w:spacing w:val="12"/>
              </w:rPr>
              <w:t xml:space="preserve"> </w:t>
            </w:r>
            <w:r>
              <w:rPr>
                <w:spacing w:val="-22"/>
              </w:rPr>
              <w:t>失；</w:t>
            </w:r>
          </w:p>
          <w:p>
            <w:pPr>
              <w:pStyle w:val="8"/>
              <w:spacing w:before="28" w:line="221" w:lineRule="auto"/>
              <w:ind w:left="504"/>
            </w:pPr>
            <w:r>
              <w:t>（三）买卖本证券投资咨询机构提供服务的</w:t>
            </w:r>
            <w:r>
              <w:rPr>
                <w:rFonts w:ascii="黑体" w:hAnsi="黑体" w:eastAsia="黑体" w:cs="黑体"/>
              </w:rPr>
              <w:t>证券</w:t>
            </w:r>
            <w:r>
              <w:t>；</w:t>
            </w:r>
          </w:p>
          <w:p>
            <w:pPr>
              <w:pStyle w:val="8"/>
              <w:spacing w:before="21" w:line="216" w:lineRule="auto"/>
              <w:ind w:left="504"/>
            </w:pPr>
            <w:r>
              <w:rPr>
                <w:spacing w:val="-3"/>
              </w:rPr>
              <w:t>（四）法律、行政法规禁止的其他行为。</w:t>
            </w:r>
          </w:p>
          <w:p>
            <w:pPr>
              <w:pStyle w:val="8"/>
              <w:spacing w:before="33" w:line="229" w:lineRule="auto"/>
              <w:ind w:left="13" w:right="6" w:firstLine="505"/>
            </w:pPr>
            <w:r>
              <w:rPr>
                <w:spacing w:val="-4"/>
              </w:rPr>
              <w:t>有前款所列行为之一，给投资者造成损失的， 应当依法承担</w:t>
            </w:r>
            <w:r>
              <w:rPr>
                <w:spacing w:val="15"/>
              </w:rPr>
              <w:t xml:space="preserve"> </w:t>
            </w:r>
            <w:r>
              <w:rPr>
                <w:spacing w:val="-10"/>
              </w:rPr>
              <w:t>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4118" w:type="dxa"/>
            <w:gridSpan w:val="3"/>
            <w:tcBorders>
              <w:top w:val="nil"/>
              <w:bottom w:val="single" w:color="000000" w:sz="2" w:space="0"/>
              <w:right w:val="single" w:color="000000" w:sz="2" w:space="0"/>
            </w:tcBorders>
            <w:vAlign w:val="top"/>
          </w:tcPr>
          <w:p>
            <w:pPr>
              <w:pStyle w:val="8"/>
              <w:spacing w:before="45" w:line="192" w:lineRule="auto"/>
              <w:ind w:right="32"/>
              <w:jc w:val="right"/>
            </w:pPr>
            <w:r>
              <w:rPr>
                <w:spacing w:val="-2"/>
              </w:rPr>
              <w:t>（三）买卖本咨询机构提供服务的</w:t>
            </w:r>
          </w:p>
        </w:tc>
        <w:tc>
          <w:tcPr>
            <w:tcW w:w="1441"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5" w:line="192" w:lineRule="auto"/>
              <w:jc w:val="right"/>
            </w:pPr>
            <w:r>
              <w:rPr>
                <w:spacing w:val="-3"/>
              </w:rPr>
              <w:t>上市公司股票</w:t>
            </w:r>
          </w:p>
        </w:tc>
        <w:tc>
          <w:tcPr>
            <w:tcW w:w="1538" w:type="dxa"/>
            <w:gridSpan w:val="3"/>
            <w:tcBorders>
              <w:top w:val="nil"/>
              <w:left w:val="single" w:color="000000" w:sz="2" w:space="0"/>
              <w:bottom w:val="single" w:color="000000" w:sz="2" w:space="0"/>
            </w:tcBorders>
            <w:vAlign w:val="top"/>
          </w:tcPr>
          <w:p>
            <w:pPr>
              <w:pStyle w:val="8"/>
              <w:spacing w:before="128" w:line="167" w:lineRule="exact"/>
              <w:ind w:left="17"/>
            </w:pPr>
            <w:r>
              <w:rPr>
                <w:position w:val="2"/>
              </w:rPr>
              <w:t>;</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20" w:type="dxa"/>
            <w:tcBorders>
              <w:top w:val="nil"/>
              <w:bottom w:val="single" w:color="000000" w:sz="2" w:space="0"/>
              <w:right w:val="single" w:color="000000" w:sz="2" w:space="0"/>
            </w:tcBorders>
            <w:vAlign w:val="top"/>
          </w:tcPr>
          <w:p>
            <w:pPr>
              <w:rPr>
                <w:rFonts w:ascii="Arial"/>
                <w:sz w:val="21"/>
              </w:rPr>
            </w:pPr>
          </w:p>
        </w:tc>
        <w:tc>
          <w:tcPr>
            <w:tcW w:w="6577" w:type="dxa"/>
            <w:gridSpan w:val="6"/>
            <w:tcBorders>
              <w:top w:val="single" w:color="000000" w:sz="2" w:space="0"/>
              <w:left w:val="single" w:color="000000" w:sz="2" w:space="0"/>
              <w:bottom w:val="single" w:color="000000" w:sz="2" w:space="0"/>
            </w:tcBorders>
            <w:shd w:val="clear" w:color="auto" w:fill="D9D9D9"/>
            <w:vAlign w:val="top"/>
          </w:tcPr>
          <w:p>
            <w:pPr>
              <w:pStyle w:val="8"/>
              <w:spacing w:before="44" w:line="191" w:lineRule="auto"/>
            </w:pPr>
            <w:r>
              <w:rPr>
                <w:spacing w:val="3"/>
              </w:rPr>
              <w:t>（四）利用传播媒介或者通过其他方式提供、传播虚假或者误</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942" w:type="dxa"/>
            <w:gridSpan w:val="2"/>
            <w:tcBorders>
              <w:top w:val="single" w:color="000000" w:sz="2" w:space="0"/>
              <w:bottom w:val="single" w:color="000000" w:sz="2" w:space="0"/>
              <w:right w:val="single" w:color="000000" w:sz="2" w:space="0"/>
            </w:tcBorders>
            <w:shd w:val="clear" w:color="auto" w:fill="D9D9D9"/>
            <w:vAlign w:val="top"/>
          </w:tcPr>
          <w:p>
            <w:pPr>
              <w:pStyle w:val="8"/>
              <w:spacing w:before="48" w:line="191" w:lineRule="auto"/>
              <w:ind w:left="27"/>
            </w:pPr>
            <w:r>
              <w:rPr>
                <w:spacing w:val="-10"/>
              </w:rPr>
              <w:t>导投资者的信息；</w:t>
            </w:r>
          </w:p>
        </w:tc>
        <w:tc>
          <w:tcPr>
            <w:tcW w:w="5155" w:type="dxa"/>
            <w:gridSpan w:val="5"/>
            <w:tcBorders>
              <w:top w:val="single" w:color="000000" w:sz="2" w:space="0"/>
              <w:left w:val="single" w:color="000000" w:sz="2" w:space="0"/>
              <w:bottom w:val="nil"/>
            </w:tcBorders>
            <w:vAlign w:val="top"/>
          </w:tcPr>
          <w:p>
            <w:pPr>
              <w:rPr>
                <w:rFonts w:ascii="Arial"/>
                <w:sz w:val="21"/>
              </w:rPr>
            </w:pP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7097" w:type="dxa"/>
            <w:gridSpan w:val="7"/>
            <w:tcBorders>
              <w:top w:val="nil"/>
            </w:tcBorders>
            <w:vAlign w:val="top"/>
          </w:tcPr>
          <w:p>
            <w:pPr>
              <w:pStyle w:val="8"/>
              <w:spacing w:before="49" w:line="216" w:lineRule="auto"/>
              <w:ind w:left="503"/>
            </w:pPr>
            <w:r>
              <w:rPr>
                <w:spacing w:val="-3"/>
              </w:rPr>
              <w:t>（五）法律、行政法规禁止的其他行为。</w:t>
            </w:r>
          </w:p>
          <w:p>
            <w:pPr>
              <w:pStyle w:val="8"/>
              <w:spacing w:before="30" w:line="220" w:lineRule="auto"/>
              <w:ind w:left="17" w:right="19" w:firstLine="501"/>
            </w:pPr>
            <w:r>
              <w:rPr>
                <w:spacing w:val="2"/>
              </w:rPr>
              <w:t>有前款所列行为之一，给投资者造成损失的，依法承担赔偿责</w:t>
            </w:r>
            <w:r>
              <w:rPr>
                <w:spacing w:val="8"/>
              </w:rPr>
              <w:t xml:space="preserve"> </w:t>
            </w:r>
            <w:r>
              <w:rPr>
                <w:spacing w:val="-16"/>
              </w:rPr>
              <w:t>任。</w:t>
            </w: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7097" w:type="dxa"/>
            <w:gridSpan w:val="7"/>
            <w:vAlign w:val="top"/>
          </w:tcPr>
          <w:p>
            <w:pPr>
              <w:rPr>
                <w:rFonts w:ascii="Arial"/>
                <w:sz w:val="21"/>
              </w:rPr>
            </w:pPr>
          </w:p>
        </w:tc>
        <w:tc>
          <w:tcPr>
            <w:tcW w:w="6810" w:type="dxa"/>
            <w:vAlign w:val="top"/>
          </w:tcPr>
          <w:p>
            <w:pPr>
              <w:spacing w:before="45" w:line="229" w:lineRule="auto"/>
              <w:ind w:left="12" w:right="7" w:firstLine="501"/>
              <w:jc w:val="both"/>
              <w:rPr>
                <w:rFonts w:ascii="黑体" w:hAnsi="黑体" w:eastAsia="黑体" w:cs="黑体"/>
                <w:sz w:val="24"/>
                <w:szCs w:val="24"/>
              </w:rPr>
            </w:pPr>
            <w:r>
              <w:rPr>
                <w:rFonts w:ascii="黑体" w:hAnsi="黑体" w:eastAsia="黑体" w:cs="黑体"/>
                <w:spacing w:val="10"/>
                <w:sz w:val="24"/>
                <w:szCs w:val="24"/>
              </w:rPr>
              <w:t>第一百六十二条  证券服务机构应当妥善保存客户委托文</w:t>
            </w:r>
            <w:r>
              <w:rPr>
                <w:rFonts w:ascii="黑体" w:hAnsi="黑体" w:eastAsia="黑体" w:cs="黑体"/>
                <w:spacing w:val="12"/>
                <w:sz w:val="24"/>
                <w:szCs w:val="24"/>
              </w:rPr>
              <w:t xml:space="preserve"> </w:t>
            </w:r>
            <w:r>
              <w:rPr>
                <w:rFonts w:ascii="黑体" w:hAnsi="黑体" w:eastAsia="黑体" w:cs="黑体"/>
                <w:spacing w:val="1"/>
                <w:sz w:val="24"/>
                <w:szCs w:val="24"/>
              </w:rPr>
              <w:t>件、核查和验证资料、工作底稿以及与质量控制、内部管理、业</w:t>
            </w:r>
            <w:r>
              <w:rPr>
                <w:rFonts w:ascii="黑体" w:hAnsi="黑体" w:eastAsia="黑体" w:cs="黑体"/>
                <w:spacing w:val="13"/>
                <w:sz w:val="24"/>
                <w:szCs w:val="24"/>
              </w:rPr>
              <w:t xml:space="preserve"> </w:t>
            </w:r>
            <w:r>
              <w:rPr>
                <w:rFonts w:ascii="黑体" w:hAnsi="黑体" w:eastAsia="黑体" w:cs="黑体"/>
                <w:spacing w:val="-2"/>
                <w:sz w:val="24"/>
                <w:szCs w:val="24"/>
              </w:rPr>
              <w:t>务经营有关的信息和资料， 任何人不得泄露</w:t>
            </w:r>
            <w:r>
              <w:rPr>
                <w:rFonts w:ascii="黑体" w:hAnsi="黑体" w:eastAsia="黑体" w:cs="黑体"/>
                <w:spacing w:val="-3"/>
                <w:sz w:val="24"/>
                <w:szCs w:val="24"/>
              </w:rPr>
              <w:t>、隐匿、伪造、篡改</w:t>
            </w:r>
          </w:p>
        </w:tc>
      </w:tr>
    </w:tbl>
    <w:p>
      <w:pPr>
        <w:spacing w:line="125" w:lineRule="exact"/>
        <w:rPr>
          <w:rFonts w:ascii="Arial"/>
          <w:sz w:val="10"/>
        </w:rPr>
      </w:pPr>
    </w:p>
    <w:p>
      <w:pPr>
        <w:spacing w:line="125" w:lineRule="exact"/>
        <w:rPr>
          <w:rFonts w:ascii="Arial" w:hAnsi="Arial" w:eastAsia="Arial" w:cs="Arial"/>
          <w:sz w:val="10"/>
          <w:szCs w:val="10"/>
        </w:rPr>
        <w:sectPr>
          <w:footerReference r:id="rId47"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942"/>
        <w:gridCol w:w="276"/>
        <w:gridCol w:w="1953"/>
        <w:gridCol w:w="734"/>
        <w:gridCol w:w="156"/>
        <w:gridCol w:w="738"/>
        <w:gridCol w:w="326"/>
        <w:gridCol w:w="1452"/>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097" w:type="dxa"/>
            <w:gridSpan w:val="9"/>
            <w:vAlign w:val="top"/>
          </w:tcPr>
          <w:p>
            <w:pPr>
              <w:rPr>
                <w:rFonts w:ascii="Arial"/>
                <w:sz w:val="21"/>
              </w:rPr>
            </w:pPr>
          </w:p>
        </w:tc>
        <w:tc>
          <w:tcPr>
            <w:tcW w:w="6810" w:type="dxa"/>
            <w:vAlign w:val="top"/>
          </w:tcPr>
          <w:p>
            <w:pPr>
              <w:spacing w:before="39" w:line="227" w:lineRule="auto"/>
              <w:ind w:left="14" w:right="7" w:firstLine="4"/>
              <w:rPr>
                <w:rFonts w:ascii="黑体" w:hAnsi="黑体" w:eastAsia="黑体" w:cs="黑体"/>
                <w:sz w:val="24"/>
                <w:szCs w:val="24"/>
              </w:rPr>
            </w:pPr>
            <w:r>
              <w:rPr>
                <w:rFonts w:ascii="黑体" w:hAnsi="黑体" w:eastAsia="黑体" w:cs="黑体"/>
                <w:spacing w:val="-3"/>
                <w:sz w:val="24"/>
                <w:szCs w:val="24"/>
              </w:rPr>
              <w:t>或者毁损。上述信息和资料的保存期限不得少于十年， 自业务委</w:t>
            </w:r>
            <w:r>
              <w:rPr>
                <w:rFonts w:ascii="黑体" w:hAnsi="黑体" w:eastAsia="黑体" w:cs="黑体"/>
                <w:spacing w:val="13"/>
                <w:sz w:val="24"/>
                <w:szCs w:val="24"/>
              </w:rPr>
              <w:t xml:space="preserve"> </w:t>
            </w:r>
            <w:r>
              <w:rPr>
                <w:rFonts w:ascii="黑体" w:hAnsi="黑体" w:eastAsia="黑体" w:cs="黑体"/>
                <w:spacing w:val="-5"/>
                <w:sz w:val="24"/>
                <w:szCs w:val="24"/>
              </w:rPr>
              <w:t>托结束之日起算。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520" w:type="dxa"/>
            <w:tcBorders>
              <w:bottom w:val="single" w:color="000000" w:sz="2" w:space="0"/>
              <w:right w:val="single" w:color="000000" w:sz="2" w:space="0"/>
            </w:tcBorders>
            <w:vAlign w:val="top"/>
          </w:tcPr>
          <w:p>
            <w:pPr>
              <w:rPr>
                <w:rFonts w:ascii="Arial"/>
                <w:sz w:val="21"/>
              </w:rPr>
            </w:pPr>
          </w:p>
        </w:tc>
        <w:tc>
          <w:tcPr>
            <w:tcW w:w="6577" w:type="dxa"/>
            <w:gridSpan w:val="8"/>
            <w:tcBorders>
              <w:left w:val="single" w:color="000000" w:sz="2" w:space="0"/>
              <w:bottom w:val="single" w:color="000000" w:sz="2" w:space="0"/>
            </w:tcBorders>
            <w:shd w:val="clear" w:color="auto" w:fill="D9D9D9"/>
            <w:vAlign w:val="top"/>
          </w:tcPr>
          <w:p>
            <w:pPr>
              <w:pStyle w:val="8"/>
              <w:spacing w:before="27" w:line="198" w:lineRule="auto"/>
              <w:jc w:val="right"/>
            </w:pPr>
            <w:r>
              <w:rPr>
                <w:spacing w:val="2"/>
              </w:rPr>
              <w:t>第一百七十条  投资咨询机构、财务顾问机构、资信评级机构</w:t>
            </w:r>
          </w:p>
        </w:tc>
        <w:tc>
          <w:tcPr>
            <w:tcW w:w="6810"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7097" w:type="dxa"/>
            <w:gridSpan w:val="9"/>
            <w:tcBorders>
              <w:top w:val="single" w:color="000000" w:sz="2" w:space="0"/>
              <w:bottom w:val="single" w:color="000000" w:sz="2" w:space="0"/>
            </w:tcBorders>
            <w:shd w:val="clear" w:color="auto" w:fill="D9D9D9"/>
            <w:vAlign w:val="top"/>
          </w:tcPr>
          <w:p>
            <w:pPr>
              <w:pStyle w:val="8"/>
              <w:spacing w:before="36" w:line="201" w:lineRule="auto"/>
              <w:jc w:val="right"/>
            </w:pPr>
            <w:r>
              <w:rPr>
                <w:spacing w:val="3"/>
              </w:rPr>
              <w:t>从事证券服务业务的人员，必须具备证券专业知识和从事证券业务</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7097" w:type="dxa"/>
            <w:gridSpan w:val="9"/>
            <w:tcBorders>
              <w:top w:val="single" w:color="000000" w:sz="2" w:space="0"/>
              <w:bottom w:val="single" w:color="000000" w:sz="2" w:space="0"/>
            </w:tcBorders>
            <w:shd w:val="clear" w:color="auto" w:fill="D9D9D9"/>
            <w:vAlign w:val="top"/>
          </w:tcPr>
          <w:p>
            <w:pPr>
              <w:pStyle w:val="8"/>
              <w:spacing w:before="35" w:line="198" w:lineRule="auto"/>
              <w:jc w:val="right"/>
            </w:pPr>
            <w:r>
              <w:rPr>
                <w:spacing w:val="3"/>
              </w:rPr>
              <w:t>或者证券服务业务二年以上经验。认定其证券从业资格的标准和管</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4581" w:type="dxa"/>
            <w:gridSpan w:val="6"/>
            <w:tcBorders>
              <w:top w:val="single" w:color="000000" w:sz="2" w:space="0"/>
              <w:right w:val="single" w:color="000000" w:sz="2" w:space="0"/>
            </w:tcBorders>
            <w:shd w:val="clear" w:color="auto" w:fill="D9D9D9"/>
            <w:vAlign w:val="top"/>
          </w:tcPr>
          <w:p>
            <w:pPr>
              <w:pStyle w:val="8"/>
              <w:spacing w:before="39" w:line="198" w:lineRule="auto"/>
              <w:ind w:left="18"/>
            </w:pPr>
            <w:r>
              <w:rPr>
                <w:spacing w:val="-4"/>
              </w:rPr>
              <w:t>理办法，由国务院证券监督管理机构制定。</w:t>
            </w:r>
          </w:p>
        </w:tc>
        <w:tc>
          <w:tcPr>
            <w:tcW w:w="2516" w:type="dxa"/>
            <w:gridSpan w:val="3"/>
            <w:tcBorders>
              <w:top w:val="single" w:color="000000" w:sz="2" w:space="0"/>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20" w:type="dxa"/>
            <w:tcBorders>
              <w:bottom w:val="single" w:color="000000" w:sz="2" w:space="0"/>
              <w:right w:val="single" w:color="000000" w:sz="2" w:space="0"/>
            </w:tcBorders>
            <w:vAlign w:val="top"/>
          </w:tcPr>
          <w:p>
            <w:pPr>
              <w:rPr>
                <w:rFonts w:ascii="Arial"/>
                <w:sz w:val="21"/>
              </w:rPr>
            </w:pPr>
          </w:p>
        </w:tc>
        <w:tc>
          <w:tcPr>
            <w:tcW w:w="6577" w:type="dxa"/>
            <w:gridSpan w:val="8"/>
            <w:tcBorders>
              <w:left w:val="single" w:color="000000" w:sz="2" w:space="0"/>
              <w:bottom w:val="single" w:color="000000" w:sz="2" w:space="0"/>
            </w:tcBorders>
            <w:shd w:val="clear" w:color="auto" w:fill="D9D9D9"/>
            <w:vAlign w:val="top"/>
          </w:tcPr>
          <w:p>
            <w:pPr>
              <w:pStyle w:val="8"/>
              <w:spacing w:before="49" w:line="193" w:lineRule="auto"/>
              <w:jc w:val="right"/>
            </w:pPr>
            <w:r>
              <w:drawing>
                <wp:anchor distT="0" distB="0" distL="0" distR="0" simplePos="0" relativeHeight="251726848" behindDoc="0" locked="0" layoutInCell="1" allowOverlap="1">
                  <wp:simplePos x="0" y="0"/>
                  <wp:positionH relativeFrom="rightMargin">
                    <wp:posOffset>-4175125</wp:posOffset>
                  </wp:positionH>
                  <wp:positionV relativeFrom="topMargin">
                    <wp:posOffset>8255</wp:posOffset>
                  </wp:positionV>
                  <wp:extent cx="4175125" cy="6350"/>
                  <wp:effectExtent l="0" t="0" r="0" b="0"/>
                  <wp:wrapNone/>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123"/>
                          <a:stretch>
                            <a:fillRect/>
                          </a:stretch>
                        </pic:blipFill>
                        <pic:spPr>
                          <a:xfrm>
                            <a:off x="0" y="0"/>
                            <a:ext cx="4174820" cy="6350"/>
                          </a:xfrm>
                          <a:prstGeom prst="rect">
                            <a:avLst/>
                          </a:prstGeom>
                        </pic:spPr>
                      </pic:pic>
                    </a:graphicData>
                  </a:graphic>
                </wp:anchor>
              </w:drawing>
            </w:r>
            <w:r>
              <w:rPr>
                <w:spacing w:val="2"/>
              </w:rPr>
              <w:t>第一百七十二条  从事证券服务业务的投资咨询机构和资信评</w:t>
            </w:r>
          </w:p>
        </w:tc>
        <w:tc>
          <w:tcPr>
            <w:tcW w:w="6810"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7097" w:type="dxa"/>
            <w:gridSpan w:val="9"/>
            <w:tcBorders>
              <w:top w:val="single" w:color="000000" w:sz="2" w:space="0"/>
              <w:bottom w:val="single" w:color="000000" w:sz="2" w:space="0"/>
            </w:tcBorders>
            <w:shd w:val="clear" w:color="auto" w:fill="D9D9D9"/>
            <w:vAlign w:val="top"/>
          </w:tcPr>
          <w:p>
            <w:pPr>
              <w:pStyle w:val="8"/>
              <w:spacing w:before="43" w:line="192" w:lineRule="auto"/>
              <w:jc w:val="right"/>
            </w:pPr>
            <w:r>
              <w:rPr>
                <w:spacing w:val="3"/>
              </w:rPr>
              <w:t>级机构，应当按照国务院有关主管部门规定的标准或者收费办法收</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462" w:type="dxa"/>
            <w:gridSpan w:val="2"/>
            <w:tcBorders>
              <w:top w:val="single" w:color="000000" w:sz="2" w:space="0"/>
              <w:right w:val="single" w:color="000000" w:sz="2" w:space="0"/>
            </w:tcBorders>
            <w:shd w:val="clear" w:color="auto" w:fill="D9D9D9"/>
            <w:vAlign w:val="top"/>
          </w:tcPr>
          <w:p>
            <w:pPr>
              <w:pStyle w:val="8"/>
              <w:spacing w:before="48" w:line="192" w:lineRule="auto"/>
              <w:ind w:left="18"/>
            </w:pPr>
            <w:r>
              <w:rPr>
                <w:spacing w:val="-9"/>
              </w:rPr>
              <w:t>取服务费用。</w:t>
            </w:r>
          </w:p>
        </w:tc>
        <w:tc>
          <w:tcPr>
            <w:tcW w:w="5635" w:type="dxa"/>
            <w:gridSpan w:val="7"/>
            <w:tcBorders>
              <w:top w:val="single" w:color="000000" w:sz="2" w:space="0"/>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9" w:hRule="atLeast"/>
        </w:trPr>
        <w:tc>
          <w:tcPr>
            <w:tcW w:w="7097" w:type="dxa"/>
            <w:gridSpan w:val="9"/>
            <w:vAlign w:val="top"/>
          </w:tcPr>
          <w:p>
            <w:pPr>
              <w:pStyle w:val="8"/>
              <w:spacing w:before="58" w:line="233" w:lineRule="auto"/>
              <w:ind w:left="11" w:firstLine="501"/>
              <w:jc w:val="both"/>
            </w:pPr>
            <w:r>
              <w:rPr>
                <w:rFonts w:ascii="黑体" w:hAnsi="黑体" w:eastAsia="黑体" w:cs="黑体"/>
                <w:spacing w:val="3"/>
              </w:rPr>
              <w:t xml:space="preserve">第一百七十三条  </w:t>
            </w:r>
            <w:r>
              <w:rPr>
                <w:spacing w:val="3"/>
              </w:rPr>
              <w:t>证券服务机构为证券的发行、上市、交易等</w:t>
            </w:r>
            <w:r>
              <w:rPr>
                <w:spacing w:val="1"/>
              </w:rPr>
              <w:t xml:space="preserve"> </w:t>
            </w:r>
            <w:r>
              <w:rPr>
                <w:spacing w:val="12"/>
              </w:rPr>
              <w:t>证券业务活动制作、出具审计报告、资产评估报告、财务顾问报</w:t>
            </w:r>
            <w:r>
              <w:rPr>
                <w:spacing w:val="10"/>
              </w:rPr>
              <w:t xml:space="preserve"> </w:t>
            </w:r>
            <w:r>
              <w:rPr>
                <w:spacing w:val="4"/>
              </w:rPr>
              <w:t>告、资信评级报告或者法律意见书等文件，应当</w:t>
            </w:r>
            <w:r>
              <w:rPr>
                <w:spacing w:val="3"/>
              </w:rPr>
              <w:t>勤勉尽责，对所依</w:t>
            </w:r>
            <w:r>
              <w:t xml:space="preserve"> </w:t>
            </w:r>
            <w:r>
              <w:rPr>
                <w:spacing w:val="4"/>
              </w:rPr>
              <w:t>据的文件资料内容的真实性、准确性、完整性进行</w:t>
            </w:r>
            <w:r>
              <w:rPr>
                <w:spacing w:val="3"/>
              </w:rPr>
              <w:t>核查和验证。其</w:t>
            </w:r>
            <w:r>
              <w:t xml:space="preserve"> </w:t>
            </w:r>
            <w:r>
              <w:rPr>
                <w:spacing w:val="2"/>
              </w:rPr>
              <w:t>制作、出具的文件有</w:t>
            </w:r>
            <w:r>
              <w:rPr>
                <w:spacing w:val="-115"/>
              </w:rPr>
              <w:t xml:space="preserve"> </w:t>
            </w:r>
            <w:r>
              <w:rPr>
                <w:position w:val="-7"/>
              </w:rPr>
              <w:drawing>
                <wp:inline distT="0" distB="0" distL="0" distR="0">
                  <wp:extent cx="1270" cy="127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74"/>
                          <a:stretch>
                            <a:fillRect/>
                          </a:stretch>
                        </pic:blipFill>
                        <pic:spPr>
                          <a:xfrm>
                            <a:off x="0" y="0"/>
                            <a:ext cx="1522" cy="1523"/>
                          </a:xfrm>
                          <a:prstGeom prst="rect">
                            <a:avLst/>
                          </a:prstGeom>
                        </pic:spPr>
                      </pic:pic>
                    </a:graphicData>
                  </a:graphic>
                </wp:inline>
              </w:drawing>
            </w:r>
            <w:r>
              <w:rPr>
                <w:spacing w:val="-117"/>
                <w:u w:val="single" w:color="auto"/>
              </w:rPr>
              <w:t xml:space="preserve"> </w:t>
            </w:r>
            <w:r>
              <w:rPr>
                <w:spacing w:val="2"/>
                <w:u w:val="single" w:color="auto"/>
              </w:rPr>
              <w:t>虚假记载、误导性</w:t>
            </w:r>
            <w:r>
              <w:rPr>
                <w:spacing w:val="-109"/>
                <w:u w:val="single" w:color="auto"/>
              </w:rPr>
              <w:t xml:space="preserve"> </w:t>
            </w:r>
            <w:r>
              <w:rPr>
                <w:position w:val="-7"/>
              </w:rPr>
              <w:drawing>
                <wp:inline distT="0" distB="0" distL="0" distR="0">
                  <wp:extent cx="1270" cy="1270"/>
                  <wp:effectExtent l="0" t="0" r="0" b="0"/>
                  <wp:docPr id="720" name="IM 720"/>
                  <wp:cNvGraphicFramePr/>
                  <a:graphic xmlns:a="http://schemas.openxmlformats.org/drawingml/2006/main">
                    <a:graphicData uri="http://schemas.openxmlformats.org/drawingml/2006/picture">
                      <pic:pic xmlns:pic="http://schemas.openxmlformats.org/drawingml/2006/picture">
                        <pic:nvPicPr>
                          <pic:cNvPr id="720" name="IM 720"/>
                          <pic:cNvPicPr/>
                        </pic:nvPicPr>
                        <pic:blipFill>
                          <a:blip r:embed="rId75"/>
                          <a:stretch>
                            <a:fillRect/>
                          </a:stretch>
                        </pic:blipFill>
                        <pic:spPr>
                          <a:xfrm>
                            <a:off x="0" y="0"/>
                            <a:ext cx="1522" cy="1523"/>
                          </a:xfrm>
                          <a:prstGeom prst="rect">
                            <a:avLst/>
                          </a:prstGeom>
                        </pic:spPr>
                      </pic:pic>
                    </a:graphicData>
                  </a:graphic>
                </wp:inline>
              </w:drawing>
            </w:r>
            <w:r>
              <w:rPr>
                <w:spacing w:val="-93"/>
              </w:rPr>
              <w:t xml:space="preserve"> </w:t>
            </w:r>
            <w:r>
              <w:rPr>
                <w:spacing w:val="2"/>
              </w:rPr>
              <w:t>陈述或者重大遗漏，给他人</w:t>
            </w:r>
            <w:r>
              <w:t xml:space="preserve"> </w:t>
            </w:r>
            <w:r>
              <w:rPr>
                <w:spacing w:val="3"/>
              </w:rPr>
              <w:t>造成损失的，应当与</w:t>
            </w:r>
            <w:r>
              <w:rPr>
                <w:position w:val="-7"/>
              </w:rPr>
              <w:drawing>
                <wp:inline distT="0" distB="0" distL="0" distR="0">
                  <wp:extent cx="5715" cy="194945"/>
                  <wp:effectExtent l="0" t="0" r="0" b="0"/>
                  <wp:docPr id="722" name="IM 722"/>
                  <wp:cNvGraphicFramePr/>
                  <a:graphic xmlns:a="http://schemas.openxmlformats.org/drawingml/2006/main">
                    <a:graphicData uri="http://schemas.openxmlformats.org/drawingml/2006/picture">
                      <pic:pic xmlns:pic="http://schemas.openxmlformats.org/drawingml/2006/picture">
                        <pic:nvPicPr>
                          <pic:cNvPr id="722" name="IM 722"/>
                          <pic:cNvPicPr/>
                        </pic:nvPicPr>
                        <pic:blipFill>
                          <a:blip r:embed="rId76"/>
                          <a:stretch>
                            <a:fillRect/>
                          </a:stretch>
                        </pic:blipFill>
                        <pic:spPr>
                          <a:xfrm>
                            <a:off x="0" y="0"/>
                            <a:ext cx="5723" cy="195071"/>
                          </a:xfrm>
                          <a:prstGeom prst="rect">
                            <a:avLst/>
                          </a:prstGeom>
                        </pic:spPr>
                      </pic:pic>
                    </a:graphicData>
                  </a:graphic>
                </wp:inline>
              </w:drawing>
            </w:r>
            <w:r>
              <w:rPr>
                <w:spacing w:val="3"/>
                <w:u w:val="single" w:color="auto"/>
                <w:shd w:val="clear" w:fill="D9D9D9"/>
              </w:rPr>
              <w:t>发行人、上市公司</w:t>
            </w:r>
            <w:r>
              <w:rPr>
                <w:position w:val="-7"/>
              </w:rPr>
              <w:drawing>
                <wp:inline distT="0" distB="0" distL="0" distR="0">
                  <wp:extent cx="5715" cy="194945"/>
                  <wp:effectExtent l="0" t="0" r="0" b="0"/>
                  <wp:docPr id="724" name="IM 724"/>
                  <wp:cNvGraphicFramePr/>
                  <a:graphic xmlns:a="http://schemas.openxmlformats.org/drawingml/2006/main">
                    <a:graphicData uri="http://schemas.openxmlformats.org/drawingml/2006/picture">
                      <pic:pic xmlns:pic="http://schemas.openxmlformats.org/drawingml/2006/picture">
                        <pic:nvPicPr>
                          <pic:cNvPr id="724" name="IM 724"/>
                          <pic:cNvPicPr/>
                        </pic:nvPicPr>
                        <pic:blipFill>
                          <a:blip r:embed="rId96"/>
                          <a:stretch>
                            <a:fillRect/>
                          </a:stretch>
                        </pic:blipFill>
                        <pic:spPr>
                          <a:xfrm>
                            <a:off x="0" y="0"/>
                            <a:ext cx="5723" cy="195071"/>
                          </a:xfrm>
                          <a:prstGeom prst="rect">
                            <a:avLst/>
                          </a:prstGeom>
                        </pic:spPr>
                      </pic:pic>
                    </a:graphicData>
                  </a:graphic>
                </wp:inline>
              </w:drawing>
            </w:r>
            <w:r>
              <w:rPr>
                <w:spacing w:val="3"/>
              </w:rPr>
              <w:t>承担连带赔偿责任，但是能</w:t>
            </w:r>
            <w:r>
              <w:rPr>
                <w:spacing w:val="2"/>
              </w:rPr>
              <w:t xml:space="preserve"> </w:t>
            </w:r>
            <w:r>
              <w:rPr>
                <w:spacing w:val="-5"/>
              </w:rPr>
              <w:t>够证明自己没有过错的除外。</w:t>
            </w:r>
          </w:p>
        </w:tc>
        <w:tc>
          <w:tcPr>
            <w:tcW w:w="6810" w:type="dxa"/>
            <w:vAlign w:val="top"/>
          </w:tcPr>
          <w:p>
            <w:pPr>
              <w:pStyle w:val="8"/>
              <w:spacing w:before="58" w:line="233" w:lineRule="auto"/>
              <w:ind w:left="7" w:right="4" w:firstLine="487"/>
              <w:jc w:val="both"/>
            </w:pPr>
            <w:r>
              <w:rPr>
                <w:rFonts w:ascii="黑体" w:hAnsi="黑体" w:eastAsia="黑体" w:cs="黑体"/>
                <w:spacing w:val="2"/>
              </w:rPr>
              <w:t xml:space="preserve">第一百六十三条  </w:t>
            </w:r>
            <w:r>
              <w:rPr>
                <w:spacing w:val="2"/>
              </w:rPr>
              <w:t>证券服务机构为证券的发行、上市、</w:t>
            </w:r>
            <w:r>
              <w:rPr>
                <w:spacing w:val="1"/>
              </w:rPr>
              <w:t>交易</w:t>
            </w:r>
            <w:r>
              <w:t xml:space="preserve"> </w:t>
            </w:r>
            <w:r>
              <w:rPr>
                <w:spacing w:val="2"/>
              </w:rPr>
              <w:t>等证券业务活动制作、出具审计报告</w:t>
            </w:r>
            <w:r>
              <w:rPr>
                <w:rFonts w:ascii="黑体" w:hAnsi="黑体" w:eastAsia="黑体" w:cs="黑体"/>
                <w:spacing w:val="2"/>
              </w:rPr>
              <w:t>及其他鉴证报告</w:t>
            </w:r>
            <w:r>
              <w:rPr>
                <w:spacing w:val="2"/>
              </w:rPr>
              <w:t>、资产评估</w:t>
            </w:r>
            <w:r>
              <w:rPr>
                <w:spacing w:val="6"/>
              </w:rPr>
              <w:t xml:space="preserve"> </w:t>
            </w:r>
            <w:r>
              <w:rPr>
                <w:spacing w:val="1"/>
              </w:rPr>
              <w:t xml:space="preserve">报告、财务顾问报告、资信评级报告或者法律意见书等文件，应 </w:t>
            </w:r>
            <w:r>
              <w:rPr>
                <w:spacing w:val="-2"/>
              </w:rPr>
              <w:t>当勤勉尽责， 对所依据的文件资料内容的真实性、准确性</w:t>
            </w:r>
            <w:r>
              <w:rPr>
                <w:spacing w:val="-3"/>
              </w:rPr>
              <w:t>、完整</w:t>
            </w:r>
            <w:r>
              <w:t xml:space="preserve"> </w:t>
            </w:r>
            <w:r>
              <w:rPr>
                <w:spacing w:val="2"/>
              </w:rPr>
              <w:t>性进行核查和验证。其制作、出具的文件有虚假记载、误导性陈</w:t>
            </w:r>
            <w:r>
              <w:rPr>
                <w:spacing w:val="3"/>
              </w:rPr>
              <w:t xml:space="preserve"> </w:t>
            </w:r>
            <w:r>
              <w:rPr>
                <w:spacing w:val="-2"/>
              </w:rPr>
              <w:t>述或者重大遗漏， 给他人造成损失的，应当与</w:t>
            </w:r>
            <w:r>
              <w:rPr>
                <w:rFonts w:ascii="黑体" w:hAnsi="黑体" w:eastAsia="黑体" w:cs="黑体"/>
                <w:spacing w:val="-2"/>
              </w:rPr>
              <w:t>委托人</w:t>
            </w:r>
            <w:r>
              <w:rPr>
                <w:spacing w:val="-2"/>
              </w:rPr>
              <w:t>承担连带赔</w:t>
            </w:r>
            <w:r>
              <w:t xml:space="preserve"> </w:t>
            </w:r>
            <w:r>
              <w:rPr>
                <w:spacing w:val="-3"/>
              </w:rPr>
              <w:t>偿责任，但是能够证明自己没有过错的除外。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7097" w:type="dxa"/>
            <w:gridSpan w:val="9"/>
            <w:vAlign w:val="top"/>
          </w:tcPr>
          <w:p>
            <w:pPr>
              <w:spacing w:before="52" w:line="222" w:lineRule="auto"/>
              <w:ind w:left="2721"/>
              <w:rPr>
                <w:rFonts w:ascii="黑体" w:hAnsi="黑体" w:eastAsia="黑体" w:cs="黑体"/>
                <w:sz w:val="24"/>
                <w:szCs w:val="24"/>
              </w:rPr>
            </w:pPr>
            <w:r>
              <w:rPr>
                <w:rFonts w:ascii="黑体" w:hAnsi="黑体" w:eastAsia="黑体" w:cs="黑体"/>
                <w:spacing w:val="-1"/>
                <w:sz w:val="24"/>
                <w:szCs w:val="24"/>
              </w:rPr>
              <w:t>第九章  证券业协会</w:t>
            </w:r>
          </w:p>
        </w:tc>
        <w:tc>
          <w:tcPr>
            <w:tcW w:w="6810" w:type="dxa"/>
            <w:vAlign w:val="top"/>
          </w:tcPr>
          <w:p>
            <w:pPr>
              <w:spacing w:before="52" w:line="222" w:lineRule="auto"/>
              <w:ind w:left="2455"/>
              <w:rPr>
                <w:rFonts w:ascii="黑体" w:hAnsi="黑体" w:eastAsia="黑体" w:cs="黑体"/>
                <w:sz w:val="24"/>
                <w:szCs w:val="24"/>
              </w:rPr>
            </w:pPr>
            <w:r>
              <w:rPr>
                <w:rFonts w:ascii="黑体" w:hAnsi="黑体" w:eastAsia="黑体" w:cs="黑体"/>
                <w:spacing w:val="-1"/>
                <w:sz w:val="24"/>
                <w:szCs w:val="24"/>
              </w:rPr>
              <w:t>第十一章  证券业协会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7097" w:type="dxa"/>
            <w:gridSpan w:val="9"/>
            <w:vAlign w:val="top"/>
          </w:tcPr>
          <w:p>
            <w:pPr>
              <w:pStyle w:val="8"/>
              <w:spacing w:before="51" w:line="229" w:lineRule="auto"/>
              <w:ind w:left="38" w:firstLine="475"/>
            </w:pPr>
            <w:r>
              <w:rPr>
                <w:rFonts w:ascii="黑体" w:hAnsi="黑体" w:eastAsia="黑体" w:cs="黑体"/>
                <w:spacing w:val="-1"/>
              </w:rPr>
              <w:t xml:space="preserve">第一百七十四条  </w:t>
            </w:r>
            <w:r>
              <w:rPr>
                <w:spacing w:val="-1"/>
              </w:rPr>
              <w:t>证券业协会是证券业的自律性组织，</w:t>
            </w:r>
            <w:r>
              <w:rPr>
                <w:spacing w:val="-2"/>
              </w:rPr>
              <w:t xml:space="preserve"> 是社会</w:t>
            </w:r>
            <w:r>
              <w:t xml:space="preserve"> </w:t>
            </w:r>
            <w:r>
              <w:rPr>
                <w:spacing w:val="-14"/>
              </w:rPr>
              <w:t>团体法人。</w:t>
            </w:r>
          </w:p>
          <w:p>
            <w:pPr>
              <w:pStyle w:val="8"/>
              <w:spacing w:before="29" w:line="217" w:lineRule="auto"/>
              <w:ind w:left="520"/>
            </w:pPr>
            <w:r>
              <w:rPr>
                <w:spacing w:val="-5"/>
              </w:rPr>
              <w:t>证券公司应当加入证券业协会。</w:t>
            </w:r>
          </w:p>
          <w:p>
            <w:pPr>
              <w:pStyle w:val="8"/>
              <w:spacing w:before="26" w:line="197" w:lineRule="auto"/>
              <w:ind w:left="520"/>
            </w:pPr>
            <w:r>
              <w:rPr>
                <w:spacing w:val="-3"/>
              </w:rPr>
              <w:t>证券业协会的权力机构为全体会员组成的会员大会。</w:t>
            </w:r>
          </w:p>
        </w:tc>
        <w:tc>
          <w:tcPr>
            <w:tcW w:w="6810" w:type="dxa"/>
            <w:vAlign w:val="top"/>
          </w:tcPr>
          <w:p>
            <w:pPr>
              <w:pStyle w:val="8"/>
              <w:spacing w:before="51" w:line="229" w:lineRule="auto"/>
              <w:ind w:left="18" w:right="4" w:firstLine="495"/>
            </w:pPr>
            <w:r>
              <w:rPr>
                <w:rFonts w:ascii="黑体" w:hAnsi="黑体" w:eastAsia="黑体" w:cs="黑体"/>
                <w:spacing w:val="1"/>
              </w:rPr>
              <w:t xml:space="preserve">第一百六十四条  </w:t>
            </w:r>
            <w:r>
              <w:rPr>
                <w:spacing w:val="1"/>
              </w:rPr>
              <w:t>证券业协会是证券业的自律性组织，是社</w:t>
            </w:r>
            <w:r>
              <w:rPr>
                <w:spacing w:val="8"/>
              </w:rPr>
              <w:t xml:space="preserve"> </w:t>
            </w:r>
            <w:r>
              <w:rPr>
                <w:spacing w:val="-9"/>
              </w:rPr>
              <w:t>会团体法人。</w:t>
            </w:r>
          </w:p>
          <w:p>
            <w:pPr>
              <w:pStyle w:val="8"/>
              <w:spacing w:before="29" w:line="217" w:lineRule="auto"/>
              <w:ind w:left="521"/>
            </w:pPr>
            <w:r>
              <w:rPr>
                <w:spacing w:val="-5"/>
              </w:rPr>
              <w:t>证券公司应当加入证券业协会。</w:t>
            </w:r>
          </w:p>
          <w:p>
            <w:pPr>
              <w:pStyle w:val="8"/>
              <w:spacing w:before="26" w:line="197" w:lineRule="auto"/>
              <w:ind w:left="521"/>
            </w:pPr>
            <w:r>
              <w:rPr>
                <w:spacing w:val="-3"/>
              </w:rPr>
              <w:t>证券业协会的权力机构为全体会员组成的会员大会。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097" w:type="dxa"/>
            <w:gridSpan w:val="9"/>
            <w:vAlign w:val="top"/>
          </w:tcPr>
          <w:p>
            <w:pPr>
              <w:pStyle w:val="8"/>
              <w:spacing w:before="50" w:line="219" w:lineRule="auto"/>
              <w:ind w:left="30" w:firstLine="482"/>
            </w:pPr>
            <w:r>
              <w:rPr>
                <w:rFonts w:ascii="黑体" w:hAnsi="黑体" w:eastAsia="黑体" w:cs="黑体"/>
                <w:spacing w:val="3"/>
              </w:rPr>
              <w:t xml:space="preserve">第一百七十五条  </w:t>
            </w:r>
            <w:r>
              <w:rPr>
                <w:spacing w:val="3"/>
              </w:rPr>
              <w:t xml:space="preserve">证券业协会章程由会员大会制定，并报国务 </w:t>
            </w:r>
            <w:r>
              <w:rPr>
                <w:spacing w:val="-6"/>
              </w:rPr>
              <w:t>院证券监督管理机构备案。</w:t>
            </w:r>
          </w:p>
        </w:tc>
        <w:tc>
          <w:tcPr>
            <w:tcW w:w="6810" w:type="dxa"/>
            <w:vAlign w:val="top"/>
          </w:tcPr>
          <w:p>
            <w:pPr>
              <w:pStyle w:val="8"/>
              <w:spacing w:before="50" w:line="219" w:lineRule="auto"/>
              <w:ind w:left="19" w:right="6" w:firstLine="494"/>
            </w:pPr>
            <w:r>
              <w:rPr>
                <w:rFonts w:ascii="黑体" w:hAnsi="黑体" w:eastAsia="黑体" w:cs="黑体"/>
                <w:spacing w:val="1"/>
              </w:rPr>
              <w:t xml:space="preserve">第一百六十五条  </w:t>
            </w:r>
            <w:r>
              <w:rPr>
                <w:spacing w:val="1"/>
              </w:rPr>
              <w:t>证券业协会章程由会员大会制定，并报国</w:t>
            </w:r>
            <w:r>
              <w:rPr>
                <w:spacing w:val="6"/>
              </w:rPr>
              <w:t xml:space="preserve"> </w:t>
            </w:r>
            <w:r>
              <w:rPr>
                <w:spacing w:val="-5"/>
              </w:rPr>
              <w:t>务院证券监督管理机构备案。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097" w:type="dxa"/>
            <w:gridSpan w:val="9"/>
            <w:tcBorders>
              <w:bottom w:val="single" w:color="000000" w:sz="2" w:space="0"/>
            </w:tcBorders>
            <w:vAlign w:val="top"/>
          </w:tcPr>
          <w:p>
            <w:pPr>
              <w:pStyle w:val="8"/>
              <w:spacing w:before="48" w:line="219" w:lineRule="auto"/>
              <w:ind w:left="513"/>
            </w:pPr>
            <w:r>
              <w:rPr>
                <w:rFonts w:ascii="黑体" w:hAnsi="黑体" w:eastAsia="黑体" w:cs="黑体"/>
                <w:spacing w:val="-4"/>
              </w:rPr>
              <w:t xml:space="preserve">第一百七十六条  </w:t>
            </w:r>
            <w:r>
              <w:rPr>
                <w:spacing w:val="-4"/>
              </w:rPr>
              <w:t>证券业协会履行下列职责：</w:t>
            </w:r>
          </w:p>
          <w:p>
            <w:pPr>
              <w:pStyle w:val="8"/>
              <w:spacing w:before="27" w:line="216" w:lineRule="auto"/>
              <w:ind w:left="503"/>
            </w:pPr>
            <w:r>
              <w:rPr>
                <w:spacing w:val="-3"/>
              </w:rPr>
              <w:t>（一）教育和组织会员遵守证券法律、行政法规；</w:t>
            </w:r>
          </w:p>
          <w:p>
            <w:pPr>
              <w:pStyle w:val="8"/>
              <w:spacing w:before="30" w:line="216" w:lineRule="auto"/>
              <w:ind w:left="31" w:right="7" w:firstLine="472"/>
            </w:pPr>
            <w:r>
              <w:rPr>
                <w:spacing w:val="3"/>
              </w:rPr>
              <w:t>（二）依法维护会员的合法权益，向证券监督管理机构反映会</w:t>
            </w:r>
            <w:r>
              <w:rPr>
                <w:spacing w:val="8"/>
              </w:rPr>
              <w:t xml:space="preserve"> </w:t>
            </w:r>
            <w:r>
              <w:rPr>
                <w:spacing w:val="-10"/>
              </w:rPr>
              <w:t>员的建议和要求；</w:t>
            </w:r>
          </w:p>
        </w:tc>
        <w:tc>
          <w:tcPr>
            <w:tcW w:w="6810" w:type="dxa"/>
            <w:vMerge w:val="restart"/>
            <w:tcBorders>
              <w:bottom w:val="nil"/>
            </w:tcBorders>
            <w:vAlign w:val="top"/>
          </w:tcPr>
          <w:p>
            <w:pPr>
              <w:pStyle w:val="8"/>
              <w:spacing w:before="48" w:line="219" w:lineRule="auto"/>
              <w:ind w:left="513"/>
            </w:pPr>
            <w:r>
              <w:rPr>
                <w:rFonts w:ascii="黑体" w:hAnsi="黑体" w:eastAsia="黑体" w:cs="黑体"/>
                <w:spacing w:val="-4"/>
              </w:rPr>
              <w:t xml:space="preserve">第一百六十六条  </w:t>
            </w:r>
            <w:r>
              <w:rPr>
                <w:spacing w:val="-4"/>
              </w:rPr>
              <w:t>证券业协会履行下列职责：</w:t>
            </w:r>
          </w:p>
          <w:p>
            <w:pPr>
              <w:pStyle w:val="8"/>
              <w:spacing w:before="27" w:line="226" w:lineRule="auto"/>
              <w:ind w:left="22" w:right="6" w:firstLine="482"/>
            </w:pPr>
            <w:r>
              <w:rPr>
                <w:spacing w:val="1"/>
              </w:rPr>
              <w:t>（一）教育和组织会员</w:t>
            </w:r>
            <w:r>
              <w:rPr>
                <w:rFonts w:ascii="黑体" w:hAnsi="黑体" w:eastAsia="黑体" w:cs="黑体"/>
                <w:spacing w:val="1"/>
              </w:rPr>
              <w:t>及其从业人员</w:t>
            </w:r>
            <w:r>
              <w:rPr>
                <w:spacing w:val="1"/>
              </w:rPr>
              <w:t>遵守证券法律、行政法</w:t>
            </w:r>
            <w:r>
              <w:rPr>
                <w:spacing w:val="16"/>
              </w:rPr>
              <w:t xml:space="preserve"> </w:t>
            </w:r>
            <w:r>
              <w:rPr>
                <w:spacing w:val="-1"/>
              </w:rPr>
              <w:t>规</w:t>
            </w:r>
            <w:r>
              <w:rPr>
                <w:rFonts w:ascii="黑体" w:hAnsi="黑体" w:eastAsia="黑体" w:cs="黑体"/>
                <w:spacing w:val="-1"/>
              </w:rPr>
              <w:t>，组织开展证券行业诚信建设，督促证券行业履行社</w:t>
            </w:r>
            <w:r>
              <w:rPr>
                <w:rFonts w:ascii="黑体" w:hAnsi="黑体" w:eastAsia="黑体" w:cs="黑体"/>
                <w:spacing w:val="-2"/>
              </w:rPr>
              <w:t>会责任</w:t>
            </w:r>
            <w:r>
              <w:rPr>
                <w:spacing w:val="-2"/>
              </w:rPr>
              <w:t>；</w:t>
            </w:r>
          </w:p>
          <w:p>
            <w:pPr>
              <w:pStyle w:val="8"/>
              <w:spacing w:before="32" w:line="229" w:lineRule="auto"/>
              <w:ind w:left="18" w:right="20" w:firstLine="485"/>
            </w:pPr>
            <w:r>
              <w:rPr>
                <w:spacing w:val="1"/>
              </w:rPr>
              <w:t>（二）依法维护会员的合法权益，向证券监督管理机构反映</w:t>
            </w:r>
            <w:r>
              <w:rPr>
                <w:spacing w:val="3"/>
              </w:rPr>
              <w:t xml:space="preserve"> </w:t>
            </w:r>
            <w:r>
              <w:rPr>
                <w:spacing w:val="-8"/>
              </w:rPr>
              <w:t>会员的建议和要求；</w:t>
            </w:r>
          </w:p>
          <w:p>
            <w:pPr>
              <w:spacing w:before="29" w:line="209" w:lineRule="auto"/>
              <w:ind w:right="15"/>
              <w:jc w:val="right"/>
              <w:rPr>
                <w:rFonts w:ascii="黑体" w:hAnsi="黑体" w:eastAsia="黑体" w:cs="黑体"/>
                <w:sz w:val="24"/>
                <w:szCs w:val="24"/>
              </w:rPr>
            </w:pPr>
            <w:r>
              <w:rPr>
                <w:rFonts w:ascii="黑体" w:hAnsi="黑体" w:eastAsia="黑体" w:cs="黑体"/>
                <w:sz w:val="24"/>
                <w:szCs w:val="24"/>
              </w:rPr>
              <w:t>（三）督促会员开展投资者教育和保护活动，维护投资者合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20" w:type="dxa"/>
            <w:vMerge w:val="restart"/>
            <w:tcBorders>
              <w:top w:val="nil"/>
              <w:bottom w:val="nil"/>
              <w:right w:val="nil"/>
            </w:tcBorders>
            <w:vAlign w:val="top"/>
          </w:tcPr>
          <w:p>
            <w:pPr>
              <w:rPr>
                <w:rFonts w:ascii="Arial"/>
                <w:sz w:val="21"/>
              </w:rPr>
            </w:pPr>
          </w:p>
        </w:tc>
        <w:tc>
          <w:tcPr>
            <w:tcW w:w="4799" w:type="dxa"/>
            <w:gridSpan w:val="6"/>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3" w:line="192" w:lineRule="auto"/>
            </w:pPr>
            <w:r>
              <w:rPr>
                <w:spacing w:val="-4"/>
              </w:rPr>
              <w:t>（三）收集整理证券信息，为会员提供服务；</w:t>
            </w:r>
          </w:p>
        </w:tc>
        <w:tc>
          <w:tcPr>
            <w:tcW w:w="326" w:type="dxa"/>
            <w:tcBorders>
              <w:top w:val="nil"/>
              <w:left w:val="single" w:color="000000" w:sz="2" w:space="0"/>
              <w:bottom w:val="single" w:color="000000" w:sz="2" w:space="0"/>
              <w:right w:val="nil"/>
            </w:tcBorders>
            <w:vAlign w:val="top"/>
          </w:tcPr>
          <w:p>
            <w:pPr>
              <w:rPr>
                <w:rFonts w:ascii="Arial"/>
                <w:sz w:val="21"/>
              </w:rPr>
            </w:pPr>
          </w:p>
        </w:tc>
        <w:tc>
          <w:tcPr>
            <w:tcW w:w="1452" w:type="dxa"/>
            <w:vMerge w:val="restart"/>
            <w:tcBorders>
              <w:top w:val="nil"/>
              <w:left w:val="nil"/>
              <w:bottom w:val="nil"/>
            </w:tcBorders>
            <w:vAlign w:val="top"/>
          </w:tcPr>
          <w:p>
            <w:pPr>
              <w:spacing w:line="276" w:lineRule="auto"/>
              <w:rPr>
                <w:rFonts w:ascii="Arial"/>
                <w:sz w:val="21"/>
              </w:rPr>
            </w:pPr>
          </w:p>
          <w:p>
            <w:pPr>
              <w:pStyle w:val="8"/>
              <w:spacing w:before="78" w:line="210" w:lineRule="auto"/>
              <w:jc w:val="right"/>
            </w:pPr>
            <w:r>
              <w:rPr>
                <w:spacing w:val="-2"/>
              </w:rPr>
              <w:t>从业人员的业</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520" w:type="dxa"/>
            <w:vMerge w:val="continue"/>
            <w:tcBorders>
              <w:top w:val="nil"/>
              <w:right w:val="nil"/>
            </w:tcBorders>
            <w:vAlign w:val="top"/>
          </w:tcPr>
          <w:p>
            <w:pPr>
              <w:rPr>
                <w:rFonts w:ascii="Arial"/>
                <w:sz w:val="21"/>
              </w:rPr>
            </w:pPr>
          </w:p>
        </w:tc>
        <w:tc>
          <w:tcPr>
            <w:tcW w:w="1218" w:type="dxa"/>
            <w:gridSpan w:val="2"/>
            <w:tcBorders>
              <w:top w:val="single" w:color="000000" w:sz="2" w:space="0"/>
              <w:left w:val="nil"/>
              <w:right w:val="single" w:color="000000" w:sz="2" w:space="0"/>
            </w:tcBorders>
            <w:vAlign w:val="top"/>
          </w:tcPr>
          <w:p>
            <w:pPr>
              <w:pStyle w:val="8"/>
              <w:spacing w:before="47" w:line="210" w:lineRule="auto"/>
            </w:pPr>
            <w:r>
              <w:rPr>
                <w:spacing w:val="-2"/>
              </w:rPr>
              <w:t>（四）制定</w:t>
            </w:r>
          </w:p>
        </w:tc>
        <w:tc>
          <w:tcPr>
            <w:tcW w:w="1953" w:type="dxa"/>
            <w:tcBorders>
              <w:top w:val="single" w:color="000000" w:sz="2" w:space="0"/>
              <w:left w:val="single" w:color="000000" w:sz="2" w:space="0"/>
              <w:right w:val="single" w:color="000000" w:sz="2" w:space="0"/>
            </w:tcBorders>
            <w:shd w:val="clear" w:color="auto" w:fill="D9D9D9"/>
            <w:vAlign w:val="top"/>
          </w:tcPr>
          <w:p>
            <w:pPr>
              <w:pStyle w:val="8"/>
              <w:spacing w:before="47" w:line="210" w:lineRule="auto"/>
              <w:ind w:left="5"/>
            </w:pPr>
            <w:r>
              <w:rPr>
                <w:spacing w:val="1"/>
              </w:rPr>
              <w:t>会员应遵守的规则</w:t>
            </w:r>
          </w:p>
        </w:tc>
        <w:tc>
          <w:tcPr>
            <w:tcW w:w="734" w:type="dxa"/>
            <w:tcBorders>
              <w:top w:val="single" w:color="000000" w:sz="2" w:space="0"/>
              <w:left w:val="single" w:color="000000" w:sz="2" w:space="0"/>
              <w:right w:val="single" w:color="000000" w:sz="2" w:space="0"/>
            </w:tcBorders>
            <w:vAlign w:val="top"/>
          </w:tcPr>
          <w:p>
            <w:pPr>
              <w:pStyle w:val="8"/>
              <w:spacing w:before="47" w:line="210" w:lineRule="auto"/>
              <w:ind w:left="26"/>
            </w:pPr>
            <w:r>
              <w:rPr>
                <w:spacing w:val="-36"/>
              </w:rPr>
              <w:t>,</w:t>
            </w:r>
            <w:r>
              <w:rPr>
                <w:spacing w:val="71"/>
              </w:rPr>
              <w:t xml:space="preserve"> </w:t>
            </w:r>
            <w:r>
              <w:rPr>
                <w:spacing w:val="-36"/>
              </w:rPr>
              <w:t>组织</w:t>
            </w:r>
          </w:p>
        </w:tc>
        <w:tc>
          <w:tcPr>
            <w:tcW w:w="1220" w:type="dxa"/>
            <w:gridSpan w:val="3"/>
            <w:tcBorders>
              <w:top w:val="single" w:color="000000" w:sz="2" w:space="0"/>
              <w:left w:val="single" w:color="000000" w:sz="2" w:space="0"/>
              <w:right w:val="single" w:color="000000" w:sz="2" w:space="0"/>
            </w:tcBorders>
            <w:shd w:val="clear" w:color="auto" w:fill="D9D9D9"/>
            <w:vAlign w:val="top"/>
          </w:tcPr>
          <w:p>
            <w:pPr>
              <w:pStyle w:val="8"/>
              <w:spacing w:before="47" w:line="210" w:lineRule="auto"/>
              <w:ind w:left="7"/>
            </w:pPr>
            <w:r>
              <w:rPr>
                <w:spacing w:val="-1"/>
              </w:rPr>
              <w:t>会员单位的</w:t>
            </w:r>
          </w:p>
        </w:tc>
        <w:tc>
          <w:tcPr>
            <w:tcW w:w="1452" w:type="dxa"/>
            <w:vMerge w:val="continue"/>
            <w:tcBorders>
              <w:top w:val="nil"/>
              <w:left w:val="nil"/>
            </w:tcBorders>
            <w:vAlign w:val="top"/>
          </w:tcPr>
          <w:p>
            <w:pPr>
              <w:rPr>
                <w:rFonts w:ascii="Arial"/>
                <w:sz w:val="21"/>
              </w:rPr>
            </w:pPr>
          </w:p>
        </w:tc>
        <w:tc>
          <w:tcPr>
            <w:tcW w:w="6810" w:type="dxa"/>
            <w:vMerge w:val="continue"/>
            <w:tcBorders>
              <w:top w:val="nil"/>
            </w:tcBorders>
            <w:vAlign w:val="top"/>
          </w:tcPr>
          <w:p>
            <w:pPr>
              <w:rPr>
                <w:rFonts w:ascii="Arial"/>
                <w:sz w:val="21"/>
              </w:rPr>
            </w:pPr>
          </w:p>
        </w:tc>
      </w:tr>
    </w:tbl>
    <w:p>
      <w:pPr>
        <w:spacing w:line="168" w:lineRule="exact"/>
        <w:rPr>
          <w:rFonts w:ascii="Arial"/>
          <w:sz w:val="14"/>
        </w:rPr>
      </w:pPr>
    </w:p>
    <w:p>
      <w:pPr>
        <w:spacing w:line="168" w:lineRule="exact"/>
        <w:rPr>
          <w:rFonts w:ascii="Arial" w:hAnsi="Arial" w:eastAsia="Arial" w:cs="Arial"/>
          <w:sz w:val="14"/>
          <w:szCs w:val="14"/>
        </w:rPr>
        <w:sectPr>
          <w:footerReference r:id="rId48"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229"/>
        <w:gridCol w:w="253"/>
        <w:gridCol w:w="482"/>
        <w:gridCol w:w="482"/>
        <w:gridCol w:w="242"/>
        <w:gridCol w:w="1181"/>
        <w:gridCol w:w="3608"/>
        <w:gridCol w:w="111"/>
        <w:gridCol w:w="6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740" w:type="dxa"/>
            <w:gridSpan w:val="2"/>
            <w:vMerge w:val="restart"/>
            <w:tcBorders>
              <w:bottom w:val="nil"/>
              <w:right w:val="nil"/>
            </w:tcBorders>
            <w:vAlign w:val="top"/>
          </w:tcPr>
          <w:p>
            <w:pPr>
              <w:pStyle w:val="8"/>
              <w:spacing w:before="39" w:line="218" w:lineRule="auto"/>
              <w:ind w:right="1"/>
              <w:jc w:val="right"/>
            </w:pPr>
            <w:r>
              <w:rPr>
                <w:spacing w:val="-4"/>
              </w:rPr>
              <w:t>务培训</w:t>
            </w:r>
          </w:p>
          <w:p>
            <w:pPr>
              <w:pStyle w:val="8"/>
              <w:spacing w:before="29" w:line="222" w:lineRule="auto"/>
              <w:ind w:left="13" w:right="52" w:firstLine="610"/>
            </w:pPr>
            <w:r>
              <w:rPr>
                <w:spacing w:val="-13"/>
                <w:w w:val="55"/>
              </w:rPr>
              <w:t>(</w:t>
            </w:r>
            <w:r>
              <w:t xml:space="preserve"> </w:t>
            </w:r>
            <w:r>
              <w:rPr>
                <w:spacing w:val="-25"/>
              </w:rPr>
              <w:t>调解；</w:t>
            </w:r>
          </w:p>
        </w:tc>
        <w:tc>
          <w:tcPr>
            <w:tcW w:w="2640" w:type="dxa"/>
            <w:gridSpan w:val="5"/>
            <w:tcBorders>
              <w:left w:val="single" w:color="000000" w:sz="2" w:space="0"/>
              <w:bottom w:val="single" w:color="000000" w:sz="2" w:space="0"/>
              <w:right w:val="single" w:color="000000" w:sz="2" w:space="0"/>
            </w:tcBorders>
            <w:shd w:val="clear" w:color="auto" w:fill="D9D9D9"/>
            <w:vAlign w:val="top"/>
          </w:tcPr>
          <w:p>
            <w:pPr>
              <w:pStyle w:val="8"/>
              <w:spacing w:before="39" w:line="204" w:lineRule="auto"/>
              <w:ind w:left="24"/>
            </w:pPr>
            <w:r>
              <w:rPr>
                <w:spacing w:val="5"/>
              </w:rPr>
              <w:t>,开展会员间的业务交流</w:t>
            </w:r>
          </w:p>
        </w:tc>
        <w:tc>
          <w:tcPr>
            <w:tcW w:w="3719" w:type="dxa"/>
            <w:gridSpan w:val="2"/>
            <w:tcBorders>
              <w:left w:val="single" w:color="000000" w:sz="2" w:space="0"/>
              <w:bottom w:val="nil"/>
            </w:tcBorders>
            <w:vAlign w:val="top"/>
          </w:tcPr>
          <w:p>
            <w:pPr>
              <w:pStyle w:val="8"/>
              <w:spacing w:before="123" w:line="182" w:lineRule="exact"/>
              <w:ind w:left="16"/>
            </w:pPr>
            <w:r>
              <w:rPr>
                <w:position w:val="2"/>
              </w:rPr>
              <w:t>;</w:t>
            </w:r>
          </w:p>
        </w:tc>
        <w:tc>
          <w:tcPr>
            <w:tcW w:w="6808" w:type="dxa"/>
            <w:vMerge w:val="restart"/>
            <w:tcBorders>
              <w:bottom w:val="nil"/>
            </w:tcBorders>
            <w:vAlign w:val="top"/>
          </w:tcPr>
          <w:p>
            <w:pPr>
              <w:spacing w:before="40" w:line="213" w:lineRule="auto"/>
              <w:ind w:left="14"/>
              <w:rPr>
                <w:rFonts w:ascii="黑体" w:hAnsi="黑体" w:eastAsia="黑体" w:cs="黑体"/>
                <w:sz w:val="24"/>
                <w:szCs w:val="24"/>
              </w:rPr>
            </w:pPr>
            <w:r>
              <w:rPr>
                <w:rFonts w:ascii="黑体" w:hAnsi="黑体" w:eastAsia="黑体" w:cs="黑体"/>
                <w:spacing w:val="-11"/>
                <w:sz w:val="24"/>
                <w:szCs w:val="24"/>
              </w:rPr>
              <w:t>法权益；</w:t>
            </w:r>
          </w:p>
          <w:p>
            <w:pPr>
              <w:pStyle w:val="8"/>
              <w:spacing w:before="35" w:line="233" w:lineRule="auto"/>
              <w:ind w:left="12" w:right="6" w:firstLine="489"/>
            </w:pPr>
            <w:r>
              <w:rPr>
                <w:spacing w:val="-5"/>
              </w:rPr>
              <w:t>（四）</w:t>
            </w:r>
            <w:r>
              <w:rPr>
                <w:spacing w:val="-63"/>
              </w:rPr>
              <w:t xml:space="preserve"> </w:t>
            </w:r>
            <w:r>
              <w:rPr>
                <w:rFonts w:ascii="黑体" w:hAnsi="黑体" w:eastAsia="黑体" w:cs="黑体"/>
                <w:spacing w:val="-5"/>
              </w:rPr>
              <w:t xml:space="preserve">制定和实施证券行业自律规则， </w:t>
            </w:r>
            <w:r>
              <w:rPr>
                <w:spacing w:val="-5"/>
              </w:rPr>
              <w:t>监督、检查会员</w:t>
            </w:r>
            <w:r>
              <w:rPr>
                <w:rFonts w:ascii="黑体" w:hAnsi="黑体" w:eastAsia="黑体" w:cs="黑体"/>
                <w:spacing w:val="-5"/>
              </w:rPr>
              <w:t>及其</w:t>
            </w:r>
            <w:r>
              <w:rPr>
                <w:rFonts w:ascii="黑体" w:hAnsi="黑体" w:eastAsia="黑体" w:cs="黑体"/>
              </w:rPr>
              <w:t xml:space="preserve"> </w:t>
            </w:r>
            <w:r>
              <w:rPr>
                <w:rFonts w:ascii="黑体" w:hAnsi="黑体" w:eastAsia="黑体" w:cs="黑体"/>
                <w:spacing w:val="2"/>
              </w:rPr>
              <w:t>从业人员</w:t>
            </w:r>
            <w:r>
              <w:rPr>
                <w:spacing w:val="2"/>
              </w:rPr>
              <w:t>行为，对违反法律、行政法规</w:t>
            </w:r>
            <w:r>
              <w:rPr>
                <w:rFonts w:ascii="黑体" w:hAnsi="黑体" w:eastAsia="黑体" w:cs="黑体"/>
                <w:spacing w:val="2"/>
              </w:rPr>
              <w:t>、自律规则</w:t>
            </w:r>
            <w:r>
              <w:rPr>
                <w:spacing w:val="2"/>
              </w:rPr>
              <w:t>或者</w:t>
            </w:r>
            <w:r>
              <w:rPr>
                <w:spacing w:val="1"/>
              </w:rPr>
              <w:t>协会章程</w:t>
            </w:r>
            <w:r>
              <w:t xml:space="preserve"> </w:t>
            </w:r>
            <w:r>
              <w:rPr>
                <w:spacing w:val="-1"/>
              </w:rPr>
              <w:t>的，按照规定给予纪律处分</w:t>
            </w:r>
            <w:r>
              <w:rPr>
                <w:rFonts w:ascii="黑体" w:hAnsi="黑体" w:eastAsia="黑体" w:cs="黑体"/>
                <w:spacing w:val="-1"/>
              </w:rPr>
              <w:t>或者实施其他自律管理措施</w:t>
            </w:r>
            <w:r>
              <w:rPr>
                <w:spacing w:val="-1"/>
              </w:rPr>
              <w:t>；</w:t>
            </w:r>
          </w:p>
          <w:p>
            <w:pPr>
              <w:pStyle w:val="8"/>
              <w:spacing w:before="24" w:line="213" w:lineRule="auto"/>
              <w:ind w:left="502"/>
            </w:pPr>
            <w:r>
              <w:rPr>
                <w:spacing w:val="-10"/>
              </w:rPr>
              <w:t>（五）制定</w:t>
            </w:r>
            <w:r>
              <w:rPr>
                <w:rFonts w:ascii="黑体" w:hAnsi="黑体" w:eastAsia="黑体" w:cs="黑体"/>
                <w:spacing w:val="-10"/>
              </w:rPr>
              <w:t>证券行业业务规范，</w:t>
            </w:r>
            <w:r>
              <w:rPr>
                <w:rFonts w:ascii="黑体" w:hAnsi="黑体" w:eastAsia="黑体" w:cs="黑体"/>
                <w:spacing w:val="82"/>
              </w:rPr>
              <w:t xml:space="preserve"> </w:t>
            </w:r>
            <w:r>
              <w:rPr>
                <w:spacing w:val="-10"/>
              </w:rPr>
              <w:t>组织从业人员的业务培训；</w:t>
            </w:r>
          </w:p>
          <w:p>
            <w:pPr>
              <w:spacing w:before="32" w:line="231" w:lineRule="auto"/>
              <w:ind w:left="11" w:right="7" w:firstLine="515"/>
              <w:rPr>
                <w:rFonts w:ascii="黑体" w:hAnsi="黑体" w:eastAsia="黑体" w:cs="黑体"/>
                <w:sz w:val="24"/>
                <w:szCs w:val="24"/>
              </w:rPr>
            </w:pPr>
            <w:r>
              <w:rPr>
                <w:rFonts w:ascii="黑体" w:hAnsi="黑体" w:eastAsia="黑体" w:cs="黑体"/>
                <w:sz w:val="24"/>
                <w:szCs w:val="24"/>
              </w:rPr>
              <w:t>（六）组织会员就证券行业的发展、运作及有关内容进行研</w:t>
            </w:r>
            <w:r>
              <w:rPr>
                <w:rFonts w:ascii="黑体" w:hAnsi="黑体" w:eastAsia="黑体" w:cs="黑体"/>
                <w:spacing w:val="16"/>
                <w:sz w:val="24"/>
                <w:szCs w:val="24"/>
              </w:rPr>
              <w:t xml:space="preserve"> </w:t>
            </w:r>
            <w:r>
              <w:rPr>
                <w:rFonts w:ascii="黑体" w:hAnsi="黑体" w:eastAsia="黑体" w:cs="黑体"/>
                <w:spacing w:val="-6"/>
                <w:sz w:val="24"/>
                <w:szCs w:val="24"/>
              </w:rPr>
              <w:t>究，</w:t>
            </w:r>
            <w:r>
              <w:rPr>
                <w:rFonts w:ascii="黑体" w:hAnsi="黑体" w:eastAsia="黑体" w:cs="黑体"/>
                <w:spacing w:val="-14"/>
                <w:sz w:val="24"/>
                <w:szCs w:val="24"/>
              </w:rPr>
              <w:t xml:space="preserve"> </w:t>
            </w:r>
            <w:r>
              <w:rPr>
                <w:rFonts w:ascii="黑体" w:hAnsi="黑体" w:eastAsia="黑体" w:cs="黑体"/>
                <w:spacing w:val="-6"/>
                <w:sz w:val="24"/>
                <w:szCs w:val="24"/>
              </w:rPr>
              <w:t>收集整理、发布证券相关信息， 提供会员服务，组织行业交</w:t>
            </w:r>
            <w:r>
              <w:rPr>
                <w:rFonts w:ascii="黑体" w:hAnsi="黑体" w:eastAsia="黑体" w:cs="黑体"/>
                <w:sz w:val="24"/>
                <w:szCs w:val="24"/>
              </w:rPr>
              <w:t xml:space="preserve"> </w:t>
            </w:r>
            <w:r>
              <w:rPr>
                <w:rFonts w:ascii="黑体" w:hAnsi="黑体" w:eastAsia="黑体" w:cs="黑体"/>
                <w:spacing w:val="-5"/>
                <w:sz w:val="24"/>
                <w:szCs w:val="24"/>
              </w:rPr>
              <w:t>流，引导行业创新发展；</w:t>
            </w:r>
          </w:p>
          <w:p>
            <w:pPr>
              <w:pStyle w:val="8"/>
              <w:spacing w:before="34" w:line="228" w:lineRule="auto"/>
              <w:ind w:left="12" w:right="20" w:firstLine="489"/>
            </w:pPr>
            <w:r>
              <w:rPr>
                <w:spacing w:val="1"/>
              </w:rPr>
              <w:t>（七）对会员之间、会员与客户之间发生的证券业务纠纷进</w:t>
            </w:r>
            <w:r>
              <w:rPr>
                <w:spacing w:val="3"/>
              </w:rPr>
              <w:t xml:space="preserve"> </w:t>
            </w:r>
            <w:r>
              <w:rPr>
                <w:spacing w:val="-14"/>
              </w:rPr>
              <w:t>行调解；</w:t>
            </w:r>
          </w:p>
          <w:p>
            <w:pPr>
              <w:pStyle w:val="8"/>
              <w:spacing w:before="31" w:line="207" w:lineRule="auto"/>
              <w:ind w:left="502"/>
            </w:pPr>
            <w:r>
              <w:rPr>
                <w:spacing w:val="-3"/>
              </w:rPr>
              <w:t>（八）证券业协会章程规定的其他职责。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740" w:type="dxa"/>
            <w:gridSpan w:val="2"/>
            <w:vMerge w:val="continue"/>
            <w:tcBorders>
              <w:top w:val="nil"/>
              <w:bottom w:val="nil"/>
              <w:right w:val="nil"/>
            </w:tcBorders>
            <w:vAlign w:val="top"/>
          </w:tcPr>
          <w:p>
            <w:pPr>
              <w:rPr>
                <w:rFonts w:ascii="Arial"/>
                <w:sz w:val="21"/>
              </w:rPr>
            </w:pPr>
          </w:p>
        </w:tc>
        <w:tc>
          <w:tcPr>
            <w:tcW w:w="6359" w:type="dxa"/>
            <w:gridSpan w:val="7"/>
            <w:tcBorders>
              <w:top w:val="nil"/>
              <w:left w:val="nil"/>
              <w:bottom w:val="single" w:color="000000" w:sz="2" w:space="0"/>
            </w:tcBorders>
            <w:vAlign w:val="top"/>
          </w:tcPr>
          <w:p>
            <w:pPr>
              <w:pStyle w:val="8"/>
              <w:spacing w:before="34" w:line="214" w:lineRule="auto"/>
              <w:jc w:val="right"/>
            </w:pPr>
            <w:r>
              <w:rPr>
                <w:spacing w:val="3"/>
              </w:rPr>
              <w:t>五）对会员之间、会员与客户之间发生的证券业务纠纷</w:t>
            </w:r>
            <w:r>
              <w:rPr>
                <w:spacing w:val="2"/>
              </w:rPr>
              <w:t>进行</w:t>
            </w: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11" w:type="dxa"/>
            <w:tcBorders>
              <w:top w:val="nil"/>
              <w:bottom w:val="nil"/>
              <w:right w:val="single" w:color="000000" w:sz="2" w:space="0"/>
            </w:tcBorders>
            <w:vAlign w:val="top"/>
          </w:tcPr>
          <w:p>
            <w:pPr>
              <w:rPr>
                <w:rFonts w:ascii="Arial"/>
                <w:sz w:val="21"/>
              </w:rPr>
            </w:pPr>
          </w:p>
        </w:tc>
        <w:tc>
          <w:tcPr>
            <w:tcW w:w="6477" w:type="dxa"/>
            <w:gridSpan w:val="7"/>
            <w:tcBorders>
              <w:top w:val="single" w:color="000000" w:sz="2" w:space="0"/>
              <w:left w:val="single" w:color="000000" w:sz="2" w:space="0"/>
              <w:bottom w:val="single" w:color="000000" w:sz="2" w:space="0"/>
              <w:right w:val="single" w:color="000000" w:sz="8" w:space="0"/>
            </w:tcBorders>
            <w:shd w:val="clear" w:color="auto" w:fill="D9D9D9"/>
            <w:vAlign w:val="top"/>
          </w:tcPr>
          <w:p>
            <w:pPr>
              <w:pStyle w:val="8"/>
              <w:spacing w:before="28" w:line="203" w:lineRule="auto"/>
            </w:pPr>
            <w:r>
              <w:rPr>
                <w:spacing w:val="-2"/>
              </w:rPr>
              <w:t>（六）组织会员就证券业的发展、运作及有</w:t>
            </w:r>
            <w:r>
              <w:rPr>
                <w:spacing w:val="-3"/>
              </w:rPr>
              <w:t>关内容进行研究；</w:t>
            </w:r>
          </w:p>
        </w:tc>
        <w:tc>
          <w:tcPr>
            <w:tcW w:w="111" w:type="dxa"/>
            <w:tcBorders>
              <w:top w:val="single" w:color="000000" w:sz="2" w:space="0"/>
              <w:left w:val="single" w:color="000000" w:sz="8" w:space="0"/>
              <w:bottom w:val="single" w:color="000000" w:sz="2" w:space="0"/>
            </w:tcBorders>
            <w:vAlign w:val="top"/>
          </w:tcPr>
          <w:p>
            <w:pPr>
              <w:rPr>
                <w:rFonts w:ascii="Arial"/>
                <w:sz w:val="21"/>
              </w:rPr>
            </w:pP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2" w:hRule="atLeast"/>
        </w:trPr>
        <w:tc>
          <w:tcPr>
            <w:tcW w:w="7099" w:type="dxa"/>
            <w:gridSpan w:val="9"/>
            <w:tcBorders>
              <w:top w:val="single" w:color="000000" w:sz="2" w:space="0"/>
            </w:tcBorders>
            <w:vAlign w:val="top"/>
          </w:tcPr>
          <w:p>
            <w:pPr>
              <w:pStyle w:val="8"/>
              <w:spacing w:before="34" w:line="228" w:lineRule="auto"/>
              <w:ind w:left="20" w:right="9" w:firstLine="482"/>
            </w:pPr>
            <w:r>
              <w:rPr>
                <w:spacing w:val="3"/>
              </w:rPr>
              <w:t>（七）监督、检查会员行为，对违反法律、行政法规或者协会</w:t>
            </w:r>
            <w:r>
              <w:rPr>
                <w:spacing w:val="8"/>
              </w:rPr>
              <w:t xml:space="preserve"> </w:t>
            </w:r>
            <w:r>
              <w:rPr>
                <w:spacing w:val="-13"/>
              </w:rPr>
              <w:t>章程的， 按照规定给予纪律处分；</w:t>
            </w:r>
          </w:p>
          <w:p>
            <w:pPr>
              <w:pStyle w:val="8"/>
              <w:spacing w:before="28" w:line="217" w:lineRule="auto"/>
              <w:ind w:left="503"/>
            </w:pPr>
            <w:r>
              <w:rPr>
                <w:spacing w:val="-3"/>
              </w:rPr>
              <w:t>（八）证券业协会章程规定的其他职责。</w:t>
            </w:r>
          </w:p>
        </w:tc>
        <w:tc>
          <w:tcPr>
            <w:tcW w:w="68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099" w:type="dxa"/>
            <w:gridSpan w:val="9"/>
            <w:vAlign w:val="top"/>
          </w:tcPr>
          <w:p>
            <w:pPr>
              <w:pStyle w:val="8"/>
              <w:spacing w:before="36" w:line="221" w:lineRule="auto"/>
              <w:jc w:val="right"/>
            </w:pPr>
            <w:r>
              <w:rPr>
                <w:rFonts w:ascii="黑体" w:hAnsi="黑体" w:eastAsia="黑体" w:cs="黑体"/>
                <w:spacing w:val="3"/>
              </w:rPr>
              <w:t xml:space="preserve">第一百七十七条  </w:t>
            </w:r>
            <w:r>
              <w:rPr>
                <w:spacing w:val="3"/>
              </w:rPr>
              <w:t>证券业协会设理事会。理事会成员依章程的</w:t>
            </w:r>
          </w:p>
          <w:p>
            <w:pPr>
              <w:pStyle w:val="8"/>
              <w:spacing w:before="23" w:line="208" w:lineRule="auto"/>
              <w:ind w:left="20"/>
            </w:pPr>
            <w:r>
              <w:rPr>
                <w:spacing w:val="-8"/>
              </w:rPr>
              <w:t>规定由选举产生。</w:t>
            </w:r>
          </w:p>
        </w:tc>
        <w:tc>
          <w:tcPr>
            <w:tcW w:w="6808" w:type="dxa"/>
            <w:vAlign w:val="top"/>
          </w:tcPr>
          <w:p>
            <w:pPr>
              <w:pStyle w:val="8"/>
              <w:spacing w:before="36" w:line="221" w:lineRule="auto"/>
              <w:ind w:right="4"/>
              <w:jc w:val="right"/>
            </w:pPr>
            <w:r>
              <w:rPr>
                <w:rFonts w:ascii="黑体" w:hAnsi="黑体" w:eastAsia="黑体" w:cs="黑体"/>
                <w:spacing w:val="1"/>
              </w:rPr>
              <w:t xml:space="preserve">第一百六十七条  </w:t>
            </w:r>
            <w:r>
              <w:rPr>
                <w:spacing w:val="1"/>
              </w:rPr>
              <w:t>证券业协会设理事会。理事会成员依章程</w:t>
            </w:r>
          </w:p>
          <w:p>
            <w:pPr>
              <w:pStyle w:val="8"/>
              <w:spacing w:before="23" w:line="208" w:lineRule="auto"/>
              <w:ind w:left="33"/>
            </w:pPr>
            <w:r>
              <w:rPr>
                <w:spacing w:val="-8"/>
              </w:rPr>
              <w:t>的规定由选举产生。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099" w:type="dxa"/>
            <w:gridSpan w:val="9"/>
            <w:vAlign w:val="top"/>
          </w:tcPr>
          <w:p>
            <w:pPr>
              <w:spacing w:before="152" w:line="221" w:lineRule="auto"/>
              <w:ind w:left="2361"/>
              <w:rPr>
                <w:rFonts w:ascii="黑体" w:hAnsi="黑体" w:eastAsia="黑体" w:cs="黑体"/>
                <w:sz w:val="24"/>
                <w:szCs w:val="24"/>
              </w:rPr>
            </w:pPr>
            <w:r>
              <w:rPr>
                <w:rFonts w:ascii="黑体" w:hAnsi="黑体" w:eastAsia="黑体" w:cs="黑体"/>
                <w:spacing w:val="-1"/>
                <w:sz w:val="24"/>
                <w:szCs w:val="24"/>
              </w:rPr>
              <w:t>第十章  证券监督管理机构</w:t>
            </w:r>
          </w:p>
        </w:tc>
        <w:tc>
          <w:tcPr>
            <w:tcW w:w="6808" w:type="dxa"/>
            <w:vAlign w:val="top"/>
          </w:tcPr>
          <w:p>
            <w:pPr>
              <w:spacing w:before="152" w:line="221" w:lineRule="auto"/>
              <w:ind w:left="2093"/>
              <w:rPr>
                <w:rFonts w:ascii="黑体" w:hAnsi="黑体" w:eastAsia="黑体" w:cs="黑体"/>
                <w:sz w:val="24"/>
                <w:szCs w:val="24"/>
              </w:rPr>
            </w:pPr>
            <w:r>
              <w:rPr>
                <w:rFonts w:ascii="黑体" w:hAnsi="黑体" w:eastAsia="黑体" w:cs="黑体"/>
                <w:spacing w:val="-1"/>
                <w:sz w:val="24"/>
                <w:szCs w:val="24"/>
              </w:rPr>
              <w:t>第十二章  证券监督管理机构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099" w:type="dxa"/>
            <w:gridSpan w:val="9"/>
            <w:vAlign w:val="top"/>
          </w:tcPr>
          <w:p>
            <w:pPr>
              <w:pStyle w:val="8"/>
              <w:spacing w:before="36" w:line="225" w:lineRule="auto"/>
              <w:ind w:left="13" w:firstLine="499"/>
            </w:pPr>
            <w:r>
              <w:rPr>
                <w:rFonts w:ascii="黑体" w:hAnsi="黑体" w:eastAsia="黑体" w:cs="黑体"/>
                <w:spacing w:val="3"/>
              </w:rPr>
              <w:t>第一百七十八</w:t>
            </w:r>
            <w:r>
              <w:rPr>
                <w:rFonts w:ascii="黑体" w:hAnsi="黑体" w:eastAsia="黑体" w:cs="黑体"/>
                <w:spacing w:val="3"/>
                <w:u w:val="single" w:color="auto"/>
              </w:rPr>
              <w:t xml:space="preserve">条  </w:t>
            </w:r>
            <w:r>
              <w:rPr>
                <w:spacing w:val="3"/>
                <w:u w:val="single" w:color="auto"/>
              </w:rPr>
              <w:t>国务院证</w:t>
            </w:r>
            <w:r>
              <w:rPr>
                <w:spacing w:val="3"/>
              </w:rPr>
              <w:t>券监督管理机构依法对证券市场实</w:t>
            </w:r>
            <w:r>
              <w:rPr>
                <w:spacing w:val="5"/>
              </w:rPr>
              <w:t xml:space="preserve"> </w:t>
            </w:r>
            <w:r>
              <w:rPr>
                <w:spacing w:val="-3"/>
              </w:rPr>
              <w:t>行监督管理，维护</w:t>
            </w:r>
            <w:r>
              <w:rPr>
                <w:position w:val="-7"/>
              </w:rPr>
              <w:drawing>
                <wp:inline distT="0" distB="0" distL="0" distR="0">
                  <wp:extent cx="1270" cy="194945"/>
                  <wp:effectExtent l="0" t="0" r="0" b="0"/>
                  <wp:docPr id="726" name="IM 726"/>
                  <wp:cNvGraphicFramePr/>
                  <a:graphic xmlns:a="http://schemas.openxmlformats.org/drawingml/2006/main">
                    <a:graphicData uri="http://schemas.openxmlformats.org/drawingml/2006/picture">
                      <pic:pic xmlns:pic="http://schemas.openxmlformats.org/drawingml/2006/picture">
                        <pic:nvPicPr>
                          <pic:cNvPr id="726" name="IM 726"/>
                          <pic:cNvPicPr/>
                        </pic:nvPicPr>
                        <pic:blipFill>
                          <a:blip r:embed="rId70"/>
                          <a:stretch>
                            <a:fillRect/>
                          </a:stretch>
                        </pic:blipFill>
                        <pic:spPr>
                          <a:xfrm>
                            <a:off x="0" y="0"/>
                            <a:ext cx="1650" cy="195072"/>
                          </a:xfrm>
                          <a:prstGeom prst="rect">
                            <a:avLst/>
                          </a:prstGeom>
                        </pic:spPr>
                      </pic:pic>
                    </a:graphicData>
                  </a:graphic>
                </wp:inline>
              </w:drawing>
            </w:r>
            <w:r>
              <w:rPr>
                <w:spacing w:val="-3"/>
                <w:u w:val="single" w:color="auto"/>
                <w:shd w:val="clear" w:fill="D9D9D9"/>
              </w:rPr>
              <w:t>证券市场秩序</w:t>
            </w:r>
            <w:r>
              <w:rPr>
                <w:position w:val="-6"/>
              </w:rPr>
              <w:drawing>
                <wp:inline distT="0" distB="0" distL="0" distR="0">
                  <wp:extent cx="1270" cy="193040"/>
                  <wp:effectExtent l="0" t="0" r="0" b="0"/>
                  <wp:docPr id="728" name="IM 728"/>
                  <wp:cNvGraphicFramePr/>
                  <a:graphic xmlns:a="http://schemas.openxmlformats.org/drawingml/2006/main">
                    <a:graphicData uri="http://schemas.openxmlformats.org/drawingml/2006/picture">
                      <pic:pic xmlns:pic="http://schemas.openxmlformats.org/drawingml/2006/picture">
                        <pic:nvPicPr>
                          <pic:cNvPr id="728" name="IM 728"/>
                          <pic:cNvPicPr/>
                        </pic:nvPicPr>
                        <pic:blipFill>
                          <a:blip r:embed="rId76"/>
                          <a:stretch>
                            <a:fillRect/>
                          </a:stretch>
                        </pic:blipFill>
                        <pic:spPr>
                          <a:xfrm>
                            <a:off x="0" y="0"/>
                            <a:ext cx="1650" cy="193547"/>
                          </a:xfrm>
                          <a:prstGeom prst="rect">
                            <a:avLst/>
                          </a:prstGeom>
                        </pic:spPr>
                      </pic:pic>
                    </a:graphicData>
                  </a:graphic>
                </wp:inline>
              </w:drawing>
            </w:r>
            <w:r>
              <w:rPr>
                <w:spacing w:val="-3"/>
              </w:rPr>
              <w:t>，保障其合法运行。</w:t>
            </w:r>
          </w:p>
        </w:tc>
        <w:tc>
          <w:tcPr>
            <w:tcW w:w="6808" w:type="dxa"/>
            <w:vAlign w:val="top"/>
          </w:tcPr>
          <w:p>
            <w:pPr>
              <w:pStyle w:val="8"/>
              <w:spacing w:before="35" w:line="229" w:lineRule="auto"/>
              <w:ind w:left="23" w:right="4" w:firstLine="488"/>
              <w:jc w:val="both"/>
            </w:pPr>
            <w:r>
              <w:rPr>
                <w:rFonts w:ascii="黑体" w:hAnsi="黑体" w:eastAsia="黑体" w:cs="黑体"/>
                <w:spacing w:val="1"/>
              </w:rPr>
              <w:t xml:space="preserve">第一百六十八条  </w:t>
            </w:r>
            <w:r>
              <w:rPr>
                <w:spacing w:val="1"/>
              </w:rPr>
              <w:t>国务院证券监督管理机构依法对证券市场</w:t>
            </w:r>
            <w:r>
              <w:rPr>
                <w:spacing w:val="8"/>
              </w:rPr>
              <w:t xml:space="preserve"> </w:t>
            </w:r>
            <w:r>
              <w:rPr>
                <w:spacing w:val="1"/>
              </w:rPr>
              <w:t>实行监督管理，维护</w:t>
            </w:r>
            <w:r>
              <w:rPr>
                <w:rFonts w:ascii="黑体" w:hAnsi="黑体" w:eastAsia="黑体" w:cs="黑体"/>
                <w:spacing w:val="1"/>
              </w:rPr>
              <w:t>证券市场公开、公平、公正，防范系统性风</w:t>
            </w:r>
            <w:r>
              <w:rPr>
                <w:rFonts w:ascii="黑体" w:hAnsi="黑体" w:eastAsia="黑体" w:cs="黑体"/>
                <w:spacing w:val="16"/>
              </w:rPr>
              <w:t xml:space="preserve"> </w:t>
            </w:r>
            <w:r>
              <w:rPr>
                <w:rFonts w:ascii="黑体" w:hAnsi="黑体" w:eastAsia="黑体" w:cs="黑体"/>
                <w:spacing w:val="-11"/>
              </w:rPr>
              <w:t>险，维护投资者合法权益，</w:t>
            </w:r>
            <w:r>
              <w:rPr>
                <w:rFonts w:ascii="黑体" w:hAnsi="黑体" w:eastAsia="黑体" w:cs="黑体"/>
                <w:spacing w:val="68"/>
              </w:rPr>
              <w:t xml:space="preserve"> </w:t>
            </w:r>
            <w:r>
              <w:rPr>
                <w:spacing w:val="-11"/>
              </w:rPr>
              <w:t>促进证券市场健康发展。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7099" w:type="dxa"/>
            <w:gridSpan w:val="9"/>
            <w:tcBorders>
              <w:bottom w:val="nil"/>
            </w:tcBorders>
            <w:vAlign w:val="top"/>
          </w:tcPr>
          <w:p>
            <w:pPr>
              <w:pStyle w:val="8"/>
              <w:spacing w:before="35" w:line="229" w:lineRule="auto"/>
              <w:ind w:left="20" w:firstLine="492"/>
            </w:pPr>
            <w:r>
              <w:rPr>
                <w:rFonts w:ascii="黑体" w:hAnsi="黑体" w:eastAsia="黑体" w:cs="黑体"/>
                <w:spacing w:val="3"/>
              </w:rPr>
              <w:t xml:space="preserve">第一百七十九条  </w:t>
            </w:r>
            <w:r>
              <w:rPr>
                <w:spacing w:val="3"/>
              </w:rPr>
              <w:t>国务院证券监督管理机构在对证券市场实施</w:t>
            </w:r>
            <w:r>
              <w:rPr>
                <w:spacing w:val="5"/>
              </w:rPr>
              <w:t xml:space="preserve"> </w:t>
            </w:r>
            <w:r>
              <w:rPr>
                <w:spacing w:val="-7"/>
              </w:rPr>
              <w:t>监督管理中履行下列职责：</w:t>
            </w:r>
          </w:p>
          <w:p>
            <w:pPr>
              <w:pStyle w:val="8"/>
              <w:spacing w:before="29" w:line="198" w:lineRule="auto"/>
              <w:ind w:right="6"/>
              <w:jc w:val="right"/>
            </w:pPr>
            <w:r>
              <w:rPr>
                <w:spacing w:val="-1"/>
              </w:rPr>
              <w:t>（一）依法制定有关证券市场监督管理的规章、规则， 并依法</w:t>
            </w:r>
          </w:p>
        </w:tc>
        <w:tc>
          <w:tcPr>
            <w:tcW w:w="6808" w:type="dxa"/>
            <w:vMerge w:val="restart"/>
            <w:tcBorders>
              <w:bottom w:val="nil"/>
            </w:tcBorders>
            <w:vAlign w:val="top"/>
          </w:tcPr>
          <w:p>
            <w:pPr>
              <w:pStyle w:val="8"/>
              <w:spacing w:before="35" w:line="229" w:lineRule="auto"/>
              <w:ind w:left="13" w:right="3" w:firstLine="498"/>
            </w:pPr>
            <w:r>
              <w:rPr>
                <w:rFonts w:ascii="黑体" w:hAnsi="黑体" w:eastAsia="黑体" w:cs="黑体"/>
                <w:spacing w:val="1"/>
              </w:rPr>
              <w:t xml:space="preserve">第一百六十九条  </w:t>
            </w:r>
            <w:r>
              <w:rPr>
                <w:spacing w:val="1"/>
              </w:rPr>
              <w:t>国务院证券监督管理机构在对证券市场实</w:t>
            </w:r>
            <w:r>
              <w:rPr>
                <w:spacing w:val="9"/>
              </w:rPr>
              <w:t xml:space="preserve"> </w:t>
            </w:r>
            <w:r>
              <w:rPr>
                <w:spacing w:val="-6"/>
              </w:rPr>
              <w:t>施监督管理中履行下列职责：</w:t>
            </w:r>
          </w:p>
          <w:p>
            <w:pPr>
              <w:pStyle w:val="8"/>
              <w:spacing w:before="29" w:line="226" w:lineRule="auto"/>
              <w:ind w:left="21" w:right="22" w:firstLine="481"/>
            </w:pPr>
            <w:r>
              <w:rPr>
                <w:spacing w:val="-4"/>
              </w:rPr>
              <w:t>（一）依法制定有关证券市场监督管理的规章、规则， 并依</w:t>
            </w:r>
            <w:r>
              <w:rPr>
                <w:spacing w:val="15"/>
              </w:rPr>
              <w:t xml:space="preserve"> </w:t>
            </w:r>
            <w:r>
              <w:rPr>
                <w:spacing w:val="-12"/>
              </w:rPr>
              <w:t>法</w:t>
            </w:r>
            <w:r>
              <w:rPr>
                <w:rFonts w:ascii="黑体" w:hAnsi="黑体" w:eastAsia="黑体" w:cs="黑体"/>
                <w:spacing w:val="-12"/>
              </w:rPr>
              <w:t>进行</w:t>
            </w:r>
            <w:r>
              <w:rPr>
                <w:spacing w:val="-12"/>
              </w:rPr>
              <w:t>审批、核准、</w:t>
            </w:r>
            <w:r>
              <w:rPr>
                <w:spacing w:val="65"/>
              </w:rPr>
              <w:t xml:space="preserve"> </w:t>
            </w:r>
            <w:r>
              <w:rPr>
                <w:rFonts w:ascii="黑体" w:hAnsi="黑体" w:eastAsia="黑体" w:cs="黑体"/>
                <w:spacing w:val="-12"/>
              </w:rPr>
              <w:t>注册，办理备案</w:t>
            </w:r>
            <w:r>
              <w:rPr>
                <w:spacing w:val="-12"/>
              </w:rPr>
              <w:t>；</w:t>
            </w:r>
          </w:p>
          <w:p>
            <w:pPr>
              <w:pStyle w:val="8"/>
              <w:spacing w:before="36" w:line="227" w:lineRule="auto"/>
              <w:ind w:left="24" w:right="29" w:firstLine="478"/>
            </w:pPr>
            <w:r>
              <w:rPr>
                <w:spacing w:val="1"/>
              </w:rPr>
              <w:t>（二）依法对证券的发行、上市、交易、登</w:t>
            </w:r>
            <w:r>
              <w:t xml:space="preserve">记、存管、结算 </w:t>
            </w:r>
            <w:r>
              <w:rPr>
                <w:spacing w:val="-7"/>
              </w:rPr>
              <w:t>等行为，进行监督管理；</w:t>
            </w:r>
          </w:p>
          <w:p>
            <w:pPr>
              <w:pStyle w:val="8"/>
              <w:spacing w:before="31" w:line="228" w:lineRule="auto"/>
              <w:ind w:left="21" w:right="18" w:firstLine="481"/>
            </w:pPr>
            <w:r>
              <w:rPr>
                <w:spacing w:val="1"/>
              </w:rPr>
              <w:t>（三）依法对证券发行人、证券公司、证券服务机构、证券</w:t>
            </w:r>
            <w:r>
              <w:rPr>
                <w:spacing w:val="4"/>
              </w:rPr>
              <w:t xml:space="preserve"> </w:t>
            </w:r>
            <w:r>
              <w:rPr>
                <w:spacing w:val="-3"/>
              </w:rPr>
              <w:t>交易场所、证券登记结算机构的证券业务活动，进行监督管理；</w:t>
            </w:r>
          </w:p>
          <w:p>
            <w:pPr>
              <w:pStyle w:val="8"/>
              <w:spacing w:before="30" w:line="228" w:lineRule="auto"/>
              <w:ind w:left="13" w:right="27" w:firstLine="488"/>
            </w:pPr>
            <w:r>
              <w:rPr>
                <w:spacing w:val="10"/>
              </w:rPr>
              <w:t>（四）依法制定从事证券业务人员的行为准则，并监督实</w:t>
            </w:r>
            <w:r>
              <w:rPr>
                <w:spacing w:val="11"/>
              </w:rPr>
              <w:t xml:space="preserve"> </w:t>
            </w:r>
            <w:r>
              <w:rPr>
                <w:spacing w:val="-19"/>
              </w:rPr>
              <w:t>施；</w:t>
            </w:r>
          </w:p>
          <w:p>
            <w:pPr>
              <w:pStyle w:val="8"/>
              <w:spacing w:before="30" w:line="215" w:lineRule="auto"/>
              <w:ind w:left="502"/>
            </w:pPr>
            <w:r>
              <w:rPr>
                <w:spacing w:val="-3"/>
              </w:rPr>
              <w:t>（五）依法监督检查证券发行、上市、交易的信息披露；</w:t>
            </w:r>
          </w:p>
          <w:p>
            <w:pPr>
              <w:spacing w:before="31" w:line="209" w:lineRule="auto"/>
              <w:ind w:left="527"/>
              <w:rPr>
                <w:rFonts w:ascii="黑体" w:hAnsi="黑体" w:eastAsia="黑体" w:cs="黑体"/>
                <w:sz w:val="24"/>
                <w:szCs w:val="24"/>
              </w:rPr>
            </w:pPr>
            <w:r>
              <w:rPr>
                <w:rFonts w:ascii="黑体" w:hAnsi="黑体" w:eastAsia="黑体" w:cs="黑体"/>
                <w:spacing w:val="-3"/>
                <w:sz w:val="24"/>
                <w:szCs w:val="24"/>
              </w:rPr>
              <w:t>（六）依法对证券业协会的自律管理活动进行指导和监督；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11" w:type="dxa"/>
            <w:tcBorders>
              <w:top w:val="single" w:color="000000" w:sz="2" w:space="0"/>
              <w:bottom w:val="single" w:color="000000" w:sz="2" w:space="0"/>
              <w:right w:val="single" w:color="000000" w:sz="2" w:space="0"/>
            </w:tcBorders>
            <w:shd w:val="clear" w:color="auto" w:fill="D9D9D9"/>
            <w:vAlign w:val="top"/>
          </w:tcPr>
          <w:p>
            <w:pPr>
              <w:pStyle w:val="8"/>
              <w:spacing w:before="37" w:line="196" w:lineRule="auto"/>
              <w:ind w:left="15"/>
            </w:pPr>
            <w:r>
              <w:rPr>
                <w:spacing w:val="-3"/>
              </w:rPr>
              <w:t>行使</w:t>
            </w:r>
          </w:p>
        </w:tc>
        <w:tc>
          <w:tcPr>
            <w:tcW w:w="482" w:type="dxa"/>
            <w:gridSpan w:val="2"/>
            <w:tcBorders>
              <w:top w:val="nil"/>
              <w:left w:val="single" w:color="000000" w:sz="2" w:space="0"/>
              <w:bottom w:val="nil"/>
              <w:right w:val="single" w:color="000000" w:sz="2" w:space="0"/>
            </w:tcBorders>
            <w:vAlign w:val="top"/>
          </w:tcPr>
          <w:p>
            <w:pPr>
              <w:pStyle w:val="8"/>
              <w:spacing w:before="37" w:line="196" w:lineRule="auto"/>
              <w:jc w:val="right"/>
            </w:pPr>
            <w:r>
              <w:rPr>
                <w:spacing w:val="-7"/>
              </w:rPr>
              <w:t>审批</w:t>
            </w:r>
          </w:p>
        </w:tc>
        <w:tc>
          <w:tcPr>
            <w:tcW w:w="482"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37" w:line="196" w:lineRule="auto"/>
            </w:pPr>
            <w:r>
              <w:rPr>
                <w:spacing w:val="-5"/>
              </w:rPr>
              <w:t>或者</w:t>
            </w:r>
          </w:p>
        </w:tc>
        <w:tc>
          <w:tcPr>
            <w:tcW w:w="482" w:type="dxa"/>
            <w:tcBorders>
              <w:top w:val="nil"/>
              <w:left w:val="single" w:color="000000" w:sz="2" w:space="0"/>
              <w:bottom w:val="nil"/>
              <w:right w:val="single" w:color="000000" w:sz="2" w:space="0"/>
            </w:tcBorders>
            <w:vAlign w:val="top"/>
          </w:tcPr>
          <w:p>
            <w:pPr>
              <w:pStyle w:val="8"/>
              <w:spacing w:before="37" w:line="196" w:lineRule="auto"/>
            </w:pPr>
            <w:r>
              <w:rPr>
                <w:spacing w:val="-4"/>
              </w:rPr>
              <w:t>核准</w:t>
            </w:r>
          </w:p>
        </w:tc>
        <w:tc>
          <w:tcPr>
            <w:tcW w:w="242"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37" w:line="196" w:lineRule="auto"/>
              <w:jc w:val="right"/>
            </w:pPr>
            <w:r>
              <w:rPr>
                <w:spacing w:val="-16"/>
              </w:rPr>
              <w:t>权</w:t>
            </w:r>
          </w:p>
        </w:tc>
        <w:tc>
          <w:tcPr>
            <w:tcW w:w="4900" w:type="dxa"/>
            <w:gridSpan w:val="3"/>
            <w:tcBorders>
              <w:top w:val="nil"/>
              <w:left w:val="single" w:color="000000" w:sz="2" w:space="0"/>
              <w:bottom w:val="nil"/>
            </w:tcBorders>
            <w:vAlign w:val="top"/>
          </w:tcPr>
          <w:p>
            <w:pPr>
              <w:pStyle w:val="8"/>
              <w:spacing w:before="120" w:line="172" w:lineRule="exact"/>
              <w:ind w:left="7"/>
            </w:pPr>
            <w:r>
              <w:rPr>
                <w:position w:val="2"/>
              </w:rPr>
              <w:t>;</w:t>
            </w: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trPr>
        <w:tc>
          <w:tcPr>
            <w:tcW w:w="7099" w:type="dxa"/>
            <w:gridSpan w:val="9"/>
            <w:tcBorders>
              <w:top w:val="nil"/>
              <w:bottom w:val="nil"/>
            </w:tcBorders>
            <w:vAlign w:val="top"/>
          </w:tcPr>
          <w:p>
            <w:pPr>
              <w:pStyle w:val="8"/>
              <w:tabs>
                <w:tab w:val="left" w:pos="622"/>
                <w:tab w:val="left" w:pos="7079"/>
              </w:tabs>
              <w:spacing w:before="42" w:line="228" w:lineRule="auto"/>
              <w:ind w:left="6" w:firstLine="497"/>
              <w:jc w:val="both"/>
            </w:pPr>
            <w:r>
              <w:pict>
                <v:shape id="_x0000_s1097" o:spid="_x0000_s1097" style="position:absolute;left:0pt;margin-left:171.7pt;margin-top:31.5pt;height:0.15pt;width:61pt;z-index:251728896;mso-width-relative:page;mso-height-relative:page;" fillcolor="#000000" filled="t" stroked="f" coordsize="1220,3" path="m0,0l1219,0,1219,2,0,2,0,0xe">
                  <v:path/>
                  <v:fill on="t" focussize="0,0"/>
                  <v:stroke on="f"/>
                  <v:imagedata o:title=""/>
                  <o:lock v:ext="edit"/>
                </v:shape>
              </w:pict>
            </w:r>
            <w:r>
              <w:rPr>
                <w:spacing w:val="3"/>
              </w:rPr>
              <w:t>（二）依法对证券的发行、上市、交易、登记、存管、结算，</w:t>
            </w:r>
            <w:r>
              <w:rPr>
                <w:spacing w:val="10"/>
              </w:rPr>
              <w:t xml:space="preserve"> </w:t>
            </w:r>
            <w:r>
              <w:rPr>
                <w:spacing w:val="-27"/>
              </w:rPr>
              <w:t>进行监督管理；</w:t>
            </w:r>
            <w:r>
              <w:rPr>
                <w:spacing w:val="1"/>
              </w:rPr>
              <w:t xml:space="preserve">                                    </w:t>
            </w:r>
            <w:r>
              <w:rPr>
                <w:position w:val="-7"/>
              </w:rPr>
              <w:drawing>
                <wp:inline distT="0" distB="0" distL="0" distR="0">
                  <wp:extent cx="1270" cy="1270"/>
                  <wp:effectExtent l="0" t="0" r="0" b="0"/>
                  <wp:docPr id="730" name="IM 730"/>
                  <wp:cNvGraphicFramePr/>
                  <a:graphic xmlns:a="http://schemas.openxmlformats.org/drawingml/2006/main">
                    <a:graphicData uri="http://schemas.openxmlformats.org/drawingml/2006/picture">
                      <pic:pic xmlns:pic="http://schemas.openxmlformats.org/drawingml/2006/picture">
                        <pic:nvPicPr>
                          <pic:cNvPr id="730" name="IM 730"/>
                          <pic:cNvPicPr/>
                        </pic:nvPicPr>
                        <pic:blipFill>
                          <a:blip r:embed="rId95"/>
                          <a:stretch>
                            <a:fillRect/>
                          </a:stretch>
                        </pic:blipFill>
                        <pic:spPr>
                          <a:xfrm>
                            <a:off x="0" y="0"/>
                            <a:ext cx="1523" cy="1496"/>
                          </a:xfrm>
                          <a:prstGeom prst="rect">
                            <a:avLst/>
                          </a:prstGeom>
                        </pic:spPr>
                      </pic:pic>
                    </a:graphicData>
                  </a:graphic>
                </wp:inline>
              </w:drawing>
            </w:r>
            <w:r>
              <w:rPr>
                <w:u w:val="single" w:color="auto"/>
              </w:rPr>
              <w:tab/>
            </w:r>
            <w:r>
              <w:t xml:space="preserve"> </w:t>
            </w:r>
            <w:r>
              <w:rPr>
                <w:u w:val="single" w:color="auto"/>
              </w:rPr>
              <w:tab/>
            </w:r>
            <w:r>
              <w:rPr>
                <w:spacing w:val="-3"/>
                <w:u w:val="single" w:color="auto"/>
              </w:rPr>
              <w:t>（三）依</w:t>
            </w:r>
            <w:r>
              <w:rPr>
                <w:spacing w:val="-92"/>
                <w:u w:val="single" w:color="auto"/>
              </w:rPr>
              <w:t xml:space="preserve"> </w:t>
            </w:r>
            <w:r>
              <w:rPr>
                <w:position w:val="-7"/>
              </w:rPr>
              <w:drawing>
                <wp:inline distT="0" distB="0" distL="0" distR="0">
                  <wp:extent cx="635" cy="1270"/>
                  <wp:effectExtent l="0" t="0" r="0" b="0"/>
                  <wp:docPr id="732" name="IM 732"/>
                  <wp:cNvGraphicFramePr/>
                  <a:graphic xmlns:a="http://schemas.openxmlformats.org/drawingml/2006/main">
                    <a:graphicData uri="http://schemas.openxmlformats.org/drawingml/2006/picture">
                      <pic:pic xmlns:pic="http://schemas.openxmlformats.org/drawingml/2006/picture">
                        <pic:nvPicPr>
                          <pic:cNvPr id="732" name="IM 732"/>
                          <pic:cNvPicPr/>
                        </pic:nvPicPr>
                        <pic:blipFill>
                          <a:blip r:embed="rId74"/>
                          <a:stretch>
                            <a:fillRect/>
                          </a:stretch>
                        </pic:blipFill>
                        <pic:spPr>
                          <a:xfrm>
                            <a:off x="0" y="0"/>
                            <a:ext cx="1015" cy="1496"/>
                          </a:xfrm>
                          <a:prstGeom prst="rect">
                            <a:avLst/>
                          </a:prstGeom>
                        </pic:spPr>
                      </pic:pic>
                    </a:graphicData>
                  </a:graphic>
                </wp:inline>
              </w:drawing>
            </w:r>
            <w:r>
              <w:rPr>
                <w:spacing w:val="-97"/>
              </w:rPr>
              <w:t xml:space="preserve"> </w:t>
            </w:r>
            <w:r>
              <w:rPr>
                <w:spacing w:val="-3"/>
              </w:rPr>
              <w:t>法对证券发行人、</w:t>
            </w:r>
            <w:r>
              <w:rPr>
                <w:position w:val="23"/>
              </w:rPr>
              <w:drawing>
                <wp:inline distT="0" distB="0" distL="0" distR="0">
                  <wp:extent cx="635" cy="1270"/>
                  <wp:effectExtent l="0" t="0" r="0" b="0"/>
                  <wp:docPr id="734" name="IM 734"/>
                  <wp:cNvGraphicFramePr/>
                  <a:graphic xmlns:a="http://schemas.openxmlformats.org/drawingml/2006/main">
                    <a:graphicData uri="http://schemas.openxmlformats.org/drawingml/2006/picture">
                      <pic:pic xmlns:pic="http://schemas.openxmlformats.org/drawingml/2006/picture">
                        <pic:nvPicPr>
                          <pic:cNvPr id="734" name="IM 734"/>
                          <pic:cNvPicPr/>
                        </pic:nvPicPr>
                        <pic:blipFill>
                          <a:blip r:embed="rId95"/>
                          <a:stretch>
                            <a:fillRect/>
                          </a:stretch>
                        </pic:blipFill>
                        <pic:spPr>
                          <a:xfrm>
                            <a:off x="0" y="0"/>
                            <a:ext cx="1015" cy="1496"/>
                          </a:xfrm>
                          <a:prstGeom prst="rect">
                            <a:avLst/>
                          </a:prstGeom>
                        </pic:spPr>
                      </pic:pic>
                    </a:graphicData>
                  </a:graphic>
                </wp:inline>
              </w:drawing>
            </w:r>
            <w:r>
              <w:rPr>
                <w:position w:val="-7"/>
              </w:rPr>
              <w:drawing>
                <wp:inline distT="0" distB="0" distL="0" distR="0">
                  <wp:extent cx="635" cy="191135"/>
                  <wp:effectExtent l="0" t="0" r="0" b="0"/>
                  <wp:docPr id="736" name="IM 736"/>
                  <wp:cNvGraphicFramePr/>
                  <a:graphic xmlns:a="http://schemas.openxmlformats.org/drawingml/2006/main">
                    <a:graphicData uri="http://schemas.openxmlformats.org/drawingml/2006/picture">
                      <pic:pic xmlns:pic="http://schemas.openxmlformats.org/drawingml/2006/picture">
                        <pic:nvPicPr>
                          <pic:cNvPr id="736" name="IM 736"/>
                          <pic:cNvPicPr/>
                        </pic:nvPicPr>
                        <pic:blipFill>
                          <a:blip r:embed="rId84"/>
                          <a:stretch>
                            <a:fillRect/>
                          </a:stretch>
                        </pic:blipFill>
                        <pic:spPr>
                          <a:xfrm>
                            <a:off x="0" y="0"/>
                            <a:ext cx="1015" cy="191580"/>
                          </a:xfrm>
                          <a:prstGeom prst="rect">
                            <a:avLst/>
                          </a:prstGeom>
                        </pic:spPr>
                      </pic:pic>
                    </a:graphicData>
                  </a:graphic>
                </wp:inline>
              </w:drawing>
            </w:r>
            <w:r>
              <w:rPr>
                <w:spacing w:val="-3"/>
                <w:u w:val="single" w:color="auto"/>
                <w:shd w:val="clear" w:fill="D9D9D9"/>
              </w:rPr>
              <w:t>上市公司、</w:t>
            </w:r>
            <w:r>
              <w:rPr>
                <w:position w:val="23"/>
              </w:rPr>
              <w:drawing>
                <wp:inline distT="0" distB="0" distL="0" distR="0">
                  <wp:extent cx="635" cy="1270"/>
                  <wp:effectExtent l="0" t="0" r="0" b="0"/>
                  <wp:docPr id="738" name="IM 738"/>
                  <wp:cNvGraphicFramePr/>
                  <a:graphic xmlns:a="http://schemas.openxmlformats.org/drawingml/2006/main">
                    <a:graphicData uri="http://schemas.openxmlformats.org/drawingml/2006/picture">
                      <pic:pic xmlns:pic="http://schemas.openxmlformats.org/drawingml/2006/picture">
                        <pic:nvPicPr>
                          <pic:cNvPr id="738" name="IM 738"/>
                          <pic:cNvPicPr/>
                        </pic:nvPicPr>
                        <pic:blipFill>
                          <a:blip r:embed="rId95"/>
                          <a:stretch>
                            <a:fillRect/>
                          </a:stretch>
                        </pic:blipFill>
                        <pic:spPr>
                          <a:xfrm>
                            <a:off x="0" y="0"/>
                            <a:ext cx="1015" cy="1496"/>
                          </a:xfrm>
                          <a:prstGeom prst="rect">
                            <a:avLst/>
                          </a:prstGeom>
                        </pic:spPr>
                      </pic:pic>
                    </a:graphicData>
                  </a:graphic>
                </wp:inline>
              </w:drawing>
            </w:r>
            <w:r>
              <w:rPr>
                <w:position w:val="-7"/>
              </w:rPr>
              <w:drawing>
                <wp:inline distT="0" distB="0" distL="0" distR="0">
                  <wp:extent cx="635" cy="191135"/>
                  <wp:effectExtent l="0" t="0" r="0" b="0"/>
                  <wp:docPr id="740" name="IM 740"/>
                  <wp:cNvGraphicFramePr/>
                  <a:graphic xmlns:a="http://schemas.openxmlformats.org/drawingml/2006/main">
                    <a:graphicData uri="http://schemas.openxmlformats.org/drawingml/2006/picture">
                      <pic:pic xmlns:pic="http://schemas.openxmlformats.org/drawingml/2006/picture">
                        <pic:nvPicPr>
                          <pic:cNvPr id="740" name="IM 740"/>
                          <pic:cNvPicPr/>
                        </pic:nvPicPr>
                        <pic:blipFill>
                          <a:blip r:embed="rId84"/>
                          <a:stretch>
                            <a:fillRect/>
                          </a:stretch>
                        </pic:blipFill>
                        <pic:spPr>
                          <a:xfrm>
                            <a:off x="0" y="0"/>
                            <a:ext cx="1015" cy="191580"/>
                          </a:xfrm>
                          <a:prstGeom prst="rect">
                            <a:avLst/>
                          </a:prstGeom>
                        </pic:spPr>
                      </pic:pic>
                    </a:graphicData>
                  </a:graphic>
                </wp:inline>
              </w:drawing>
            </w:r>
            <w:r>
              <w:rPr>
                <w:spacing w:val="-3"/>
              </w:rPr>
              <w:t>证券公司、</w:t>
            </w:r>
            <w:r>
              <w:rPr>
                <w:position w:val="-7"/>
              </w:rPr>
              <w:drawing>
                <wp:inline distT="0" distB="0" distL="0" distR="0">
                  <wp:extent cx="635" cy="191135"/>
                  <wp:effectExtent l="0" t="0" r="0" b="0"/>
                  <wp:docPr id="742" name="IM 742"/>
                  <wp:cNvGraphicFramePr/>
                  <a:graphic xmlns:a="http://schemas.openxmlformats.org/drawingml/2006/main">
                    <a:graphicData uri="http://schemas.openxmlformats.org/drawingml/2006/picture">
                      <pic:pic xmlns:pic="http://schemas.openxmlformats.org/drawingml/2006/picture">
                        <pic:nvPicPr>
                          <pic:cNvPr id="742" name="IM 742"/>
                          <pic:cNvPicPr/>
                        </pic:nvPicPr>
                        <pic:blipFill>
                          <a:blip r:embed="rId84"/>
                          <a:stretch>
                            <a:fillRect/>
                          </a:stretch>
                        </pic:blipFill>
                        <pic:spPr>
                          <a:xfrm>
                            <a:off x="0" y="0"/>
                            <a:ext cx="1015" cy="191580"/>
                          </a:xfrm>
                          <a:prstGeom prst="rect">
                            <a:avLst/>
                          </a:prstGeom>
                        </pic:spPr>
                      </pic:pic>
                    </a:graphicData>
                  </a:graphic>
                </wp:inline>
              </w:drawing>
            </w:r>
            <w:r>
              <w:rPr>
                <w:spacing w:val="-3"/>
                <w:u w:val="single" w:color="auto"/>
                <w:shd w:val="clear" w:fill="D9D9D9"/>
              </w:rPr>
              <w:t>证券投资基</w:t>
            </w:r>
            <w:r>
              <w:t xml:space="preserve"> </w:t>
            </w:r>
            <w:r>
              <w:rPr>
                <w:spacing w:val="4"/>
                <w:shd w:val="clear" w:fill="D9D9D9"/>
              </w:rPr>
              <w:t>金管理公司、</w:t>
            </w:r>
            <w:r>
              <w:rPr>
                <w:position w:val="-6"/>
              </w:rPr>
              <w:drawing>
                <wp:inline distT="0" distB="0" distL="0" distR="0">
                  <wp:extent cx="1270" cy="189865"/>
                  <wp:effectExtent l="0" t="0" r="0" b="0"/>
                  <wp:docPr id="744" name="IM 744"/>
                  <wp:cNvGraphicFramePr/>
                  <a:graphic xmlns:a="http://schemas.openxmlformats.org/drawingml/2006/main">
                    <a:graphicData uri="http://schemas.openxmlformats.org/drawingml/2006/picture">
                      <pic:pic xmlns:pic="http://schemas.openxmlformats.org/drawingml/2006/picture">
                        <pic:nvPicPr>
                          <pic:cNvPr id="744" name="IM 744"/>
                          <pic:cNvPicPr/>
                        </pic:nvPicPr>
                        <pic:blipFill>
                          <a:blip r:embed="rId84"/>
                          <a:stretch>
                            <a:fillRect/>
                          </a:stretch>
                        </pic:blipFill>
                        <pic:spPr>
                          <a:xfrm>
                            <a:off x="0" y="0"/>
                            <a:ext cx="1523" cy="190083"/>
                          </a:xfrm>
                          <a:prstGeom prst="rect">
                            <a:avLst/>
                          </a:prstGeom>
                        </pic:spPr>
                      </pic:pic>
                    </a:graphicData>
                  </a:graphic>
                </wp:inline>
              </w:drawing>
            </w:r>
            <w:r>
              <w:rPr>
                <w:spacing w:val="4"/>
              </w:rPr>
              <w:t>证券服务机构、证券交易所、证券登记结算机</w:t>
            </w:r>
            <w:r>
              <w:rPr>
                <w:spacing w:val="3"/>
              </w:rPr>
              <w:t>构的证</w:t>
            </w:r>
          </w:p>
        </w:tc>
        <w:tc>
          <w:tcPr>
            <w:tcW w:w="680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7099" w:type="dxa"/>
            <w:gridSpan w:val="9"/>
            <w:tcBorders>
              <w:top w:val="nil"/>
            </w:tcBorders>
            <w:vAlign w:val="top"/>
          </w:tcPr>
          <w:p>
            <w:pPr>
              <w:pStyle w:val="8"/>
              <w:spacing w:before="50" w:line="208" w:lineRule="auto"/>
              <w:ind w:left="16"/>
            </w:pPr>
            <w:r>
              <w:rPr>
                <w:spacing w:val="-6"/>
              </w:rPr>
              <w:t>券业务活动，进行监督管理；</w:t>
            </w:r>
          </w:p>
          <w:p>
            <w:pPr>
              <w:pStyle w:val="8"/>
              <w:spacing w:before="4" w:line="242" w:lineRule="auto"/>
              <w:ind w:left="20" w:firstLine="482"/>
            </w:pPr>
            <w:r>
              <w:pict>
                <v:shape id="_x0000_s1098" o:spid="_x0000_s1098" style="position:absolute;left:0pt;margin-left:220.45pt;margin-top:0.2pt;height:0.15pt;width:61pt;z-index:251727872;mso-width-relative:page;mso-height-relative:page;" fillcolor="#000000" filled="t" stroked="f" coordsize="1220,3" path="m0,0l1219,0,1219,2,0,2,0,0xe">
                  <v:path/>
                  <v:fill on="t" focussize="0,0"/>
                  <v:stroke on="f"/>
                  <v:imagedata o:title=""/>
                  <o:lock v:ext="edit"/>
                </v:shape>
              </w:pict>
            </w:r>
            <w:r>
              <w:rPr>
                <w:spacing w:val="-2"/>
              </w:rPr>
              <w:t>（四）依法制定从事证券业务人员的</w:t>
            </w:r>
            <w:r>
              <w:rPr>
                <w:spacing w:val="-97"/>
              </w:rPr>
              <w:t xml:space="preserve"> </w:t>
            </w:r>
            <w:r>
              <w:rPr>
                <w:position w:val="23"/>
              </w:rPr>
              <w:drawing>
                <wp:inline distT="0" distB="0" distL="0" distR="0">
                  <wp:extent cx="635" cy="1270"/>
                  <wp:effectExtent l="0" t="0" r="0" b="0"/>
                  <wp:docPr id="746" name="IM 746"/>
                  <wp:cNvGraphicFramePr/>
                  <a:graphic xmlns:a="http://schemas.openxmlformats.org/drawingml/2006/main">
                    <a:graphicData uri="http://schemas.openxmlformats.org/drawingml/2006/picture">
                      <pic:pic xmlns:pic="http://schemas.openxmlformats.org/drawingml/2006/picture">
                        <pic:nvPicPr>
                          <pic:cNvPr id="746" name="IM 746"/>
                          <pic:cNvPicPr/>
                        </pic:nvPicPr>
                        <pic:blipFill>
                          <a:blip r:embed="rId74"/>
                          <a:stretch>
                            <a:fillRect/>
                          </a:stretch>
                        </pic:blipFill>
                        <pic:spPr>
                          <a:xfrm>
                            <a:off x="0" y="0"/>
                            <a:ext cx="761" cy="1524"/>
                          </a:xfrm>
                          <a:prstGeom prst="rect">
                            <a:avLst/>
                          </a:prstGeom>
                        </pic:spPr>
                      </pic:pic>
                    </a:graphicData>
                  </a:graphic>
                </wp:inline>
              </w:drawing>
            </w:r>
            <w:r>
              <w:rPr>
                <w:position w:val="-7"/>
              </w:rPr>
              <w:drawing>
                <wp:inline distT="0" distB="0" distL="0" distR="0">
                  <wp:extent cx="635" cy="194945"/>
                  <wp:effectExtent l="0" t="0" r="0" b="0"/>
                  <wp:docPr id="748" name="IM 748"/>
                  <wp:cNvGraphicFramePr/>
                  <a:graphic xmlns:a="http://schemas.openxmlformats.org/drawingml/2006/main">
                    <a:graphicData uri="http://schemas.openxmlformats.org/drawingml/2006/picture">
                      <pic:pic xmlns:pic="http://schemas.openxmlformats.org/drawingml/2006/picture">
                        <pic:nvPicPr>
                          <pic:cNvPr id="748" name="IM 748"/>
                          <pic:cNvPicPr/>
                        </pic:nvPicPr>
                        <pic:blipFill>
                          <a:blip r:embed="rId84"/>
                          <a:stretch>
                            <a:fillRect/>
                          </a:stretch>
                        </pic:blipFill>
                        <pic:spPr>
                          <a:xfrm>
                            <a:off x="0" y="0"/>
                            <a:ext cx="761" cy="195072"/>
                          </a:xfrm>
                          <a:prstGeom prst="rect">
                            <a:avLst/>
                          </a:prstGeom>
                        </pic:spPr>
                      </pic:pic>
                    </a:graphicData>
                  </a:graphic>
                </wp:inline>
              </w:drawing>
            </w:r>
            <w:r>
              <w:rPr>
                <w:spacing w:val="-2"/>
                <w:u w:val="single" w:color="auto"/>
                <w:shd w:val="clear" w:fill="D9D9D9"/>
              </w:rPr>
              <w:t>资格标准和</w:t>
            </w:r>
            <w:r>
              <w:rPr>
                <w:spacing w:val="-113"/>
                <w:u w:val="single" w:color="auto"/>
                <w:shd w:val="clear" w:fill="D9D9D9"/>
              </w:rPr>
              <w:t xml:space="preserve"> </w:t>
            </w:r>
            <w:r>
              <w:rPr>
                <w:position w:val="23"/>
              </w:rPr>
              <w:drawing>
                <wp:inline distT="0" distB="0" distL="0" distR="0">
                  <wp:extent cx="635" cy="1270"/>
                  <wp:effectExtent l="0" t="0" r="0" b="0"/>
                  <wp:docPr id="750" name="IM 750"/>
                  <wp:cNvGraphicFramePr/>
                  <a:graphic xmlns:a="http://schemas.openxmlformats.org/drawingml/2006/main">
                    <a:graphicData uri="http://schemas.openxmlformats.org/drawingml/2006/picture">
                      <pic:pic xmlns:pic="http://schemas.openxmlformats.org/drawingml/2006/picture">
                        <pic:nvPicPr>
                          <pic:cNvPr id="750" name="IM 750"/>
                          <pic:cNvPicPr/>
                        </pic:nvPicPr>
                        <pic:blipFill>
                          <a:blip r:embed="rId74"/>
                          <a:stretch>
                            <a:fillRect/>
                          </a:stretch>
                        </pic:blipFill>
                        <pic:spPr>
                          <a:xfrm>
                            <a:off x="0" y="0"/>
                            <a:ext cx="761" cy="1524"/>
                          </a:xfrm>
                          <a:prstGeom prst="rect">
                            <a:avLst/>
                          </a:prstGeom>
                        </pic:spPr>
                      </pic:pic>
                    </a:graphicData>
                  </a:graphic>
                </wp:inline>
              </w:drawing>
            </w:r>
            <w:r>
              <w:rPr>
                <w:position w:val="-7"/>
              </w:rPr>
              <w:drawing>
                <wp:inline distT="0" distB="0" distL="0" distR="0">
                  <wp:extent cx="635" cy="194945"/>
                  <wp:effectExtent l="0" t="0" r="0" b="0"/>
                  <wp:docPr id="752" name="IM 752"/>
                  <wp:cNvGraphicFramePr/>
                  <a:graphic xmlns:a="http://schemas.openxmlformats.org/drawingml/2006/main">
                    <a:graphicData uri="http://schemas.openxmlformats.org/drawingml/2006/picture">
                      <pic:pic xmlns:pic="http://schemas.openxmlformats.org/drawingml/2006/picture">
                        <pic:nvPicPr>
                          <pic:cNvPr id="752" name="IM 752"/>
                          <pic:cNvPicPr/>
                        </pic:nvPicPr>
                        <pic:blipFill>
                          <a:blip r:embed="rId84"/>
                          <a:stretch>
                            <a:fillRect/>
                          </a:stretch>
                        </pic:blipFill>
                        <pic:spPr>
                          <a:xfrm>
                            <a:off x="0" y="0"/>
                            <a:ext cx="761" cy="195072"/>
                          </a:xfrm>
                          <a:prstGeom prst="rect">
                            <a:avLst/>
                          </a:prstGeom>
                        </pic:spPr>
                      </pic:pic>
                    </a:graphicData>
                  </a:graphic>
                </wp:inline>
              </w:drawing>
            </w:r>
            <w:r>
              <w:rPr>
                <w:spacing w:val="-2"/>
              </w:rPr>
              <w:t>行为准则， 并</w:t>
            </w:r>
            <w:r>
              <w:t xml:space="preserve"> </w:t>
            </w:r>
            <w:r>
              <w:rPr>
                <w:spacing w:val="-13"/>
              </w:rPr>
              <w:t>监督实施；</w:t>
            </w:r>
          </w:p>
          <w:p>
            <w:pPr>
              <w:pStyle w:val="8"/>
              <w:spacing w:before="28" w:line="209" w:lineRule="auto"/>
              <w:ind w:left="503"/>
            </w:pPr>
            <w:r>
              <w:rPr>
                <w:spacing w:val="-2"/>
              </w:rPr>
              <w:t>（五）依法监督检查证券发行、上市和交易</w:t>
            </w:r>
            <w:r>
              <w:rPr>
                <w:spacing w:val="-3"/>
              </w:rPr>
              <w:t>的信息公开情况；</w:t>
            </w:r>
          </w:p>
        </w:tc>
        <w:tc>
          <w:tcPr>
            <w:tcW w:w="6808" w:type="dxa"/>
            <w:vMerge w:val="continue"/>
            <w:tcBorders>
              <w:top w:val="nil"/>
            </w:tcBorders>
            <w:vAlign w:val="top"/>
          </w:tcPr>
          <w:p>
            <w:pPr>
              <w:rPr>
                <w:rFonts w:ascii="Arial"/>
                <w:sz w:val="21"/>
              </w:rPr>
            </w:pPr>
          </w:p>
        </w:tc>
      </w:tr>
    </w:tbl>
    <w:p>
      <w:pPr>
        <w:spacing w:line="228" w:lineRule="exact"/>
        <w:rPr>
          <w:rFonts w:ascii="Arial"/>
          <w:sz w:val="19"/>
        </w:rPr>
      </w:pPr>
    </w:p>
    <w:p>
      <w:pPr>
        <w:spacing w:line="228" w:lineRule="exact"/>
        <w:rPr>
          <w:rFonts w:ascii="Arial" w:hAnsi="Arial" w:eastAsia="Arial" w:cs="Arial"/>
          <w:sz w:val="19"/>
          <w:szCs w:val="19"/>
        </w:rPr>
        <w:sectPr>
          <w:footerReference r:id="rId49"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482"/>
        <w:gridCol w:w="3177"/>
        <w:gridCol w:w="1602"/>
        <w:gridCol w:w="598"/>
        <w:gridCol w:w="716"/>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095" w:type="dxa"/>
            <w:gridSpan w:val="6"/>
            <w:tcBorders>
              <w:bottom w:val="nil"/>
            </w:tcBorders>
            <w:vAlign w:val="top"/>
          </w:tcPr>
          <w:p>
            <w:pPr>
              <w:pStyle w:val="8"/>
              <w:spacing w:before="39" w:line="190" w:lineRule="auto"/>
              <w:ind w:left="503"/>
            </w:pPr>
            <w:r>
              <w:rPr>
                <w:spacing w:val="-3"/>
              </w:rPr>
              <w:t>（六）依法对证券业协会的活动进行指导和监督；</w:t>
            </w:r>
          </w:p>
        </w:tc>
        <w:tc>
          <w:tcPr>
            <w:tcW w:w="6812" w:type="dxa"/>
            <w:vMerge w:val="restart"/>
            <w:tcBorders>
              <w:bottom w:val="nil"/>
            </w:tcBorders>
            <w:vAlign w:val="top"/>
          </w:tcPr>
          <w:p>
            <w:pPr>
              <w:spacing w:before="40"/>
              <w:ind w:left="531"/>
              <w:rPr>
                <w:rFonts w:ascii="黑体" w:hAnsi="黑体" w:eastAsia="黑体" w:cs="黑体"/>
                <w:sz w:val="24"/>
                <w:szCs w:val="24"/>
              </w:rPr>
            </w:pPr>
            <w:r>
              <w:rPr>
                <w:rFonts w:ascii="黑体" w:hAnsi="黑体" w:eastAsia="黑体" w:cs="黑体"/>
                <w:spacing w:val="-4"/>
                <w:sz w:val="24"/>
                <w:szCs w:val="24"/>
              </w:rPr>
              <w:t>（七）依法监测并防范、处置证券市场风险；</w:t>
            </w:r>
          </w:p>
          <w:p>
            <w:pPr>
              <w:spacing w:before="1" w:line="212" w:lineRule="auto"/>
              <w:ind w:left="531"/>
              <w:rPr>
                <w:rFonts w:ascii="黑体" w:hAnsi="黑体" w:eastAsia="黑体" w:cs="黑体"/>
                <w:sz w:val="24"/>
                <w:szCs w:val="24"/>
              </w:rPr>
            </w:pPr>
            <w:r>
              <w:rPr>
                <w:rFonts w:ascii="黑体" w:hAnsi="黑体" w:eastAsia="黑体" w:cs="黑体"/>
                <w:spacing w:val="-6"/>
                <w:sz w:val="24"/>
                <w:szCs w:val="24"/>
              </w:rPr>
              <w:t>（八）依法开展投资者教育；</w:t>
            </w:r>
          </w:p>
          <w:p>
            <w:pPr>
              <w:pStyle w:val="8"/>
              <w:spacing w:before="33" w:line="219" w:lineRule="auto"/>
              <w:ind w:left="506"/>
            </w:pPr>
            <w:r>
              <w:rPr>
                <w:spacing w:val="-4"/>
              </w:rPr>
              <w:t>（九）依法对</w:t>
            </w:r>
            <w:r>
              <w:rPr>
                <w:rFonts w:ascii="黑体" w:hAnsi="黑体" w:eastAsia="黑体" w:cs="黑体"/>
                <w:spacing w:val="-4"/>
              </w:rPr>
              <w:t>证券违法</w:t>
            </w:r>
            <w:r>
              <w:rPr>
                <w:spacing w:val="-4"/>
              </w:rPr>
              <w:t>行为进行查处；</w:t>
            </w:r>
          </w:p>
          <w:p>
            <w:pPr>
              <w:pStyle w:val="8"/>
              <w:spacing w:before="27" w:line="216" w:lineRule="auto"/>
              <w:ind w:left="506"/>
            </w:pPr>
            <w:r>
              <w:rPr>
                <w:spacing w:val="-3"/>
              </w:rPr>
              <w:t>（十）法律、行政法规规定的其他职责。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6379" w:type="dxa"/>
            <w:gridSpan w:val="5"/>
            <w:tcBorders>
              <w:top w:val="nil"/>
              <w:bottom w:val="nil"/>
              <w:right w:val="nil"/>
            </w:tcBorders>
            <w:vAlign w:val="top"/>
          </w:tcPr>
          <w:p>
            <w:pPr>
              <w:pStyle w:val="8"/>
              <w:spacing w:before="17" w:line="314" w:lineRule="exact"/>
              <w:ind w:firstLine="503"/>
            </w:pPr>
            <w:r>
              <w:rPr>
                <w:position w:val="-6"/>
              </w:rPr>
              <w:pict>
                <v:group id="_x0000_s1099" o:spid="_x0000_s1099" o:spt="203" style="height:15.75pt;width:292.95pt;" coordsize="5859,315">
                  <o:lock v:ext="edit"/>
                  <v:rect id="_x0000_s1100" o:spid="_x0000_s1100" o:spt="1" style="position:absolute;left:1466;top:0;height:312;width:4391;" fillcolor="#D9D9D9" filled="t" stroked="f" coordsize="21600,21600">
                    <v:path/>
                    <v:fill on="t" focussize="0,0"/>
                    <v:stroke on="f"/>
                    <v:imagedata o:title=""/>
                    <o:lock v:ext="edit"/>
                  </v:rect>
                  <v:shape id="_x0000_s1101" o:spid="_x0000_s1101" o:spt="202" type="#_x0000_t202" style="position:absolute;left:-20;top:-15;height:350;width:5899;" filled="f" stroked="f" coordsize="21600,21600">
                    <v:path/>
                    <v:fill on="f" focussize="0,0"/>
                    <v:stroke on="f"/>
                    <v:imagedata o:title=""/>
                    <o:lock v:ext="edit" aspectratio="f"/>
                    <v:textbox inset="0mm,0mm,0mm,0mm">
                      <w:txbxContent>
                        <w:p>
                          <w:pPr>
                            <w:spacing w:before="19" w:line="238" w:lineRule="auto"/>
                            <w:ind w:left="20"/>
                            <w:rPr>
                              <w:sz w:val="24"/>
                              <w:szCs w:val="24"/>
                            </w:rPr>
                          </w:pPr>
                          <w:r>
                            <w:rPr>
                              <w:rFonts w:ascii="仿宋" w:hAnsi="仿宋" w:eastAsia="仿宋" w:cs="仿宋"/>
                              <w:spacing w:val="3"/>
                              <w:sz w:val="24"/>
                              <w:szCs w:val="24"/>
                            </w:rPr>
                            <w:t>（七）依法对</w:t>
                          </w:r>
                          <w:r>
                            <w:rPr>
                              <w:rFonts w:ascii="仿宋" w:hAnsi="仿宋" w:eastAsia="仿宋" w:cs="仿宋"/>
                              <w:spacing w:val="-107"/>
                              <w:sz w:val="24"/>
                              <w:szCs w:val="24"/>
                            </w:rPr>
                            <w:t xml:space="preserve"> </w:t>
                          </w:r>
                          <w:r>
                            <w:rPr>
                              <w:position w:val="23"/>
                              <w:sz w:val="24"/>
                              <w:szCs w:val="24"/>
                            </w:rPr>
                            <w:drawing>
                              <wp:inline distT="0" distB="0" distL="0" distR="0">
                                <wp:extent cx="2540" cy="1270"/>
                                <wp:effectExtent l="0" t="0" r="0" b="0"/>
                                <wp:docPr id="754" name="IM 754"/>
                                <wp:cNvGraphicFramePr/>
                                <a:graphic xmlns:a="http://schemas.openxmlformats.org/drawingml/2006/main">
                                  <a:graphicData uri="http://schemas.openxmlformats.org/drawingml/2006/picture">
                                    <pic:pic xmlns:pic="http://schemas.openxmlformats.org/drawingml/2006/picture">
                                      <pic:nvPicPr>
                                        <pic:cNvPr id="754" name="IM 754"/>
                                        <pic:cNvPicPr/>
                                      </pic:nvPicPr>
                                      <pic:blipFill>
                                        <a:blip r:embed="rId72"/>
                                        <a:stretch>
                                          <a:fillRect/>
                                        </a:stretch>
                                      </pic:blipFill>
                                      <pic:spPr>
                                        <a:xfrm>
                                          <a:off x="0" y="0"/>
                                          <a:ext cx="2717" cy="1523"/>
                                        </a:xfrm>
                                        <a:prstGeom prst="rect">
                                          <a:avLst/>
                                        </a:prstGeom>
                                      </pic:spPr>
                                    </pic:pic>
                                  </a:graphicData>
                                </a:graphic>
                              </wp:inline>
                            </w:drawing>
                          </w:r>
                          <w:r>
                            <w:rPr>
                              <w:position w:val="-7"/>
                              <w:sz w:val="24"/>
                              <w:szCs w:val="24"/>
                            </w:rPr>
                            <w:drawing>
                              <wp:inline distT="0" distB="0" distL="0" distR="0">
                                <wp:extent cx="2540" cy="194945"/>
                                <wp:effectExtent l="0" t="0" r="0" b="0"/>
                                <wp:docPr id="756" name="IM 756"/>
                                <wp:cNvGraphicFramePr/>
                                <a:graphic xmlns:a="http://schemas.openxmlformats.org/drawingml/2006/main">
                                  <a:graphicData uri="http://schemas.openxmlformats.org/drawingml/2006/picture">
                                    <pic:pic xmlns:pic="http://schemas.openxmlformats.org/drawingml/2006/picture">
                                      <pic:nvPicPr>
                                        <pic:cNvPr id="756" name="IM 756"/>
                                        <pic:cNvPicPr/>
                                      </pic:nvPicPr>
                                      <pic:blipFill>
                                        <a:blip r:embed="rId88"/>
                                        <a:stretch>
                                          <a:fillRect/>
                                        </a:stretch>
                                      </pic:blipFill>
                                      <pic:spPr>
                                        <a:xfrm>
                                          <a:off x="0" y="0"/>
                                          <a:ext cx="2717" cy="195071"/>
                                        </a:xfrm>
                                        <a:prstGeom prst="rect">
                                          <a:avLst/>
                                        </a:prstGeom>
                                      </pic:spPr>
                                    </pic:pic>
                                  </a:graphicData>
                                </a:graphic>
                              </wp:inline>
                            </w:drawing>
                          </w:r>
                          <w:r>
                            <w:rPr>
                              <w:rFonts w:ascii="仿宋" w:hAnsi="仿宋" w:eastAsia="仿宋" w:cs="仿宋"/>
                              <w:spacing w:val="3"/>
                              <w:sz w:val="24"/>
                              <w:szCs w:val="24"/>
                              <w:u w:val="single" w:color="auto"/>
                            </w:rPr>
                            <w:t>违反证券市场监督管理法律、行政法规的</w:t>
                          </w:r>
                          <w:r>
                            <w:rPr>
                              <w:position w:val="-7"/>
                              <w:sz w:val="24"/>
                              <w:szCs w:val="24"/>
                            </w:rPr>
                            <w:drawing>
                              <wp:inline distT="0" distB="0" distL="0" distR="0">
                                <wp:extent cx="2540" cy="196215"/>
                                <wp:effectExtent l="0" t="0" r="0" b="0"/>
                                <wp:docPr id="758" name="IM 758"/>
                                <wp:cNvGraphicFramePr/>
                                <a:graphic xmlns:a="http://schemas.openxmlformats.org/drawingml/2006/main">
                                  <a:graphicData uri="http://schemas.openxmlformats.org/drawingml/2006/picture">
                                    <pic:pic xmlns:pic="http://schemas.openxmlformats.org/drawingml/2006/picture">
                                      <pic:nvPicPr>
                                        <pic:cNvPr id="758" name="IM 758"/>
                                        <pic:cNvPicPr/>
                                      </pic:nvPicPr>
                                      <pic:blipFill>
                                        <a:blip r:embed="rId76"/>
                                        <a:stretch>
                                          <a:fillRect/>
                                        </a:stretch>
                                      </pic:blipFill>
                                      <pic:spPr>
                                        <a:xfrm>
                                          <a:off x="0" y="0"/>
                                          <a:ext cx="2717" cy="196594"/>
                                        </a:xfrm>
                                        <a:prstGeom prst="rect">
                                          <a:avLst/>
                                        </a:prstGeom>
                                      </pic:spPr>
                                    </pic:pic>
                                  </a:graphicData>
                                </a:graphic>
                              </wp:inline>
                            </w:drawing>
                          </w:r>
                        </w:p>
                      </w:txbxContent>
                    </v:textbox>
                  </v:shape>
                  <v:shape id="_x0000_s1102" o:spid="_x0000_s1102" style="position:absolute;left:1466;top:4;height:3;width:4391;" fillcolor="#000000" filled="t" stroked="f" coordsize="4391,3" path="m0,0l4390,0,4390,2,0,2,0,0xe">
                    <v:path/>
                    <v:fill on="t" focussize="0,0"/>
                    <v:stroke on="f"/>
                    <v:imagedata o:title=""/>
                    <o:lock v:ext="edit"/>
                  </v:shape>
                  <w10:wrap type="none"/>
                  <w10:anchorlock/>
                </v:group>
              </w:pict>
            </w:r>
          </w:p>
        </w:tc>
        <w:tc>
          <w:tcPr>
            <w:tcW w:w="716" w:type="dxa"/>
            <w:tcBorders>
              <w:top w:val="nil"/>
              <w:left w:val="nil"/>
              <w:bottom w:val="nil"/>
            </w:tcBorders>
            <w:vAlign w:val="top"/>
          </w:tcPr>
          <w:p>
            <w:pPr>
              <w:pStyle w:val="8"/>
              <w:spacing w:before="54" w:line="216" w:lineRule="auto"/>
              <w:jc w:val="right"/>
            </w:pPr>
            <w:r>
              <w:rPr>
                <w:spacing w:val="-5"/>
              </w:rPr>
              <w:t>行为进</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095" w:type="dxa"/>
            <w:gridSpan w:val="6"/>
            <w:tcBorders>
              <w:top w:val="nil"/>
              <w:bottom w:val="single" w:color="000000" w:sz="2" w:space="0"/>
            </w:tcBorders>
            <w:vAlign w:val="top"/>
          </w:tcPr>
          <w:p>
            <w:pPr>
              <w:pStyle w:val="8"/>
              <w:spacing w:before="16" w:line="216" w:lineRule="auto"/>
              <w:ind w:left="13"/>
            </w:pPr>
            <w:r>
              <w:rPr>
                <w:spacing w:val="-14"/>
              </w:rPr>
              <w:t>行查处；</w:t>
            </w:r>
          </w:p>
          <w:p>
            <w:pPr>
              <w:pStyle w:val="8"/>
              <w:spacing w:before="31" w:line="207" w:lineRule="auto"/>
              <w:ind w:left="503"/>
            </w:pPr>
            <w:r>
              <w:rPr>
                <w:spacing w:val="-3"/>
              </w:rPr>
              <w:t>（八）法律、行政法规规定的其他职责。</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20" w:type="dxa"/>
            <w:tcBorders>
              <w:top w:val="nil"/>
              <w:bottom w:val="single" w:color="000000" w:sz="2" w:space="0"/>
              <w:right w:val="single" w:color="000000" w:sz="2" w:space="0"/>
            </w:tcBorders>
            <w:vAlign w:val="top"/>
          </w:tcPr>
          <w:p>
            <w:pPr>
              <w:rPr>
                <w:rFonts w:ascii="Arial"/>
                <w:sz w:val="21"/>
              </w:rPr>
            </w:pPr>
          </w:p>
        </w:tc>
        <w:tc>
          <w:tcPr>
            <w:tcW w:w="6575" w:type="dxa"/>
            <w:gridSpan w:val="5"/>
            <w:tcBorders>
              <w:top w:val="single" w:color="000000" w:sz="2" w:space="0"/>
              <w:left w:val="single" w:color="000000" w:sz="2" w:space="0"/>
              <w:bottom w:val="single" w:color="000000" w:sz="2" w:space="0"/>
            </w:tcBorders>
            <w:shd w:val="clear" w:color="auto" w:fill="D9D9D9"/>
            <w:vAlign w:val="top"/>
          </w:tcPr>
          <w:p>
            <w:pPr>
              <w:pStyle w:val="8"/>
              <w:spacing w:before="25" w:line="206" w:lineRule="auto"/>
              <w:jc w:val="right"/>
            </w:pPr>
            <w:r>
              <w:rPr>
                <w:spacing w:val="2"/>
              </w:rPr>
              <w:t>国务院证券监督管理机构可以和其他国家或者地区的证券监督</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781" w:type="dxa"/>
            <w:gridSpan w:val="4"/>
            <w:tcBorders>
              <w:top w:val="single" w:color="000000" w:sz="2" w:space="0"/>
              <w:right w:val="single" w:color="000000" w:sz="2" w:space="0"/>
            </w:tcBorders>
            <w:shd w:val="clear" w:color="auto" w:fill="D9D9D9"/>
            <w:vAlign w:val="top"/>
          </w:tcPr>
          <w:p>
            <w:pPr>
              <w:pStyle w:val="8"/>
              <w:spacing w:before="24" w:line="208" w:lineRule="auto"/>
              <w:ind w:left="16"/>
            </w:pPr>
            <w:r>
              <w:rPr>
                <w:spacing w:val="-3"/>
              </w:rPr>
              <w:t>管理机构建立监督管理合作机制，实施跨境监督管理。</w:t>
            </w:r>
          </w:p>
        </w:tc>
        <w:tc>
          <w:tcPr>
            <w:tcW w:w="1314" w:type="dxa"/>
            <w:gridSpan w:val="2"/>
            <w:tcBorders>
              <w:top w:val="single" w:color="000000" w:sz="2" w:space="0"/>
              <w:left w:val="single" w:color="000000" w:sz="2" w:space="0"/>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095" w:type="dxa"/>
            <w:gridSpan w:val="6"/>
            <w:tcBorders>
              <w:bottom w:val="single" w:color="000000" w:sz="2" w:space="0"/>
            </w:tcBorders>
            <w:vAlign w:val="top"/>
          </w:tcPr>
          <w:p>
            <w:pPr>
              <w:pStyle w:val="8"/>
              <w:spacing w:before="39" w:line="219" w:lineRule="auto"/>
              <w:jc w:val="right"/>
            </w:pPr>
            <w:r>
              <w:rPr>
                <w:rFonts w:ascii="黑体" w:hAnsi="黑体" w:eastAsia="黑体" w:cs="黑体"/>
                <w:spacing w:val="3"/>
              </w:rPr>
              <w:t xml:space="preserve">第一百八十条  </w:t>
            </w:r>
            <w:r>
              <w:rPr>
                <w:spacing w:val="3"/>
              </w:rPr>
              <w:t>国务院证券监督管理机构依法履行职责，有权</w:t>
            </w:r>
          </w:p>
          <w:p>
            <w:pPr>
              <w:pStyle w:val="8"/>
              <w:spacing w:before="28" w:line="215" w:lineRule="auto"/>
              <w:ind w:left="13"/>
            </w:pPr>
            <w:r>
              <w:rPr>
                <w:spacing w:val="-28"/>
              </w:rPr>
              <w:t>采取下列措施：</w:t>
            </w:r>
            <w:r>
              <w:t xml:space="preserve">            </w:t>
            </w:r>
            <w:r>
              <w:rPr>
                <w:position w:val="-7"/>
              </w:rPr>
              <w:drawing>
                <wp:inline distT="0" distB="0" distL="0" distR="0">
                  <wp:extent cx="1270" cy="1270"/>
                  <wp:effectExtent l="0" t="0" r="0" b="0"/>
                  <wp:docPr id="760" name="IM 760"/>
                  <wp:cNvGraphicFramePr/>
                  <a:graphic xmlns:a="http://schemas.openxmlformats.org/drawingml/2006/main">
                    <a:graphicData uri="http://schemas.openxmlformats.org/drawingml/2006/picture">
                      <pic:pic xmlns:pic="http://schemas.openxmlformats.org/drawingml/2006/picture">
                        <pic:nvPicPr>
                          <pic:cNvPr id="760" name="IM 760"/>
                          <pic:cNvPicPr/>
                        </pic:nvPicPr>
                        <pic:blipFill>
                          <a:blip r:embed="rId74"/>
                          <a:stretch>
                            <a:fillRect/>
                          </a:stretch>
                        </pic:blipFill>
                        <pic:spPr>
                          <a:xfrm>
                            <a:off x="0" y="0"/>
                            <a:ext cx="1523" cy="1523"/>
                          </a:xfrm>
                          <a:prstGeom prst="rect">
                            <a:avLst/>
                          </a:prstGeom>
                        </pic:spPr>
                      </pic:pic>
                    </a:graphicData>
                  </a:graphic>
                </wp:inline>
              </w:drawing>
            </w:r>
            <w:r>
              <w:rPr>
                <w:spacing w:val="2"/>
                <w:u w:val="single" w:color="auto"/>
              </w:rPr>
              <w:t xml:space="preserve">          </w:t>
            </w:r>
            <w:r>
              <w:rPr>
                <w:position w:val="-7"/>
              </w:rPr>
              <w:drawing>
                <wp:inline distT="0" distB="0" distL="0" distR="0">
                  <wp:extent cx="1270" cy="1270"/>
                  <wp:effectExtent l="0" t="0" r="0" b="0"/>
                  <wp:docPr id="762" name="IM 762"/>
                  <wp:cNvGraphicFramePr/>
                  <a:graphic xmlns:a="http://schemas.openxmlformats.org/drawingml/2006/main">
                    <a:graphicData uri="http://schemas.openxmlformats.org/drawingml/2006/picture">
                      <pic:pic xmlns:pic="http://schemas.openxmlformats.org/drawingml/2006/picture">
                        <pic:nvPicPr>
                          <pic:cNvPr id="762" name="IM 762"/>
                          <pic:cNvPicPr/>
                        </pic:nvPicPr>
                        <pic:blipFill>
                          <a:blip r:embed="rId74"/>
                          <a:stretch>
                            <a:fillRect/>
                          </a:stretch>
                        </pic:blipFill>
                        <pic:spPr>
                          <a:xfrm>
                            <a:off x="0" y="0"/>
                            <a:ext cx="1523" cy="1523"/>
                          </a:xfrm>
                          <a:prstGeom prst="rect">
                            <a:avLst/>
                          </a:prstGeom>
                        </pic:spPr>
                      </pic:pic>
                    </a:graphicData>
                  </a:graphic>
                </wp:inline>
              </w:drawing>
            </w:r>
            <w:r>
              <w:rPr>
                <w:spacing w:val="2"/>
              </w:rPr>
              <w:t xml:space="preserve">          </w:t>
            </w:r>
            <w:r>
              <w:rPr>
                <w:position w:val="-7"/>
              </w:rPr>
              <w:drawing>
                <wp:inline distT="0" distB="0" distL="0" distR="0">
                  <wp:extent cx="1270" cy="1270"/>
                  <wp:effectExtent l="0" t="0" r="0" b="0"/>
                  <wp:docPr id="764" name="IM 764"/>
                  <wp:cNvGraphicFramePr/>
                  <a:graphic xmlns:a="http://schemas.openxmlformats.org/drawingml/2006/main">
                    <a:graphicData uri="http://schemas.openxmlformats.org/drawingml/2006/picture">
                      <pic:pic xmlns:pic="http://schemas.openxmlformats.org/drawingml/2006/picture">
                        <pic:nvPicPr>
                          <pic:cNvPr id="764" name="IM 764"/>
                          <pic:cNvPicPr/>
                        </pic:nvPicPr>
                        <pic:blipFill>
                          <a:blip r:embed="rId74"/>
                          <a:stretch>
                            <a:fillRect/>
                          </a:stretch>
                        </pic:blipFill>
                        <pic:spPr>
                          <a:xfrm>
                            <a:off x="0" y="0"/>
                            <a:ext cx="1523" cy="1523"/>
                          </a:xfrm>
                          <a:prstGeom prst="rect">
                            <a:avLst/>
                          </a:prstGeom>
                        </pic:spPr>
                      </pic:pic>
                    </a:graphicData>
                  </a:graphic>
                </wp:inline>
              </w:drawing>
            </w:r>
            <w:r>
              <w:rPr>
                <w:u w:val="single" w:color="auto"/>
              </w:rPr>
              <w:t xml:space="preserve">               </w:t>
            </w:r>
          </w:p>
          <w:p>
            <w:pPr>
              <w:pStyle w:val="8"/>
              <w:spacing w:line="220" w:lineRule="auto"/>
              <w:jc w:val="right"/>
            </w:pPr>
            <w:r>
              <w:rPr>
                <w:spacing w:val="3"/>
              </w:rPr>
              <w:t>（一）对证券发行人、</w:t>
            </w:r>
            <w:r>
              <w:rPr>
                <w:position w:val="-6"/>
              </w:rPr>
              <w:drawing>
                <wp:inline distT="0" distB="0" distL="0" distR="0">
                  <wp:extent cx="1270" cy="181610"/>
                  <wp:effectExtent l="0" t="0" r="0" b="0"/>
                  <wp:docPr id="766" name="IM 766"/>
                  <wp:cNvGraphicFramePr/>
                  <a:graphic xmlns:a="http://schemas.openxmlformats.org/drawingml/2006/main">
                    <a:graphicData uri="http://schemas.openxmlformats.org/drawingml/2006/picture">
                      <pic:pic xmlns:pic="http://schemas.openxmlformats.org/drawingml/2006/picture">
                        <pic:nvPicPr>
                          <pic:cNvPr id="766" name="IM 766"/>
                          <pic:cNvPicPr/>
                        </pic:nvPicPr>
                        <pic:blipFill>
                          <a:blip r:embed="rId93"/>
                          <a:stretch>
                            <a:fillRect/>
                          </a:stretch>
                        </pic:blipFill>
                        <pic:spPr>
                          <a:xfrm>
                            <a:off x="0" y="0"/>
                            <a:ext cx="1523" cy="181990"/>
                          </a:xfrm>
                          <a:prstGeom prst="rect">
                            <a:avLst/>
                          </a:prstGeom>
                        </pic:spPr>
                      </pic:pic>
                    </a:graphicData>
                  </a:graphic>
                </wp:inline>
              </w:drawing>
            </w:r>
            <w:r>
              <w:rPr>
                <w:spacing w:val="3"/>
                <w:shd w:val="clear" w:fill="D9D9D9"/>
              </w:rPr>
              <w:t>上市公司、</w:t>
            </w:r>
            <w:r>
              <w:rPr>
                <w:position w:val="-6"/>
              </w:rPr>
              <w:drawing>
                <wp:inline distT="0" distB="0" distL="0" distR="0">
                  <wp:extent cx="1270" cy="181610"/>
                  <wp:effectExtent l="0" t="0" r="0" b="0"/>
                  <wp:docPr id="768" name="IM 768"/>
                  <wp:cNvGraphicFramePr/>
                  <a:graphic xmlns:a="http://schemas.openxmlformats.org/drawingml/2006/main">
                    <a:graphicData uri="http://schemas.openxmlformats.org/drawingml/2006/picture">
                      <pic:pic xmlns:pic="http://schemas.openxmlformats.org/drawingml/2006/picture">
                        <pic:nvPicPr>
                          <pic:cNvPr id="768" name="IM 768"/>
                          <pic:cNvPicPr/>
                        </pic:nvPicPr>
                        <pic:blipFill>
                          <a:blip r:embed="rId93"/>
                          <a:stretch>
                            <a:fillRect/>
                          </a:stretch>
                        </pic:blipFill>
                        <pic:spPr>
                          <a:xfrm>
                            <a:off x="0" y="0"/>
                            <a:ext cx="1523" cy="181990"/>
                          </a:xfrm>
                          <a:prstGeom prst="rect">
                            <a:avLst/>
                          </a:prstGeom>
                        </pic:spPr>
                      </pic:pic>
                    </a:graphicData>
                  </a:graphic>
                </wp:inline>
              </w:drawing>
            </w:r>
            <w:r>
              <w:rPr>
                <w:spacing w:val="3"/>
              </w:rPr>
              <w:t>证券公司、</w:t>
            </w:r>
            <w:r>
              <w:rPr>
                <w:position w:val="-6"/>
              </w:rPr>
              <w:drawing>
                <wp:inline distT="0" distB="0" distL="0" distR="0">
                  <wp:extent cx="1270" cy="181610"/>
                  <wp:effectExtent l="0" t="0" r="0" b="0"/>
                  <wp:docPr id="770" name="IM 770"/>
                  <wp:cNvGraphicFramePr/>
                  <a:graphic xmlns:a="http://schemas.openxmlformats.org/drawingml/2006/main">
                    <a:graphicData uri="http://schemas.openxmlformats.org/drawingml/2006/picture">
                      <pic:pic xmlns:pic="http://schemas.openxmlformats.org/drawingml/2006/picture">
                        <pic:nvPicPr>
                          <pic:cNvPr id="770" name="IM 770"/>
                          <pic:cNvPicPr/>
                        </pic:nvPicPr>
                        <pic:blipFill>
                          <a:blip r:embed="rId93"/>
                          <a:stretch>
                            <a:fillRect/>
                          </a:stretch>
                        </pic:blipFill>
                        <pic:spPr>
                          <a:xfrm>
                            <a:off x="0" y="0"/>
                            <a:ext cx="1523" cy="181990"/>
                          </a:xfrm>
                          <a:prstGeom prst="rect">
                            <a:avLst/>
                          </a:prstGeom>
                        </pic:spPr>
                      </pic:pic>
                    </a:graphicData>
                  </a:graphic>
                </wp:inline>
              </w:drawing>
            </w:r>
            <w:r>
              <w:rPr>
                <w:spacing w:val="3"/>
                <w:shd w:val="clear" w:fill="D9D9D9"/>
              </w:rPr>
              <w:t>证券投资基金管</w:t>
            </w:r>
          </w:p>
        </w:tc>
        <w:tc>
          <w:tcPr>
            <w:tcW w:w="6812" w:type="dxa"/>
            <w:vMerge w:val="restart"/>
            <w:tcBorders>
              <w:bottom w:val="nil"/>
            </w:tcBorders>
            <w:vAlign w:val="top"/>
          </w:tcPr>
          <w:p>
            <w:pPr>
              <w:pStyle w:val="8"/>
              <w:spacing w:before="39" w:line="229" w:lineRule="auto"/>
              <w:ind w:left="22" w:right="27" w:firstLine="493"/>
            </w:pPr>
            <w:r>
              <w:rPr>
                <w:rFonts w:ascii="黑体" w:hAnsi="黑体" w:eastAsia="黑体" w:cs="黑体"/>
              </w:rPr>
              <w:t xml:space="preserve">第一百七十条  </w:t>
            </w:r>
            <w:r>
              <w:t>国务院证券监督管理机构依法履行职责，有</w:t>
            </w:r>
            <w:r>
              <w:rPr>
                <w:spacing w:val="12"/>
              </w:rPr>
              <w:t xml:space="preserve"> </w:t>
            </w:r>
            <w:r>
              <w:rPr>
                <w:spacing w:val="-9"/>
              </w:rPr>
              <w:t>权采取下列措施：</w:t>
            </w:r>
          </w:p>
          <w:p>
            <w:pPr>
              <w:pStyle w:val="8"/>
              <w:spacing w:before="29" w:line="227" w:lineRule="auto"/>
              <w:ind w:left="15" w:right="45" w:firstLine="490"/>
            </w:pPr>
            <w:r>
              <w:t>（一）对证券发行人、证券公司、证券服务机构、证券交易</w:t>
            </w:r>
            <w:r>
              <w:rPr>
                <w:spacing w:val="3"/>
              </w:rPr>
              <w:t xml:space="preserve"> </w:t>
            </w:r>
            <w:r>
              <w:rPr>
                <w:spacing w:val="-4"/>
              </w:rPr>
              <w:t>场所、证券登记结算机构进行现场检查；</w:t>
            </w:r>
          </w:p>
          <w:p>
            <w:pPr>
              <w:pStyle w:val="8"/>
              <w:spacing w:before="32" w:line="215" w:lineRule="auto"/>
              <w:ind w:left="506"/>
            </w:pPr>
            <w:r>
              <w:rPr>
                <w:spacing w:val="-3"/>
              </w:rPr>
              <w:t>（二）进入涉嫌违法行为发生场所调查取证；</w:t>
            </w:r>
          </w:p>
          <w:p>
            <w:pPr>
              <w:pStyle w:val="8"/>
              <w:spacing w:before="32" w:line="230" w:lineRule="auto"/>
              <w:ind w:left="16" w:right="6" w:firstLine="489"/>
              <w:rPr>
                <w:rFonts w:ascii="黑体" w:hAnsi="黑体" w:eastAsia="黑体" w:cs="黑体"/>
              </w:rPr>
            </w:pPr>
            <w:r>
              <w:rPr>
                <w:spacing w:val="-3"/>
              </w:rPr>
              <w:t>（三）询问当事人和与被调查事件有关的单位和个人， 要求</w:t>
            </w:r>
            <w:r>
              <w:rPr>
                <w:spacing w:val="3"/>
              </w:rPr>
              <w:t xml:space="preserve"> </w:t>
            </w:r>
            <w:r>
              <w:rPr>
                <w:spacing w:val="-2"/>
              </w:rPr>
              <w:t xml:space="preserve">其对与被调查事件有关的事项作出说明； </w:t>
            </w:r>
            <w:r>
              <w:rPr>
                <w:rFonts w:ascii="黑体" w:hAnsi="黑体" w:eastAsia="黑体" w:cs="黑体"/>
                <w:spacing w:val="-3"/>
              </w:rPr>
              <w:t>或者要求其按照指定的</w:t>
            </w:r>
            <w:r>
              <w:rPr>
                <w:rFonts w:ascii="黑体" w:hAnsi="黑体" w:eastAsia="黑体" w:cs="黑体"/>
              </w:rPr>
              <w:t xml:space="preserve"> </w:t>
            </w:r>
            <w:r>
              <w:rPr>
                <w:rFonts w:ascii="黑体" w:hAnsi="黑体" w:eastAsia="黑体" w:cs="黑体"/>
                <w:spacing w:val="-3"/>
              </w:rPr>
              <w:t>方式报送与被调查事件有关的文件和资料；</w:t>
            </w:r>
          </w:p>
          <w:p>
            <w:pPr>
              <w:pStyle w:val="8"/>
              <w:spacing w:before="35" w:line="227" w:lineRule="auto"/>
              <w:ind w:left="27" w:right="27" w:firstLine="479"/>
            </w:pPr>
            <w:r>
              <w:rPr>
                <w:spacing w:val="1"/>
              </w:rPr>
              <w:t>（四）查阅、复制与被调查事件有关的财产权登</w:t>
            </w:r>
            <w:r>
              <w:t xml:space="preserve">记、通讯记 </w:t>
            </w:r>
            <w:r>
              <w:rPr>
                <w:spacing w:val="-10"/>
              </w:rPr>
              <w:t>录等文件和资料；</w:t>
            </w:r>
          </w:p>
          <w:p>
            <w:pPr>
              <w:pStyle w:val="8"/>
              <w:spacing w:before="31" w:line="234" w:lineRule="auto"/>
              <w:ind w:left="22" w:right="6" w:firstLine="484"/>
            </w:pPr>
            <w:r>
              <w:rPr>
                <w:spacing w:val="1"/>
              </w:rPr>
              <w:t>（五）查阅、复制当事人和与被调查事件有关的单位和个人</w:t>
            </w:r>
            <w:r>
              <w:rPr>
                <w:spacing w:val="16"/>
              </w:rPr>
              <w:t xml:space="preserve"> </w:t>
            </w:r>
            <w:r>
              <w:rPr>
                <w:spacing w:val="1"/>
              </w:rPr>
              <w:t>的证券交易记录、登记过户记录、财务会计资料及其他相关文件</w:t>
            </w:r>
            <w:r>
              <w:rPr>
                <w:spacing w:val="18"/>
              </w:rPr>
              <w:t xml:space="preserve"> </w:t>
            </w:r>
            <w:r>
              <w:rPr>
                <w:spacing w:val="-7"/>
              </w:rPr>
              <w:t>和资料； 对可能被转移、隐匿或者毁损的文件和资料， 可以予以</w:t>
            </w:r>
            <w:r>
              <w:rPr>
                <w:spacing w:val="16"/>
              </w:rPr>
              <w:t xml:space="preserve"> </w:t>
            </w:r>
            <w:r>
              <w:rPr>
                <w:spacing w:val="-6"/>
              </w:rPr>
              <w:t>封存</w:t>
            </w:r>
            <w:r>
              <w:rPr>
                <w:rFonts w:ascii="黑体" w:hAnsi="黑体" w:eastAsia="黑体" w:cs="黑体"/>
                <w:spacing w:val="-6"/>
              </w:rPr>
              <w:t>、扣押</w:t>
            </w:r>
            <w:r>
              <w:rPr>
                <w:spacing w:val="-6"/>
              </w:rPr>
              <w:t>；</w:t>
            </w:r>
          </w:p>
          <w:p>
            <w:pPr>
              <w:pStyle w:val="8"/>
              <w:spacing w:before="31" w:line="236" w:lineRule="auto"/>
              <w:ind w:left="13" w:right="2" w:firstLine="492"/>
              <w:rPr>
                <w:rFonts w:ascii="黑体" w:hAnsi="黑体" w:eastAsia="黑体" w:cs="黑体"/>
              </w:rPr>
            </w:pPr>
            <w:r>
              <w:rPr>
                <w:spacing w:val="1"/>
              </w:rPr>
              <w:t>（六）查询当事人和与被调查事件有关的单位和个人的资金</w:t>
            </w:r>
            <w:r>
              <w:rPr>
                <w:spacing w:val="16"/>
              </w:rPr>
              <w:t xml:space="preserve"> </w:t>
            </w:r>
            <w:r>
              <w:rPr>
                <w:spacing w:val="2"/>
              </w:rPr>
              <w:t>账户、证券账户、银行账户</w:t>
            </w:r>
            <w:r>
              <w:rPr>
                <w:rFonts w:ascii="黑体" w:hAnsi="黑体" w:eastAsia="黑体" w:cs="黑体"/>
                <w:spacing w:val="2"/>
              </w:rPr>
              <w:t>以及其他具有支付、托管、结算</w:t>
            </w:r>
            <w:r>
              <w:rPr>
                <w:rFonts w:ascii="黑体" w:hAnsi="黑体" w:eastAsia="黑体" w:cs="黑体"/>
                <w:spacing w:val="1"/>
              </w:rPr>
              <w:t>等功</w:t>
            </w:r>
            <w:r>
              <w:rPr>
                <w:rFonts w:ascii="黑体" w:hAnsi="黑体" w:eastAsia="黑体" w:cs="黑体"/>
              </w:rPr>
              <w:t xml:space="preserve"> </w:t>
            </w:r>
            <w:r>
              <w:rPr>
                <w:rFonts w:ascii="黑体" w:hAnsi="黑体" w:eastAsia="黑体" w:cs="黑体"/>
                <w:spacing w:val="-2"/>
              </w:rPr>
              <w:t>能的账户信息，可以对有关文件和资料进行复制；</w:t>
            </w:r>
            <w:r>
              <w:rPr>
                <w:rFonts w:ascii="黑体" w:hAnsi="黑体" w:eastAsia="黑体" w:cs="黑体"/>
                <w:spacing w:val="-3"/>
              </w:rPr>
              <w:t xml:space="preserve"> </w:t>
            </w:r>
            <w:r>
              <w:rPr>
                <w:spacing w:val="-3"/>
              </w:rPr>
              <w:t>对有证据证明</w:t>
            </w:r>
            <w:r>
              <w:t xml:space="preserve"> </w:t>
            </w:r>
            <w:r>
              <w:rPr>
                <w:spacing w:val="11"/>
              </w:rPr>
              <w:t>已经或者可能转移或者隐匿违法资金、证券等涉案财产或者隐</w:t>
            </w:r>
            <w:r>
              <w:rPr>
                <w:spacing w:val="2"/>
              </w:rPr>
              <w:t xml:space="preserve"> 匿、伪造、毁损重要证据的，经国务院证券监督管理机构主</w:t>
            </w:r>
            <w:r>
              <w:rPr>
                <w:spacing w:val="1"/>
              </w:rPr>
              <w:t>要负</w:t>
            </w:r>
            <w:r>
              <w:t xml:space="preserve"> </w:t>
            </w:r>
            <w:r>
              <w:rPr>
                <w:spacing w:val="-2"/>
              </w:rPr>
              <w:t>责人</w:t>
            </w:r>
            <w:r>
              <w:rPr>
                <w:rFonts w:ascii="黑体" w:hAnsi="黑体" w:eastAsia="黑体" w:cs="黑体"/>
                <w:spacing w:val="-2"/>
              </w:rPr>
              <w:t xml:space="preserve">或者其授权的其他负责人批准， </w:t>
            </w:r>
            <w:r>
              <w:rPr>
                <w:spacing w:val="-2"/>
              </w:rPr>
              <w:t>可以冻结或者查</w:t>
            </w:r>
            <w:r>
              <w:rPr>
                <w:spacing w:val="-3"/>
              </w:rPr>
              <w:t>封，</w:t>
            </w:r>
            <w:r>
              <w:rPr>
                <w:rFonts w:ascii="黑体" w:hAnsi="黑体" w:eastAsia="黑体" w:cs="黑体"/>
                <w:spacing w:val="-3"/>
              </w:rPr>
              <w:t>期限为</w:t>
            </w:r>
            <w:r>
              <w:rPr>
                <w:rFonts w:ascii="黑体" w:hAnsi="黑体" w:eastAsia="黑体" w:cs="黑体"/>
              </w:rPr>
              <w:t xml:space="preserve"> </w:t>
            </w:r>
            <w:r>
              <w:rPr>
                <w:rFonts w:ascii="黑体" w:hAnsi="黑体" w:eastAsia="黑体" w:cs="黑体"/>
                <w:spacing w:val="9"/>
              </w:rPr>
              <w:t>六个月；</w:t>
            </w:r>
            <w:r>
              <w:rPr>
                <w:rFonts w:ascii="黑体" w:hAnsi="黑体" w:eastAsia="黑体" w:cs="黑体"/>
                <w:spacing w:val="-63"/>
              </w:rPr>
              <w:t xml:space="preserve"> </w:t>
            </w:r>
            <w:r>
              <w:rPr>
                <w:rFonts w:ascii="黑体" w:hAnsi="黑体" w:eastAsia="黑体" w:cs="黑体"/>
                <w:spacing w:val="9"/>
              </w:rPr>
              <w:t>因特殊原因需要延长的，每次延长期限不得超过三个</w:t>
            </w:r>
            <w:r>
              <w:rPr>
                <w:rFonts w:ascii="黑体" w:hAnsi="黑体" w:eastAsia="黑体" w:cs="黑体"/>
              </w:rPr>
              <w:t xml:space="preserve"> </w:t>
            </w:r>
            <w:r>
              <w:rPr>
                <w:rFonts w:ascii="黑体" w:hAnsi="黑体" w:eastAsia="黑体" w:cs="黑体"/>
                <w:spacing w:val="-3"/>
              </w:rPr>
              <w:t>月，冻结、查封期限最长不得超过二年；</w:t>
            </w:r>
          </w:p>
          <w:p>
            <w:pPr>
              <w:pStyle w:val="8"/>
              <w:spacing w:before="35" w:line="224" w:lineRule="auto"/>
              <w:ind w:left="39" w:right="4" w:firstLine="467"/>
              <w:rPr>
                <w:rFonts w:ascii="黑体" w:hAnsi="黑体" w:eastAsia="黑体" w:cs="黑体"/>
              </w:rPr>
            </w:pPr>
            <w:r>
              <w:rPr>
                <w:spacing w:val="1"/>
              </w:rPr>
              <w:t>（七）在调查操纵证券市场、内幕交易等重大证券违法行为</w:t>
            </w:r>
            <w:r>
              <w:rPr>
                <w:spacing w:val="16"/>
              </w:rPr>
              <w:t xml:space="preserve"> </w:t>
            </w:r>
            <w:r>
              <w:rPr>
                <w:spacing w:val="-2"/>
              </w:rPr>
              <w:t>时，</w:t>
            </w:r>
            <w:r>
              <w:rPr>
                <w:spacing w:val="-29"/>
              </w:rPr>
              <w:t xml:space="preserve"> </w:t>
            </w:r>
            <w:r>
              <w:rPr>
                <w:spacing w:val="-2"/>
              </w:rPr>
              <w:t>经国务院证券监督管理机构主要负责人</w:t>
            </w:r>
            <w:r>
              <w:rPr>
                <w:rFonts w:ascii="黑体" w:hAnsi="黑体" w:eastAsia="黑体" w:cs="黑体"/>
                <w:spacing w:val="-2"/>
              </w:rPr>
              <w:t>或者其授权的</w:t>
            </w:r>
            <w:r>
              <w:rPr>
                <w:rFonts w:ascii="黑体" w:hAnsi="黑体" w:eastAsia="黑体" w:cs="黑体"/>
                <w:spacing w:val="-3"/>
              </w:rPr>
              <w:t>其他负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02" w:type="dxa"/>
            <w:gridSpan w:val="2"/>
            <w:tcBorders>
              <w:top w:val="single" w:color="000000" w:sz="2" w:space="0"/>
              <w:bottom w:val="single" w:color="000000" w:sz="2" w:space="0"/>
              <w:right w:val="single" w:color="000000" w:sz="2" w:space="0"/>
            </w:tcBorders>
            <w:shd w:val="clear" w:color="auto" w:fill="D9D9D9"/>
            <w:vAlign w:val="top"/>
          </w:tcPr>
          <w:p>
            <w:pPr>
              <w:pStyle w:val="8"/>
              <w:spacing w:before="38" w:line="185" w:lineRule="auto"/>
              <w:ind w:left="18"/>
            </w:pPr>
            <w:r>
              <w:rPr>
                <w:spacing w:val="-1"/>
              </w:rPr>
              <w:t>理公司、</w:t>
            </w:r>
          </w:p>
        </w:tc>
        <w:tc>
          <w:tcPr>
            <w:tcW w:w="3177" w:type="dxa"/>
            <w:tcBorders>
              <w:top w:val="nil"/>
              <w:left w:val="single" w:color="000000" w:sz="2" w:space="0"/>
              <w:bottom w:val="nil"/>
              <w:right w:val="nil"/>
            </w:tcBorders>
            <w:vAlign w:val="top"/>
          </w:tcPr>
          <w:p>
            <w:pPr>
              <w:pStyle w:val="8"/>
              <w:spacing w:before="38" w:line="185" w:lineRule="auto"/>
              <w:ind w:left="8"/>
            </w:pPr>
            <w:r>
              <w:t>证券服务机构、证券交易所、</w:t>
            </w:r>
          </w:p>
        </w:tc>
        <w:tc>
          <w:tcPr>
            <w:tcW w:w="2916" w:type="dxa"/>
            <w:gridSpan w:val="3"/>
            <w:tcBorders>
              <w:top w:val="single" w:color="000000" w:sz="2" w:space="0"/>
              <w:left w:val="nil"/>
              <w:bottom w:val="nil"/>
            </w:tcBorders>
            <w:vAlign w:val="top"/>
          </w:tcPr>
          <w:p>
            <w:pPr>
              <w:pStyle w:val="8"/>
              <w:spacing w:before="38" w:line="185" w:lineRule="auto"/>
              <w:jc w:val="right"/>
            </w:pPr>
            <w:r>
              <w:rPr>
                <w:spacing w:val="1"/>
              </w:rPr>
              <w:t>证券登记结算机构进行现场</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4" w:hRule="atLeast"/>
        </w:trPr>
        <w:tc>
          <w:tcPr>
            <w:tcW w:w="7095" w:type="dxa"/>
            <w:gridSpan w:val="6"/>
            <w:tcBorders>
              <w:top w:val="nil"/>
            </w:tcBorders>
            <w:vAlign w:val="top"/>
          </w:tcPr>
          <w:p>
            <w:pPr>
              <w:pStyle w:val="8"/>
              <w:spacing w:before="58" w:line="215" w:lineRule="auto"/>
              <w:ind w:left="10"/>
            </w:pPr>
            <w:r>
              <w:rPr>
                <w:spacing w:val="-16"/>
              </w:rPr>
              <w:t>检查；</w:t>
            </w:r>
          </w:p>
          <w:p>
            <w:pPr>
              <w:pStyle w:val="8"/>
              <w:spacing w:before="32" w:line="215" w:lineRule="auto"/>
              <w:ind w:left="503"/>
            </w:pPr>
            <w:r>
              <w:rPr>
                <w:spacing w:val="-3"/>
              </w:rPr>
              <w:t>（二）进入涉嫌违法行为发生场所调查取证；</w:t>
            </w:r>
          </w:p>
          <w:p>
            <w:pPr>
              <w:pStyle w:val="8"/>
              <w:spacing w:before="29" w:line="227" w:lineRule="auto"/>
              <w:ind w:left="18" w:right="13" w:firstLine="485"/>
            </w:pPr>
            <w:r>
              <w:rPr>
                <w:spacing w:val="-2"/>
              </w:rPr>
              <w:t>（三）询问当事人和与被调查事件有关的单位和个人， 要求其</w:t>
            </w:r>
            <w:r>
              <w:rPr>
                <w:spacing w:val="18"/>
              </w:rPr>
              <w:t xml:space="preserve"> </w:t>
            </w:r>
            <w:r>
              <w:rPr>
                <w:spacing w:val="-5"/>
              </w:rPr>
              <w:t>对与被调查事件有关的事项作出说明；</w:t>
            </w:r>
          </w:p>
          <w:p>
            <w:pPr>
              <w:pStyle w:val="8"/>
              <w:spacing w:before="33" w:line="227" w:lineRule="auto"/>
              <w:ind w:left="24" w:right="6" w:firstLine="479"/>
            </w:pPr>
            <w:r>
              <w:rPr>
                <w:spacing w:val="3"/>
              </w:rPr>
              <w:t>（四）查阅、复制与被调查事件有关的财产权登记、通讯记录</w:t>
            </w:r>
            <w:r>
              <w:rPr>
                <w:spacing w:val="7"/>
              </w:rPr>
              <w:t xml:space="preserve"> </w:t>
            </w:r>
            <w:r>
              <w:rPr>
                <w:spacing w:val="-16"/>
              </w:rPr>
              <w:t>等资料；</w:t>
            </w:r>
          </w:p>
          <w:p>
            <w:pPr>
              <w:pStyle w:val="8"/>
              <w:spacing w:before="31" w:line="231" w:lineRule="auto"/>
              <w:ind w:left="17" w:firstLine="486"/>
            </w:pPr>
            <w:r>
              <w:rPr>
                <w:spacing w:val="3"/>
              </w:rPr>
              <w:t>（五）查阅、复制当事人和与被调查事件有关的单位和个人的</w:t>
            </w:r>
            <w:r>
              <w:rPr>
                <w:spacing w:val="13"/>
              </w:rPr>
              <w:t xml:space="preserve"> </w:t>
            </w:r>
            <w:r>
              <w:rPr>
                <w:spacing w:val="3"/>
              </w:rPr>
              <w:t>证券交易记录、登记过户记录、财务会计资料及其他相关文件和资</w:t>
            </w:r>
            <w:r>
              <w:rPr>
                <w:spacing w:val="14"/>
              </w:rPr>
              <w:t xml:space="preserve"> </w:t>
            </w:r>
            <w:r>
              <w:rPr>
                <w:spacing w:val="-3"/>
              </w:rPr>
              <w:t>料；对可能被转移、隐匿或者毁损的文件和资料，可以予以封存；</w:t>
            </w:r>
          </w:p>
          <w:p>
            <w:pPr>
              <w:pStyle w:val="8"/>
              <w:spacing w:before="33" w:line="234" w:lineRule="auto"/>
              <w:ind w:left="19" w:firstLine="484"/>
            </w:pPr>
            <w:r>
              <w:rPr>
                <w:spacing w:val="3"/>
              </w:rPr>
              <w:t>（六）查询当事人和与被调查事件有关的单位和个人的资金账</w:t>
            </w:r>
            <w:r>
              <w:rPr>
                <w:spacing w:val="12"/>
              </w:rPr>
              <w:t xml:space="preserve"> </w:t>
            </w:r>
            <w:r>
              <w:rPr>
                <w:spacing w:val="3"/>
              </w:rPr>
              <w:t>户、证券账户和银行账户；对有证据证明已经或者可能转移或者隐</w:t>
            </w:r>
            <w:r>
              <w:rPr>
                <w:spacing w:val="12"/>
              </w:rPr>
              <w:t xml:space="preserve"> </w:t>
            </w:r>
            <w:r>
              <w:rPr>
                <w:spacing w:val="3"/>
              </w:rPr>
              <w:t>匿违法资金、证券等涉案财产或者隐匿、伪造、毁损重要证据的，</w:t>
            </w:r>
            <w:r>
              <w:rPr>
                <w:spacing w:val="8"/>
              </w:rPr>
              <w:t xml:space="preserve"> </w:t>
            </w:r>
            <w:r>
              <w:rPr>
                <w:spacing w:val="-3"/>
              </w:rPr>
              <w:t>经国务院证券监督管理机构主要负责人批准，可以冻结或者查封；</w:t>
            </w:r>
          </w:p>
          <w:p>
            <w:pPr>
              <w:pStyle w:val="8"/>
              <w:spacing w:before="32" w:line="233" w:lineRule="auto"/>
              <w:ind w:left="20" w:firstLine="482"/>
            </w:pPr>
            <w:r>
              <w:pict>
                <v:shape id="_x0000_s1103" o:spid="_x0000_s1103" o:spt="202" type="#_x0000_t202" style="position:absolute;left:0pt;margin-left:255.8pt;margin-top:29.95pt;height:17.5pt;width:75.45pt;z-index:2517309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46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3" w:type="dxa"/>
                              <w:vAlign w:val="top"/>
                            </w:tcPr>
                            <w:p>
                              <w:pPr>
                                <w:pStyle w:val="8"/>
                                <w:spacing w:before="27" w:line="201" w:lineRule="auto"/>
                                <w:ind w:right="1"/>
                                <w:jc w:val="right"/>
                              </w:pPr>
                              <w:r>
                                <w:rPr>
                                  <w:spacing w:val="-1"/>
                                  <w:shd w:val="clear" w:fill="D9D9D9"/>
                                </w:rPr>
                                <w:t>十五个交易日</w:t>
                              </w:r>
                            </w:p>
                          </w:tc>
                        </w:tr>
                      </w:tbl>
                      <w:p>
                        <w:pPr>
                          <w:rPr>
                            <w:rFonts w:ascii="Arial"/>
                            <w:sz w:val="21"/>
                          </w:rPr>
                        </w:pPr>
                      </w:p>
                    </w:txbxContent>
                  </v:textbox>
                </v:shape>
              </w:pict>
            </w:r>
            <w:r>
              <w:pict>
                <v:shape id="_x0000_s1104" o:spid="_x0000_s1104" o:spt="202" type="#_x0000_t202" style="position:absolute;left:0pt;margin-left:107.2pt;margin-top:45.55pt;height:17.5pt;width:74.3pt;z-index:2517299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440"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99" w:hRule="atLeast"/>
                          </w:trPr>
                          <w:tc>
                            <w:tcPr>
                              <w:tcW w:w="1440" w:type="dxa"/>
                              <w:vAlign w:val="top"/>
                            </w:tcPr>
                            <w:p>
                              <w:pPr>
                                <w:pStyle w:val="8"/>
                                <w:spacing w:before="27" w:line="201" w:lineRule="auto"/>
                                <w:jc w:val="right"/>
                              </w:pPr>
                              <w:r>
                                <w:rPr>
                                  <w:spacing w:val="-4"/>
                                  <w:shd w:val="clear" w:fill="D9D9D9"/>
                                </w:rPr>
                                <w:t>十五个交易日</w:t>
                              </w:r>
                            </w:p>
                          </w:tc>
                        </w:tr>
                      </w:tbl>
                      <w:p>
                        <w:pPr>
                          <w:rPr>
                            <w:rFonts w:ascii="Arial"/>
                            <w:sz w:val="21"/>
                          </w:rPr>
                        </w:pPr>
                      </w:p>
                    </w:txbxContent>
                  </v:textbox>
                </v:shape>
              </w:pict>
            </w:r>
            <w:r>
              <w:rPr>
                <w:spacing w:val="13"/>
              </w:rPr>
              <w:t>（七）在调查操纵证券市场、内幕交易等重大证</w:t>
            </w:r>
            <w:r>
              <w:rPr>
                <w:spacing w:val="12"/>
              </w:rPr>
              <w:t>券违法行为</w:t>
            </w:r>
            <w:r>
              <w:t xml:space="preserve"> </w:t>
            </w:r>
            <w:r>
              <w:rPr>
                <w:spacing w:val="3"/>
              </w:rPr>
              <w:t>时，经国务院证券监督管理机构主要负责人批准，可以限制被调查</w:t>
            </w:r>
            <w:r>
              <w:rPr>
                <w:spacing w:val="10"/>
              </w:rPr>
              <w:t xml:space="preserve"> </w:t>
            </w:r>
            <w:r>
              <w:rPr>
                <w:spacing w:val="-5"/>
              </w:rPr>
              <w:t>事件当事人的证券买卖， 但限制的期限不得超过</w:t>
            </w:r>
            <w:r>
              <w:rPr>
                <w:spacing w:val="5"/>
              </w:rPr>
              <w:t xml:space="preserve">            </w:t>
            </w:r>
            <w:r>
              <w:rPr>
                <w:spacing w:val="-5"/>
              </w:rPr>
              <w:t>；案</w:t>
            </w:r>
            <w:r>
              <w:rPr>
                <w:spacing w:val="9"/>
              </w:rPr>
              <w:t xml:space="preserve"> </w:t>
            </w:r>
            <w:r>
              <w:rPr>
                <w:spacing w:val="-1"/>
              </w:rPr>
              <w:t>情复杂的，可以延长            。</w:t>
            </w:r>
          </w:p>
        </w:tc>
        <w:tc>
          <w:tcPr>
            <w:tcW w:w="6812" w:type="dxa"/>
            <w:vMerge w:val="continue"/>
            <w:tcBorders>
              <w:top w:val="nil"/>
            </w:tcBorders>
            <w:vAlign w:val="top"/>
          </w:tcPr>
          <w:p>
            <w:pPr>
              <w:rPr>
                <w:rFonts w:ascii="Arial"/>
                <w:sz w:val="21"/>
              </w:rPr>
            </w:pPr>
          </w:p>
        </w:tc>
      </w:tr>
    </w:tbl>
    <w:p>
      <w:pPr>
        <w:spacing w:line="209" w:lineRule="exact"/>
        <w:rPr>
          <w:rFonts w:ascii="Arial"/>
          <w:sz w:val="18"/>
        </w:rPr>
      </w:pPr>
    </w:p>
    <w:p>
      <w:pPr>
        <w:spacing w:line="209" w:lineRule="exact"/>
        <w:rPr>
          <w:rFonts w:ascii="Arial" w:hAnsi="Arial" w:eastAsia="Arial" w:cs="Arial"/>
          <w:sz w:val="18"/>
          <w:szCs w:val="18"/>
        </w:rPr>
        <w:sectPr>
          <w:footerReference r:id="rId50"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0" w:hRule="atLeast"/>
        </w:trPr>
        <w:tc>
          <w:tcPr>
            <w:tcW w:w="7100" w:type="dxa"/>
            <w:vAlign w:val="top"/>
          </w:tcPr>
          <w:p>
            <w:pPr>
              <w:rPr>
                <w:rFonts w:ascii="Arial"/>
                <w:sz w:val="21"/>
              </w:rPr>
            </w:pPr>
          </w:p>
        </w:tc>
        <w:tc>
          <w:tcPr>
            <w:tcW w:w="6807" w:type="dxa"/>
            <w:vAlign w:val="top"/>
          </w:tcPr>
          <w:p>
            <w:pPr>
              <w:pStyle w:val="8"/>
              <w:spacing w:before="42" w:line="230" w:lineRule="auto"/>
              <w:ind w:left="16" w:right="4"/>
            </w:pPr>
            <w:r>
              <w:rPr>
                <w:rFonts w:ascii="黑体" w:hAnsi="黑体" w:eastAsia="黑体" w:cs="黑体"/>
                <w:spacing w:val="2"/>
              </w:rPr>
              <w:t>责人批准，</w:t>
            </w:r>
            <w:r>
              <w:rPr>
                <w:spacing w:val="2"/>
              </w:rPr>
              <w:t>可以限制被调查的当事人的证券买卖</w:t>
            </w:r>
            <w:r>
              <w:rPr>
                <w:spacing w:val="1"/>
              </w:rPr>
              <w:t>，但限制的期限</w:t>
            </w:r>
            <w:r>
              <w:t xml:space="preserve"> </w:t>
            </w:r>
            <w:r>
              <w:rPr>
                <w:spacing w:val="-1"/>
              </w:rPr>
              <w:t>不得超过</w:t>
            </w:r>
            <w:r>
              <w:rPr>
                <w:rFonts w:ascii="黑体" w:hAnsi="黑体" w:eastAsia="黑体" w:cs="黑体"/>
                <w:spacing w:val="-1"/>
              </w:rPr>
              <w:t>三个月</w:t>
            </w:r>
            <w:r>
              <w:rPr>
                <w:spacing w:val="-1"/>
              </w:rPr>
              <w:t>；案情复杂的，可以延长</w:t>
            </w:r>
            <w:r>
              <w:rPr>
                <w:rFonts w:ascii="黑体" w:hAnsi="黑体" w:eastAsia="黑体" w:cs="黑体"/>
                <w:spacing w:val="-1"/>
              </w:rPr>
              <w:t>三个月</w:t>
            </w:r>
            <w:r>
              <w:rPr>
                <w:spacing w:val="-1"/>
              </w:rPr>
              <w:t>；</w:t>
            </w:r>
          </w:p>
          <w:p>
            <w:pPr>
              <w:pStyle w:val="8"/>
              <w:spacing w:before="23" w:line="227" w:lineRule="auto"/>
              <w:ind w:left="14" w:right="24" w:firstLine="486"/>
            </w:pPr>
            <w:r>
              <w:rPr>
                <w:spacing w:val="1"/>
              </w:rPr>
              <w:t>（八）通知出境入境管理机关依法阻止涉嫌违法人员、</w:t>
            </w:r>
            <w:r>
              <w:t xml:space="preserve">涉嫌 </w:t>
            </w:r>
            <w:r>
              <w:rPr>
                <w:spacing w:val="-3"/>
              </w:rPr>
              <w:t>违法单位的主管人员和其他直接责任人员出境。</w:t>
            </w:r>
          </w:p>
          <w:p>
            <w:pPr>
              <w:pStyle w:val="8"/>
              <w:spacing w:before="33" w:line="224" w:lineRule="auto"/>
              <w:ind w:left="9" w:right="7" w:firstLine="508"/>
            </w:pPr>
            <w:r>
              <w:rPr>
                <w:spacing w:val="1"/>
              </w:rPr>
              <w:t>为防范证券市场风险，维护市场秩序，国务院证券监督管理</w:t>
            </w:r>
            <w:r>
              <w:t xml:space="preserve"> </w:t>
            </w:r>
            <w:r>
              <w:rPr>
                <w:spacing w:val="-2"/>
              </w:rPr>
              <w:t>机构可以采取责令改正、监管谈话、出具警示</w:t>
            </w:r>
            <w:r>
              <w:rPr>
                <w:spacing w:val="-3"/>
              </w:rPr>
              <w:t>函等措施。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100" w:type="dxa"/>
            <w:vAlign w:val="top"/>
          </w:tcPr>
          <w:p>
            <w:pPr>
              <w:rPr>
                <w:rFonts w:ascii="Arial"/>
                <w:sz w:val="21"/>
              </w:rPr>
            </w:pPr>
          </w:p>
        </w:tc>
        <w:tc>
          <w:tcPr>
            <w:tcW w:w="6807" w:type="dxa"/>
            <w:vAlign w:val="top"/>
          </w:tcPr>
          <w:p>
            <w:pPr>
              <w:spacing w:before="34" w:line="237" w:lineRule="auto"/>
              <w:ind w:left="9" w:right="6" w:firstLine="501"/>
              <w:jc w:val="both"/>
              <w:rPr>
                <w:rFonts w:ascii="黑体" w:hAnsi="黑体" w:eastAsia="黑体" w:cs="黑体"/>
                <w:sz w:val="24"/>
                <w:szCs w:val="24"/>
              </w:rPr>
            </w:pPr>
            <w:r>
              <w:rPr>
                <w:rFonts w:ascii="黑体" w:hAnsi="黑体" w:eastAsia="黑体" w:cs="黑体"/>
                <w:spacing w:val="1"/>
                <w:sz w:val="24"/>
                <w:szCs w:val="24"/>
              </w:rPr>
              <w:t>第一百七十一条  国务院证券监督管理机构对涉嫌证券违法</w:t>
            </w:r>
            <w:r>
              <w:rPr>
                <w:rFonts w:ascii="黑体" w:hAnsi="黑体" w:eastAsia="黑体" w:cs="黑体"/>
                <w:spacing w:val="6"/>
                <w:sz w:val="24"/>
                <w:szCs w:val="24"/>
              </w:rPr>
              <w:t xml:space="preserve"> </w:t>
            </w:r>
            <w:r>
              <w:rPr>
                <w:rFonts w:ascii="黑体" w:hAnsi="黑体" w:eastAsia="黑体" w:cs="黑体"/>
                <w:spacing w:val="-6"/>
                <w:sz w:val="24"/>
                <w:szCs w:val="24"/>
              </w:rPr>
              <w:t>的单位或者个人进行调查期间， 被调查的当事人书</w:t>
            </w:r>
            <w:r>
              <w:rPr>
                <w:rFonts w:ascii="黑体" w:hAnsi="黑体" w:eastAsia="黑体" w:cs="黑体"/>
                <w:spacing w:val="-7"/>
                <w:sz w:val="24"/>
                <w:szCs w:val="24"/>
              </w:rPr>
              <w:t>面申请， 承诺</w:t>
            </w:r>
            <w:r>
              <w:rPr>
                <w:rFonts w:ascii="黑体" w:hAnsi="黑体" w:eastAsia="黑体" w:cs="黑体"/>
                <w:sz w:val="24"/>
                <w:szCs w:val="24"/>
              </w:rPr>
              <w:t xml:space="preserve"> </w:t>
            </w:r>
            <w:r>
              <w:rPr>
                <w:rFonts w:ascii="黑体" w:hAnsi="黑体" w:eastAsia="黑体" w:cs="黑体"/>
                <w:spacing w:val="1"/>
                <w:sz w:val="24"/>
                <w:szCs w:val="24"/>
              </w:rPr>
              <w:t>在国务院证券监督管理机构认可的期限内纠正涉嫌违法行为，赔</w:t>
            </w:r>
            <w:r>
              <w:rPr>
                <w:rFonts w:ascii="黑体" w:hAnsi="黑体" w:eastAsia="黑体" w:cs="黑体"/>
                <w:spacing w:val="17"/>
                <w:sz w:val="24"/>
                <w:szCs w:val="24"/>
              </w:rPr>
              <w:t xml:space="preserve"> </w:t>
            </w:r>
            <w:r>
              <w:rPr>
                <w:rFonts w:ascii="黑体" w:hAnsi="黑体" w:eastAsia="黑体" w:cs="黑体"/>
                <w:spacing w:val="2"/>
                <w:sz w:val="24"/>
                <w:szCs w:val="24"/>
              </w:rPr>
              <w:t>偿有关投资者损失，消除损害或者不良影响的，国务院证</w:t>
            </w:r>
            <w:r>
              <w:rPr>
                <w:rFonts w:ascii="黑体" w:hAnsi="黑体" w:eastAsia="黑体" w:cs="黑体"/>
                <w:spacing w:val="1"/>
                <w:sz w:val="24"/>
                <w:szCs w:val="24"/>
              </w:rPr>
              <w:t>券监督</w:t>
            </w:r>
            <w:r>
              <w:rPr>
                <w:rFonts w:ascii="黑体" w:hAnsi="黑体" w:eastAsia="黑体" w:cs="黑体"/>
                <w:sz w:val="24"/>
                <w:szCs w:val="24"/>
              </w:rPr>
              <w:t xml:space="preserve"> </w:t>
            </w:r>
            <w:r>
              <w:rPr>
                <w:rFonts w:ascii="黑体" w:hAnsi="黑体" w:eastAsia="黑体" w:cs="黑体"/>
                <w:spacing w:val="-2"/>
                <w:sz w:val="24"/>
                <w:szCs w:val="24"/>
              </w:rPr>
              <w:t>管理机构可以决定中止调查。被调查的当事人</w:t>
            </w:r>
            <w:r>
              <w:rPr>
                <w:rFonts w:ascii="黑体" w:hAnsi="黑体" w:eastAsia="黑体" w:cs="黑体"/>
                <w:spacing w:val="-3"/>
                <w:sz w:val="24"/>
                <w:szCs w:val="24"/>
              </w:rPr>
              <w:t>履行承诺的， 国务</w:t>
            </w:r>
            <w:r>
              <w:rPr>
                <w:rFonts w:ascii="黑体" w:hAnsi="黑体" w:eastAsia="黑体" w:cs="黑体"/>
                <w:sz w:val="24"/>
                <w:szCs w:val="24"/>
              </w:rPr>
              <w:t xml:space="preserve"> </w:t>
            </w:r>
            <w:r>
              <w:rPr>
                <w:rFonts w:ascii="黑体" w:hAnsi="黑体" w:eastAsia="黑体" w:cs="黑体"/>
                <w:spacing w:val="2"/>
                <w:sz w:val="24"/>
                <w:szCs w:val="24"/>
              </w:rPr>
              <w:t>院证券监督管理机构可以决定终止调查；被调查的当事人未</w:t>
            </w:r>
            <w:r>
              <w:rPr>
                <w:rFonts w:ascii="黑体" w:hAnsi="黑体" w:eastAsia="黑体" w:cs="黑体"/>
                <w:spacing w:val="1"/>
                <w:sz w:val="24"/>
                <w:szCs w:val="24"/>
              </w:rPr>
              <w:t>履行</w:t>
            </w:r>
            <w:r>
              <w:rPr>
                <w:rFonts w:ascii="黑体" w:hAnsi="黑体" w:eastAsia="黑体" w:cs="黑体"/>
                <w:sz w:val="24"/>
                <w:szCs w:val="24"/>
              </w:rPr>
              <w:t xml:space="preserve"> </w:t>
            </w:r>
            <w:r>
              <w:rPr>
                <w:rFonts w:ascii="黑体" w:hAnsi="黑体" w:eastAsia="黑体" w:cs="黑体"/>
                <w:spacing w:val="-2"/>
                <w:sz w:val="24"/>
                <w:szCs w:val="24"/>
              </w:rPr>
              <w:t>承诺或者有国务院规定的其他情形的，应当恢复调查。</w:t>
            </w:r>
            <w:r>
              <w:rPr>
                <w:rFonts w:ascii="黑体" w:hAnsi="黑体" w:eastAsia="黑体" w:cs="黑体"/>
                <w:spacing w:val="-10"/>
                <w:sz w:val="24"/>
                <w:szCs w:val="24"/>
              </w:rPr>
              <w:t xml:space="preserve"> </w:t>
            </w:r>
            <w:r>
              <w:rPr>
                <w:rFonts w:ascii="黑体" w:hAnsi="黑体" w:eastAsia="黑体" w:cs="黑体"/>
                <w:spacing w:val="-2"/>
                <w:sz w:val="24"/>
                <w:szCs w:val="24"/>
              </w:rPr>
              <w:t>具体办法</w:t>
            </w:r>
            <w:r>
              <w:rPr>
                <w:rFonts w:ascii="黑体" w:hAnsi="黑体" w:eastAsia="黑体" w:cs="黑体"/>
                <w:sz w:val="24"/>
                <w:szCs w:val="24"/>
              </w:rPr>
              <w:t xml:space="preserve"> </w:t>
            </w:r>
            <w:r>
              <w:rPr>
                <w:rFonts w:ascii="黑体" w:hAnsi="黑体" w:eastAsia="黑体" w:cs="黑体"/>
                <w:spacing w:val="-5"/>
                <w:sz w:val="24"/>
                <w:szCs w:val="24"/>
              </w:rPr>
              <w:t>由国务院规定。</w:t>
            </w:r>
          </w:p>
          <w:p>
            <w:pPr>
              <w:spacing w:before="24" w:line="223" w:lineRule="auto"/>
              <w:ind w:left="14" w:right="6" w:firstLine="510"/>
              <w:jc w:val="both"/>
              <w:rPr>
                <w:rFonts w:ascii="黑体" w:hAnsi="黑体" w:eastAsia="黑体" w:cs="黑体"/>
                <w:sz w:val="24"/>
                <w:szCs w:val="24"/>
              </w:rPr>
            </w:pPr>
            <w:r>
              <w:rPr>
                <w:rFonts w:ascii="黑体" w:hAnsi="黑体" w:eastAsia="黑体" w:cs="黑体"/>
                <w:spacing w:val="1"/>
                <w:sz w:val="24"/>
                <w:szCs w:val="24"/>
              </w:rPr>
              <w:t>国务院证券监督管理机构决定中止或者终止</w:t>
            </w:r>
            <w:r>
              <w:rPr>
                <w:rFonts w:ascii="黑体" w:hAnsi="黑体" w:eastAsia="黑体" w:cs="黑体"/>
                <w:sz w:val="24"/>
                <w:szCs w:val="24"/>
              </w:rPr>
              <w:t xml:space="preserve">调查的，应当按 </w:t>
            </w:r>
            <w:r>
              <w:rPr>
                <w:rFonts w:ascii="黑体" w:hAnsi="黑体" w:eastAsia="黑体" w:cs="黑体"/>
                <w:spacing w:val="-4"/>
                <w:sz w:val="24"/>
                <w:szCs w:val="24"/>
              </w:rPr>
              <w:t>照规定公开相关信息。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7100" w:type="dxa"/>
            <w:vAlign w:val="top"/>
          </w:tcPr>
          <w:p>
            <w:pPr>
              <w:pStyle w:val="8"/>
              <w:spacing w:before="36" w:line="235" w:lineRule="auto"/>
              <w:ind w:left="13" w:firstLine="499"/>
              <w:jc w:val="both"/>
            </w:pPr>
            <w:r>
              <w:rPr>
                <w:rFonts w:ascii="黑体" w:hAnsi="黑体" w:eastAsia="黑体" w:cs="黑体"/>
                <w:spacing w:val="-1"/>
              </w:rPr>
              <w:t xml:space="preserve">第一百八十一条  </w:t>
            </w:r>
            <w:r>
              <w:rPr>
                <w:spacing w:val="-1"/>
              </w:rPr>
              <w:t>国务院证券监督管理机构依法履行职责</w:t>
            </w:r>
            <w:r>
              <w:rPr>
                <w:spacing w:val="-2"/>
              </w:rPr>
              <w:t>， 进</w:t>
            </w:r>
            <w:r>
              <w:t xml:space="preserve"> </w:t>
            </w:r>
            <w:r>
              <w:rPr>
                <w:spacing w:val="4"/>
              </w:rPr>
              <w:t>行监督检查或者调查，其监督检查、调查的人员不得</w:t>
            </w:r>
            <w:r>
              <w:rPr>
                <w:spacing w:val="3"/>
              </w:rPr>
              <w:t>少于二人，并</w:t>
            </w:r>
            <w:r>
              <w:t xml:space="preserve"> </w:t>
            </w:r>
            <w:r>
              <w:rPr>
                <w:spacing w:val="4"/>
              </w:rPr>
              <w:t>应当出示合法证件和监督检查、调查通知书。监督检</w:t>
            </w:r>
            <w:r>
              <w:rPr>
                <w:spacing w:val="3"/>
              </w:rPr>
              <w:t>查、调查的人</w:t>
            </w:r>
            <w:r>
              <w:t xml:space="preserve"> 员少于二人或者未出示合法证件和监督检查、</w:t>
            </w:r>
            <w:r>
              <w:rPr>
                <w:spacing w:val="-1"/>
              </w:rPr>
              <w:t>调查通知书的， 被检</w:t>
            </w:r>
            <w:r>
              <w:t xml:space="preserve"> </w:t>
            </w:r>
            <w:r>
              <w:rPr>
                <w:spacing w:val="-5"/>
              </w:rPr>
              <w:t>查、调查的单位有权拒绝。</w:t>
            </w:r>
          </w:p>
        </w:tc>
        <w:tc>
          <w:tcPr>
            <w:tcW w:w="6807" w:type="dxa"/>
            <w:vAlign w:val="top"/>
          </w:tcPr>
          <w:p>
            <w:pPr>
              <w:pStyle w:val="8"/>
              <w:spacing w:before="35" w:line="234" w:lineRule="auto"/>
              <w:ind w:left="11" w:right="2" w:firstLine="499"/>
            </w:pPr>
            <w:r>
              <w:rPr>
                <w:rFonts w:ascii="黑体" w:hAnsi="黑体" w:eastAsia="黑体" w:cs="黑体"/>
                <w:spacing w:val="1"/>
              </w:rPr>
              <w:t xml:space="preserve">第一百七十二条  </w:t>
            </w:r>
            <w:r>
              <w:rPr>
                <w:spacing w:val="1"/>
              </w:rPr>
              <w:t>国务院证券监督管理机构依法履行职责，</w:t>
            </w:r>
            <w:r>
              <w:rPr>
                <w:spacing w:val="3"/>
              </w:rPr>
              <w:t xml:space="preserve"> </w:t>
            </w:r>
            <w:r>
              <w:rPr>
                <w:spacing w:val="11"/>
              </w:rPr>
              <w:t>进行监督检查或者调查，其监督检查、调查的人员不得少于二</w:t>
            </w:r>
            <w:r>
              <w:t xml:space="preserve"> </w:t>
            </w:r>
            <w:r>
              <w:rPr>
                <w:spacing w:val="-2"/>
              </w:rPr>
              <w:t>人， 并应当出示合法证件和监督检查、调</w:t>
            </w:r>
            <w:r>
              <w:rPr>
                <w:spacing w:val="-3"/>
              </w:rPr>
              <w:t>查通知书</w:t>
            </w:r>
            <w:r>
              <w:rPr>
                <w:rFonts w:ascii="黑体" w:hAnsi="黑体" w:eastAsia="黑体" w:cs="黑体"/>
                <w:spacing w:val="-3"/>
              </w:rPr>
              <w:t>或者其他执法</w:t>
            </w:r>
            <w:r>
              <w:rPr>
                <w:rFonts w:ascii="黑体" w:hAnsi="黑体" w:eastAsia="黑体" w:cs="黑体"/>
              </w:rPr>
              <w:t xml:space="preserve"> </w:t>
            </w:r>
            <w:r>
              <w:rPr>
                <w:rFonts w:ascii="黑体" w:hAnsi="黑体" w:eastAsia="黑体" w:cs="黑体"/>
                <w:spacing w:val="2"/>
              </w:rPr>
              <w:t>文书</w:t>
            </w:r>
            <w:r>
              <w:rPr>
                <w:spacing w:val="2"/>
              </w:rPr>
              <w:t>。监督检查、调查的人员少于二人或者未出示合法</w:t>
            </w:r>
            <w:r>
              <w:rPr>
                <w:spacing w:val="1"/>
              </w:rPr>
              <w:t>证件和监</w:t>
            </w:r>
            <w:r>
              <w:t xml:space="preserve"> </w:t>
            </w:r>
            <w:r>
              <w:rPr>
                <w:spacing w:val="-2"/>
              </w:rPr>
              <w:t>督检查、调查通知书</w:t>
            </w:r>
            <w:r>
              <w:rPr>
                <w:rFonts w:ascii="黑体" w:hAnsi="黑体" w:eastAsia="黑体" w:cs="黑体"/>
                <w:spacing w:val="-2"/>
              </w:rPr>
              <w:t>或者其他执法文书</w:t>
            </w:r>
            <w:r>
              <w:rPr>
                <w:spacing w:val="-2"/>
              </w:rPr>
              <w:t>的， 被</w:t>
            </w:r>
            <w:r>
              <w:rPr>
                <w:spacing w:val="-3"/>
              </w:rPr>
              <w:t>检查、调查的单位</w:t>
            </w:r>
            <w:r>
              <w:t xml:space="preserve"> </w:t>
            </w:r>
            <w:r>
              <w:rPr>
                <w:spacing w:val="-7"/>
              </w:rPr>
              <w:t>和个人有权拒绝。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100" w:type="dxa"/>
            <w:vAlign w:val="top"/>
          </w:tcPr>
          <w:p>
            <w:pPr>
              <w:pStyle w:val="8"/>
              <w:spacing w:before="41" w:line="227" w:lineRule="auto"/>
              <w:ind w:left="10" w:firstLine="502"/>
              <w:jc w:val="both"/>
            </w:pPr>
            <w:r>
              <w:rPr>
                <w:rFonts w:ascii="黑体" w:hAnsi="黑体" w:eastAsia="黑体" w:cs="黑体"/>
                <w:spacing w:val="-1"/>
              </w:rPr>
              <w:t xml:space="preserve">第一百八十三条  </w:t>
            </w:r>
            <w:r>
              <w:rPr>
                <w:spacing w:val="-1"/>
              </w:rPr>
              <w:t>国务院证券监督管理机构依法履行职责，</w:t>
            </w:r>
            <w:r>
              <w:rPr>
                <w:spacing w:val="-2"/>
              </w:rPr>
              <w:t xml:space="preserve"> 被</w:t>
            </w:r>
            <w:r>
              <w:t xml:space="preserve"> </w:t>
            </w:r>
            <w:r>
              <w:rPr>
                <w:spacing w:val="4"/>
              </w:rPr>
              <w:t>检查、调查的单位和个人应当配合，如实提供有关文件和资</w:t>
            </w:r>
            <w:r>
              <w:rPr>
                <w:spacing w:val="3"/>
              </w:rPr>
              <w:t>料，不</w:t>
            </w:r>
            <w:r>
              <w:t xml:space="preserve"> </w:t>
            </w:r>
            <w:r>
              <w:rPr>
                <w:spacing w:val="-6"/>
              </w:rPr>
              <w:t>得拒绝、阻碍和隐瞒。</w:t>
            </w:r>
          </w:p>
        </w:tc>
        <w:tc>
          <w:tcPr>
            <w:tcW w:w="6807" w:type="dxa"/>
            <w:vAlign w:val="top"/>
          </w:tcPr>
          <w:p>
            <w:pPr>
              <w:pStyle w:val="8"/>
              <w:spacing w:before="41" w:line="227" w:lineRule="auto"/>
              <w:ind w:left="7" w:right="2" w:firstLine="503"/>
            </w:pPr>
            <w:r>
              <w:rPr>
                <w:rFonts w:ascii="黑体" w:hAnsi="黑体" w:eastAsia="黑体" w:cs="黑体"/>
                <w:spacing w:val="1"/>
              </w:rPr>
              <w:t xml:space="preserve">第一百七十三条  </w:t>
            </w:r>
            <w:r>
              <w:rPr>
                <w:spacing w:val="1"/>
              </w:rPr>
              <w:t>国务院证券监督管理机构依法履行职责，</w:t>
            </w:r>
            <w:r>
              <w:rPr>
                <w:spacing w:val="3"/>
              </w:rPr>
              <w:t xml:space="preserve"> </w:t>
            </w:r>
            <w:r>
              <w:rPr>
                <w:spacing w:val="11"/>
              </w:rPr>
              <w:t>被检查、调查的单位和个人应当配合，如实提供有关文件和资</w:t>
            </w:r>
            <w:r>
              <w:rPr>
                <w:spacing w:val="4"/>
              </w:rPr>
              <w:t xml:space="preserve"> </w:t>
            </w:r>
            <w:r>
              <w:rPr>
                <w:spacing w:val="-4"/>
              </w:rPr>
              <w:t>料，不得拒绝、阻碍和隐瞒。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trPr>
        <w:tc>
          <w:tcPr>
            <w:tcW w:w="7100" w:type="dxa"/>
            <w:vAlign w:val="top"/>
          </w:tcPr>
          <w:p>
            <w:pPr>
              <w:pStyle w:val="8"/>
              <w:spacing w:before="41" w:line="228" w:lineRule="auto"/>
              <w:ind w:left="20" w:right="44" w:firstLine="492"/>
            </w:pPr>
            <w:r>
              <w:rPr>
                <w:rFonts w:ascii="黑体" w:hAnsi="黑体" w:eastAsia="黑体" w:cs="黑体"/>
                <w:spacing w:val="1"/>
              </w:rPr>
              <w:t xml:space="preserve">第一百八十四条  </w:t>
            </w:r>
            <w:r>
              <w:rPr>
                <w:spacing w:val="1"/>
              </w:rPr>
              <w:t>国务院证券监督管理机构依法制定的规章、</w:t>
            </w:r>
            <w:r>
              <w:rPr>
                <w:spacing w:val="17"/>
              </w:rPr>
              <w:t xml:space="preserve"> </w:t>
            </w:r>
            <w:r>
              <w:rPr>
                <w:spacing w:val="-4"/>
              </w:rPr>
              <w:t>规则和监督管理工作制度应当公开。</w:t>
            </w:r>
          </w:p>
          <w:p>
            <w:pPr>
              <w:pStyle w:val="8"/>
              <w:spacing w:before="33" w:line="223" w:lineRule="auto"/>
              <w:ind w:left="34" w:firstLine="499"/>
            </w:pPr>
            <w:r>
              <w:rPr>
                <w:spacing w:val="2"/>
              </w:rPr>
              <w:t>国务院证券监督管理机构依据调查结果，对证券违法行为作出</w:t>
            </w:r>
            <w:r>
              <w:rPr>
                <w:spacing w:val="15"/>
              </w:rPr>
              <w:t xml:space="preserve"> </w:t>
            </w:r>
            <w:r>
              <w:rPr>
                <w:spacing w:val="-7"/>
              </w:rPr>
              <w:t>的处罚决定，应当公开。</w:t>
            </w:r>
          </w:p>
        </w:tc>
        <w:tc>
          <w:tcPr>
            <w:tcW w:w="6807" w:type="dxa"/>
            <w:vAlign w:val="top"/>
          </w:tcPr>
          <w:p>
            <w:pPr>
              <w:pStyle w:val="8"/>
              <w:spacing w:before="42" w:line="229" w:lineRule="auto"/>
              <w:ind w:left="15" w:right="4" w:firstLine="495"/>
            </w:pPr>
            <w:r>
              <w:rPr>
                <w:rFonts w:ascii="黑体" w:hAnsi="黑体" w:eastAsia="黑体" w:cs="黑体"/>
                <w:spacing w:val="1"/>
              </w:rPr>
              <w:t xml:space="preserve">第一百七十四条  </w:t>
            </w:r>
            <w:r>
              <w:rPr>
                <w:spacing w:val="1"/>
              </w:rPr>
              <w:t>国务院证券监督管理机构制定的规章、规</w:t>
            </w:r>
            <w:r>
              <w:rPr>
                <w:spacing w:val="8"/>
              </w:rPr>
              <w:t xml:space="preserve"> </w:t>
            </w:r>
            <w:r>
              <w:rPr>
                <w:spacing w:val="-3"/>
              </w:rPr>
              <w:t>则和监督管理工作制度应当</w:t>
            </w:r>
            <w:r>
              <w:rPr>
                <w:rFonts w:ascii="黑体" w:hAnsi="黑体" w:eastAsia="黑体" w:cs="黑体"/>
                <w:spacing w:val="-3"/>
              </w:rPr>
              <w:t>依法</w:t>
            </w:r>
            <w:r>
              <w:rPr>
                <w:spacing w:val="-3"/>
              </w:rPr>
              <w:t>公开。</w:t>
            </w:r>
          </w:p>
          <w:p>
            <w:pPr>
              <w:pStyle w:val="8"/>
              <w:spacing w:before="29" w:line="223" w:lineRule="auto"/>
              <w:ind w:left="42" w:right="4" w:firstLine="488"/>
            </w:pPr>
            <w:r>
              <w:t>国务院证券监督管理机构依据调查结果，对证券违法行为作</w:t>
            </w:r>
            <w:r>
              <w:rPr>
                <w:spacing w:val="14"/>
              </w:rPr>
              <w:t xml:space="preserve"> </w:t>
            </w:r>
            <w:r>
              <w:rPr>
                <w:spacing w:val="-7"/>
              </w:rPr>
              <w:t>出的处罚决定，应当公开。</w:t>
            </w:r>
          </w:p>
        </w:tc>
      </w:tr>
    </w:tbl>
    <w:p>
      <w:pPr>
        <w:rPr>
          <w:rFonts w:ascii="Arial"/>
          <w:sz w:val="21"/>
        </w:rPr>
      </w:pPr>
    </w:p>
    <w:p>
      <w:pPr>
        <w:rPr>
          <w:rFonts w:ascii="Arial" w:hAnsi="Arial" w:eastAsia="Arial" w:cs="Arial"/>
          <w:sz w:val="21"/>
          <w:szCs w:val="21"/>
        </w:rPr>
        <w:sectPr>
          <w:footerReference r:id="rId51"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11"/>
        <w:gridCol w:w="487"/>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7098" w:type="dxa"/>
            <w:gridSpan w:val="2"/>
            <w:vAlign w:val="top"/>
          </w:tcPr>
          <w:p>
            <w:pPr>
              <w:pStyle w:val="8"/>
              <w:spacing w:before="40" w:line="229" w:lineRule="auto"/>
              <w:ind w:left="15" w:firstLine="497"/>
            </w:pPr>
            <w:r>
              <w:rPr>
                <w:rFonts w:ascii="黑体" w:hAnsi="黑体" w:eastAsia="黑体" w:cs="黑体"/>
                <w:spacing w:val="3"/>
              </w:rPr>
              <w:t xml:space="preserve">第一百八十五条  </w:t>
            </w:r>
            <w:r>
              <w:rPr>
                <w:spacing w:val="3"/>
              </w:rPr>
              <w:t>国务院证券监督管理机构应当与国务院其他</w:t>
            </w:r>
            <w:r>
              <w:rPr>
                <w:spacing w:val="4"/>
              </w:rPr>
              <w:t xml:space="preserve"> </w:t>
            </w:r>
            <w:r>
              <w:rPr>
                <w:spacing w:val="-3"/>
              </w:rPr>
              <w:t>金融监督管理机构建立监督管理信息共享机制。</w:t>
            </w:r>
          </w:p>
          <w:p>
            <w:pPr>
              <w:pStyle w:val="8"/>
              <w:spacing w:before="26" w:line="226" w:lineRule="auto"/>
              <w:ind w:left="13" w:firstLine="520"/>
            </w:pPr>
            <w:r>
              <w:rPr>
                <w:spacing w:val="2"/>
              </w:rPr>
              <w:t>国务院证券监督管理机构依法履行职责，进行监督检查或者调</w:t>
            </w:r>
            <w:r>
              <w:rPr>
                <w:spacing w:val="14"/>
              </w:rPr>
              <w:t xml:space="preserve"> </w:t>
            </w:r>
            <w:r>
              <w:rPr>
                <w:spacing w:val="-4"/>
              </w:rPr>
              <w:t>查时，有关部门应当予以配合。</w:t>
            </w:r>
          </w:p>
        </w:tc>
        <w:tc>
          <w:tcPr>
            <w:tcW w:w="6809" w:type="dxa"/>
            <w:vAlign w:val="top"/>
          </w:tcPr>
          <w:p>
            <w:pPr>
              <w:pStyle w:val="8"/>
              <w:spacing w:before="40" w:line="229" w:lineRule="auto"/>
              <w:ind w:left="9" w:right="4" w:firstLine="503"/>
            </w:pPr>
            <w:r>
              <w:rPr>
                <w:rFonts w:ascii="黑体" w:hAnsi="黑体" w:eastAsia="黑体" w:cs="黑体"/>
                <w:spacing w:val="1"/>
              </w:rPr>
              <w:t xml:space="preserve">第一百七十五条  </w:t>
            </w:r>
            <w:r>
              <w:rPr>
                <w:spacing w:val="1"/>
              </w:rPr>
              <w:t>国务院证券监督管理机构应当与国务院其</w:t>
            </w:r>
            <w:r>
              <w:rPr>
                <w:spacing w:val="8"/>
              </w:rPr>
              <w:t xml:space="preserve"> </w:t>
            </w:r>
            <w:r>
              <w:rPr>
                <w:spacing w:val="-3"/>
              </w:rPr>
              <w:t>他金融监督管理机构建立监督管理信息共享机制。</w:t>
            </w:r>
          </w:p>
          <w:p>
            <w:pPr>
              <w:pStyle w:val="8"/>
              <w:spacing w:before="26" w:line="226" w:lineRule="auto"/>
              <w:ind w:left="13" w:right="7" w:firstLine="519"/>
            </w:pPr>
            <w:r>
              <w:rPr>
                <w:spacing w:val="-4"/>
              </w:rPr>
              <w:t>国务院证券监督管理机构依法履行职责， 进行监督检查或者</w:t>
            </w:r>
            <w:r>
              <w:t xml:space="preserve"> </w:t>
            </w:r>
            <w:r>
              <w:rPr>
                <w:spacing w:val="-4"/>
              </w:rPr>
              <w:t>调查时，有关部门应当予以配合。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7098" w:type="dxa"/>
            <w:gridSpan w:val="2"/>
            <w:vAlign w:val="top"/>
          </w:tcPr>
          <w:p>
            <w:pPr>
              <w:rPr>
                <w:rFonts w:ascii="Arial"/>
                <w:sz w:val="21"/>
              </w:rPr>
            </w:pPr>
          </w:p>
        </w:tc>
        <w:tc>
          <w:tcPr>
            <w:tcW w:w="6809" w:type="dxa"/>
            <w:vAlign w:val="top"/>
          </w:tcPr>
          <w:p>
            <w:pPr>
              <w:spacing w:before="31" w:line="230" w:lineRule="auto"/>
              <w:ind w:left="13" w:right="4" w:firstLine="499"/>
              <w:rPr>
                <w:rFonts w:ascii="黑体" w:hAnsi="黑体" w:eastAsia="黑体" w:cs="黑体"/>
                <w:sz w:val="24"/>
                <w:szCs w:val="24"/>
              </w:rPr>
            </w:pPr>
            <w:r>
              <w:rPr>
                <w:rFonts w:ascii="黑体" w:hAnsi="黑体" w:eastAsia="黑体" w:cs="黑体"/>
                <w:spacing w:val="-3"/>
                <w:sz w:val="24"/>
                <w:szCs w:val="24"/>
              </w:rPr>
              <w:t>第一百七十六条  对涉嫌证券违法、违规行为， 任何单位和</w:t>
            </w:r>
            <w:r>
              <w:rPr>
                <w:rFonts w:ascii="黑体" w:hAnsi="黑体" w:eastAsia="黑体" w:cs="黑体"/>
                <w:sz w:val="24"/>
                <w:szCs w:val="24"/>
              </w:rPr>
              <w:t xml:space="preserve"> </w:t>
            </w:r>
            <w:r>
              <w:rPr>
                <w:rFonts w:ascii="黑体" w:hAnsi="黑体" w:eastAsia="黑体" w:cs="黑体"/>
                <w:spacing w:val="-2"/>
                <w:sz w:val="24"/>
                <w:szCs w:val="24"/>
              </w:rPr>
              <w:t>个人有权向国务院证券监督管理机构举报。</w:t>
            </w:r>
          </w:p>
          <w:p>
            <w:pPr>
              <w:spacing w:before="23" w:line="230" w:lineRule="auto"/>
              <w:ind w:left="27" w:right="60" w:firstLine="483"/>
              <w:rPr>
                <w:rFonts w:ascii="黑体" w:hAnsi="黑体" w:eastAsia="黑体" w:cs="黑体"/>
                <w:sz w:val="24"/>
                <w:szCs w:val="24"/>
              </w:rPr>
            </w:pPr>
            <w:r>
              <w:rPr>
                <w:rFonts w:ascii="黑体" w:hAnsi="黑体" w:eastAsia="黑体" w:cs="黑体"/>
                <w:spacing w:val="-1"/>
                <w:sz w:val="24"/>
                <w:szCs w:val="24"/>
              </w:rPr>
              <w:t>对涉嫌重大违法、违规行为的实名举报线索经查证属实的，</w:t>
            </w:r>
            <w:r>
              <w:rPr>
                <w:rFonts w:ascii="黑体" w:hAnsi="黑体" w:eastAsia="黑体" w:cs="黑体"/>
                <w:spacing w:val="7"/>
                <w:sz w:val="24"/>
                <w:szCs w:val="24"/>
              </w:rPr>
              <w:t xml:space="preserve"> </w:t>
            </w:r>
            <w:r>
              <w:rPr>
                <w:rFonts w:ascii="黑体" w:hAnsi="黑体" w:eastAsia="黑体" w:cs="黑体"/>
                <w:spacing w:val="-3"/>
                <w:sz w:val="24"/>
                <w:szCs w:val="24"/>
              </w:rPr>
              <w:t>国务院证券监督管理机构按照规定给予举报人奖励。</w:t>
            </w:r>
          </w:p>
          <w:p>
            <w:pPr>
              <w:spacing w:before="24" w:line="209" w:lineRule="auto"/>
              <w:ind w:left="527"/>
              <w:rPr>
                <w:rFonts w:ascii="黑体" w:hAnsi="黑体" w:eastAsia="黑体" w:cs="黑体"/>
                <w:sz w:val="24"/>
                <w:szCs w:val="24"/>
              </w:rPr>
            </w:pPr>
            <w:r>
              <w:rPr>
                <w:rFonts w:ascii="黑体" w:hAnsi="黑体" w:eastAsia="黑体" w:cs="黑体"/>
                <w:spacing w:val="-2"/>
                <w:sz w:val="24"/>
                <w:szCs w:val="24"/>
              </w:rPr>
              <w:t>国务院证券监督管理机构应当对举报人的身份信</w:t>
            </w:r>
            <w:r>
              <w:rPr>
                <w:rFonts w:ascii="黑体" w:hAnsi="黑体" w:eastAsia="黑体" w:cs="黑体"/>
                <w:spacing w:val="-3"/>
                <w:sz w:val="24"/>
                <w:szCs w:val="24"/>
              </w:rPr>
              <w:t>息保密。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0" w:hRule="atLeast"/>
        </w:trPr>
        <w:tc>
          <w:tcPr>
            <w:tcW w:w="7098" w:type="dxa"/>
            <w:gridSpan w:val="2"/>
            <w:vAlign w:val="top"/>
          </w:tcPr>
          <w:p>
            <w:pPr>
              <w:pStyle w:val="8"/>
              <w:spacing w:before="36" w:line="232" w:lineRule="auto"/>
              <w:ind w:left="8" w:firstLine="504"/>
              <w:jc w:val="both"/>
            </w:pPr>
            <w:r>
              <w:rPr>
                <w:rFonts w:ascii="黑体" w:hAnsi="黑体" w:eastAsia="黑体" w:cs="黑体"/>
                <w:spacing w:val="3"/>
              </w:rPr>
              <w:t xml:space="preserve">第一百七十九条第二款  </w:t>
            </w:r>
            <w:r>
              <w:rPr>
                <w:spacing w:val="3"/>
              </w:rPr>
              <w:t xml:space="preserve">国务院证券监督管理机构可以和其他 </w:t>
            </w:r>
            <w:r>
              <w:rPr>
                <w:spacing w:val="4"/>
              </w:rPr>
              <w:t>国家或者地区的证券监督管理机构建立监督管理合作机制，</w:t>
            </w:r>
            <w:r>
              <w:rPr>
                <w:spacing w:val="3"/>
              </w:rPr>
              <w:t>实施跨</w:t>
            </w:r>
            <w:r>
              <w:t xml:space="preserve"> </w:t>
            </w:r>
            <w:r>
              <w:rPr>
                <w:spacing w:val="-8"/>
              </w:rPr>
              <w:t>境监督管理。</w:t>
            </w:r>
          </w:p>
        </w:tc>
        <w:tc>
          <w:tcPr>
            <w:tcW w:w="6809" w:type="dxa"/>
            <w:vAlign w:val="top"/>
          </w:tcPr>
          <w:p>
            <w:pPr>
              <w:pStyle w:val="8"/>
              <w:spacing w:before="36" w:line="232" w:lineRule="auto"/>
              <w:ind w:left="13" w:right="4" w:firstLine="499"/>
              <w:jc w:val="both"/>
            </w:pPr>
            <w:r>
              <w:rPr>
                <w:rFonts w:ascii="黑体" w:hAnsi="黑体" w:eastAsia="黑体" w:cs="黑体"/>
                <w:spacing w:val="1"/>
              </w:rPr>
              <w:t xml:space="preserve">第一百七十七条  </w:t>
            </w:r>
            <w:r>
              <w:rPr>
                <w:spacing w:val="1"/>
              </w:rPr>
              <w:t>国务院证券监督管理机构可以和其他国家</w:t>
            </w:r>
            <w:r>
              <w:rPr>
                <w:spacing w:val="8"/>
              </w:rPr>
              <w:t xml:space="preserve"> </w:t>
            </w:r>
            <w:r>
              <w:rPr>
                <w:spacing w:val="-3"/>
              </w:rPr>
              <w:t>或者地区的证券监督管理机构建立监督管理合作机制， 实施跨境</w:t>
            </w:r>
            <w:r>
              <w:rPr>
                <w:spacing w:val="18"/>
              </w:rPr>
              <w:t xml:space="preserve"> </w:t>
            </w:r>
            <w:r>
              <w:rPr>
                <w:spacing w:val="-10"/>
              </w:rPr>
              <w:t>监督管理。</w:t>
            </w:r>
          </w:p>
          <w:p>
            <w:pPr>
              <w:spacing w:before="27" w:line="231" w:lineRule="auto"/>
              <w:ind w:left="14" w:right="6" w:firstLine="498"/>
              <w:jc w:val="both"/>
              <w:rPr>
                <w:rFonts w:ascii="黑体" w:hAnsi="黑体" w:eastAsia="黑体" w:cs="黑体"/>
                <w:sz w:val="24"/>
                <w:szCs w:val="24"/>
              </w:rPr>
            </w:pPr>
            <w:r>
              <w:rPr>
                <w:rFonts w:ascii="黑体" w:hAnsi="黑体" w:eastAsia="黑体" w:cs="黑体"/>
                <w:spacing w:val="1"/>
                <w:sz w:val="24"/>
                <w:szCs w:val="24"/>
              </w:rPr>
              <w:t>境外证券监督管理机构不得在中华人民共和国境内直接进行</w:t>
            </w:r>
            <w:r>
              <w:rPr>
                <w:rFonts w:ascii="黑体" w:hAnsi="黑体" w:eastAsia="黑体" w:cs="黑体"/>
                <w:spacing w:val="6"/>
                <w:sz w:val="24"/>
                <w:szCs w:val="24"/>
              </w:rPr>
              <w:t xml:space="preserve"> </w:t>
            </w:r>
            <w:r>
              <w:rPr>
                <w:rFonts w:ascii="黑体" w:hAnsi="黑体" w:eastAsia="黑体" w:cs="黑体"/>
                <w:spacing w:val="2"/>
                <w:sz w:val="24"/>
                <w:szCs w:val="24"/>
              </w:rPr>
              <w:t>调查取证等活动。未经国务院证券监督管理机构和国</w:t>
            </w:r>
            <w:r>
              <w:rPr>
                <w:rFonts w:ascii="黑体" w:hAnsi="黑体" w:eastAsia="黑体" w:cs="黑体"/>
                <w:spacing w:val="1"/>
                <w:sz w:val="24"/>
                <w:szCs w:val="24"/>
              </w:rPr>
              <w:t>务院有关主</w:t>
            </w:r>
            <w:r>
              <w:rPr>
                <w:rFonts w:ascii="黑体" w:hAnsi="黑体" w:eastAsia="黑体" w:cs="黑体"/>
                <w:sz w:val="24"/>
                <w:szCs w:val="24"/>
              </w:rPr>
              <w:t xml:space="preserve"> </w:t>
            </w:r>
            <w:r>
              <w:rPr>
                <w:rFonts w:ascii="黑体" w:hAnsi="黑体" w:eastAsia="黑体" w:cs="黑体"/>
                <w:spacing w:val="-3"/>
                <w:sz w:val="24"/>
                <w:szCs w:val="24"/>
              </w:rPr>
              <w:t>管部门同意， 任何单位和个人不得擅自向境外提供与证券业务活</w:t>
            </w:r>
            <w:r>
              <w:rPr>
                <w:rFonts w:ascii="黑体" w:hAnsi="黑体" w:eastAsia="黑体" w:cs="黑体"/>
                <w:spacing w:val="17"/>
                <w:sz w:val="24"/>
                <w:szCs w:val="24"/>
              </w:rPr>
              <w:t xml:space="preserve"> </w:t>
            </w:r>
            <w:r>
              <w:rPr>
                <w:rFonts w:ascii="黑体" w:hAnsi="黑体" w:eastAsia="黑体" w:cs="黑体"/>
                <w:spacing w:val="-4"/>
                <w:sz w:val="24"/>
                <w:szCs w:val="24"/>
              </w:rPr>
              <w:t>动有关的文件和资料。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7098" w:type="dxa"/>
            <w:gridSpan w:val="2"/>
            <w:vAlign w:val="top"/>
          </w:tcPr>
          <w:p>
            <w:pPr>
              <w:pStyle w:val="8"/>
              <w:spacing w:before="38" w:line="228" w:lineRule="auto"/>
              <w:ind w:left="20" w:firstLine="492"/>
            </w:pPr>
            <w:r>
              <w:rPr>
                <w:rFonts w:ascii="黑体" w:hAnsi="黑体" w:eastAsia="黑体" w:cs="黑体"/>
                <w:spacing w:val="-1"/>
              </w:rPr>
              <w:t xml:space="preserve">第一百八十六条  </w:t>
            </w:r>
            <w:r>
              <w:rPr>
                <w:spacing w:val="-1"/>
              </w:rPr>
              <w:t>国务院证券监督管理机构依法履行职责</w:t>
            </w:r>
            <w:r>
              <w:rPr>
                <w:spacing w:val="-2"/>
              </w:rPr>
              <w:t>， 发</w:t>
            </w:r>
            <w:r>
              <w:t xml:space="preserve"> </w:t>
            </w:r>
            <w:r>
              <w:rPr>
                <w:spacing w:val="-3"/>
              </w:rPr>
              <w:t>现证券违法行为涉嫌犯罪的，应当将案件移送司法机关处理。</w:t>
            </w:r>
          </w:p>
        </w:tc>
        <w:tc>
          <w:tcPr>
            <w:tcW w:w="6809" w:type="dxa"/>
            <w:vAlign w:val="top"/>
          </w:tcPr>
          <w:p>
            <w:pPr>
              <w:pStyle w:val="8"/>
              <w:spacing w:before="38" w:line="231" w:lineRule="auto"/>
              <w:ind w:left="12" w:right="6" w:firstLine="500"/>
              <w:rPr>
                <w:rFonts w:ascii="黑体" w:hAnsi="黑体" w:eastAsia="黑体" w:cs="黑体"/>
              </w:rPr>
            </w:pPr>
            <w:r>
              <w:rPr>
                <w:rFonts w:ascii="黑体" w:hAnsi="黑体" w:eastAsia="黑体" w:cs="黑体"/>
                <w:spacing w:val="1"/>
              </w:rPr>
              <w:t xml:space="preserve">第一百七十八条  </w:t>
            </w:r>
            <w:r>
              <w:rPr>
                <w:spacing w:val="1"/>
              </w:rPr>
              <w:t>国务院证券监督管理机构依法履行职责，</w:t>
            </w:r>
            <w:r>
              <w:rPr>
                <w:spacing w:val="3"/>
              </w:rPr>
              <w:t xml:space="preserve"> </w:t>
            </w:r>
            <w:r>
              <w:rPr>
                <w:spacing w:val="-2"/>
              </w:rPr>
              <w:t>发现证券违法行为涉嫌犯罪的， 应当依法将</w:t>
            </w:r>
            <w:r>
              <w:rPr>
                <w:spacing w:val="-3"/>
              </w:rPr>
              <w:t>案件移送司法机关处</w:t>
            </w:r>
            <w:r>
              <w:t xml:space="preserve"> </w:t>
            </w:r>
            <w:r>
              <w:rPr>
                <w:spacing w:val="-6"/>
              </w:rPr>
              <w:t xml:space="preserve">理； </w:t>
            </w:r>
            <w:r>
              <w:rPr>
                <w:rFonts w:ascii="黑体" w:hAnsi="黑体" w:eastAsia="黑体" w:cs="黑体"/>
                <w:spacing w:val="-6"/>
              </w:rPr>
              <w:t>发现公职人员涉嫌职务违法或者职务犯罪的，</w:t>
            </w:r>
            <w:r>
              <w:rPr>
                <w:rFonts w:ascii="黑体" w:hAnsi="黑体" w:eastAsia="黑体" w:cs="黑体"/>
                <w:spacing w:val="-7"/>
              </w:rPr>
              <w:t xml:space="preserve"> 应当依法移送</w:t>
            </w:r>
            <w:r>
              <w:rPr>
                <w:rFonts w:ascii="黑体" w:hAnsi="黑体" w:eastAsia="黑体" w:cs="黑体"/>
              </w:rPr>
              <w:t xml:space="preserve"> </w:t>
            </w:r>
            <w:r>
              <w:rPr>
                <w:rFonts w:ascii="黑体" w:hAnsi="黑体" w:eastAsia="黑体" w:cs="黑体"/>
                <w:spacing w:val="-5"/>
              </w:rPr>
              <w:t>监察机关处理。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7098" w:type="dxa"/>
            <w:gridSpan w:val="2"/>
            <w:tcBorders>
              <w:bottom w:val="nil"/>
            </w:tcBorders>
            <w:vAlign w:val="top"/>
          </w:tcPr>
          <w:p>
            <w:pPr>
              <w:pStyle w:val="8"/>
              <w:spacing w:before="40" w:line="225" w:lineRule="auto"/>
              <w:ind w:left="18" w:firstLine="494"/>
            </w:pPr>
            <w:r>
              <w:rPr>
                <w:rFonts w:ascii="黑体" w:hAnsi="黑体" w:eastAsia="黑体" w:cs="黑体"/>
                <w:spacing w:val="3"/>
              </w:rPr>
              <w:t xml:space="preserve">第一百八十二条  </w:t>
            </w:r>
            <w:r>
              <w:rPr>
                <w:spacing w:val="3"/>
              </w:rPr>
              <w:t>国务院证券监督管理机构工作人员必须忠于</w:t>
            </w:r>
            <w:r>
              <w:rPr>
                <w:spacing w:val="4"/>
              </w:rPr>
              <w:t xml:space="preserve"> </w:t>
            </w:r>
            <w:r>
              <w:rPr>
                <w:spacing w:val="3"/>
              </w:rPr>
              <w:t>职守，依法办事，公正廉洁，不得利用职务便利牟取不正当利益，</w:t>
            </w:r>
            <w:r>
              <w:rPr>
                <w:spacing w:val="14"/>
              </w:rPr>
              <w:t xml:space="preserve"> </w:t>
            </w:r>
            <w:r>
              <w:rPr>
                <w:spacing w:val="-3"/>
              </w:rPr>
              <w:t>不得泄露所知悉的有关单位和个人的商业秘密。</w:t>
            </w:r>
          </w:p>
        </w:tc>
        <w:tc>
          <w:tcPr>
            <w:tcW w:w="6809" w:type="dxa"/>
            <w:vMerge w:val="restart"/>
            <w:tcBorders>
              <w:bottom w:val="nil"/>
            </w:tcBorders>
            <w:vAlign w:val="top"/>
          </w:tcPr>
          <w:p>
            <w:pPr>
              <w:pStyle w:val="8"/>
              <w:spacing w:before="37" w:line="232" w:lineRule="auto"/>
              <w:ind w:left="25" w:right="4" w:firstLine="487"/>
              <w:jc w:val="both"/>
            </w:pPr>
            <w:r>
              <w:rPr>
                <w:rFonts w:ascii="黑体" w:hAnsi="黑体" w:eastAsia="黑体" w:cs="黑体"/>
                <w:spacing w:val="1"/>
              </w:rPr>
              <w:t xml:space="preserve">第一百七十九条  </w:t>
            </w:r>
            <w:r>
              <w:rPr>
                <w:spacing w:val="1"/>
              </w:rPr>
              <w:t>国务院证券监督管理机构工作人员必须忠</w:t>
            </w:r>
            <w:r>
              <w:rPr>
                <w:spacing w:val="8"/>
              </w:rPr>
              <w:t xml:space="preserve"> </w:t>
            </w:r>
            <w:r>
              <w:rPr>
                <w:spacing w:val="-3"/>
              </w:rPr>
              <w:t>于职守</w:t>
            </w:r>
            <w:r>
              <w:rPr>
                <w:spacing w:val="-3"/>
                <w14:textOutline w14:w="3810" w14:cap="rnd" w14:cmpd="sng">
                  <w14:solidFill>
                    <w14:srgbClr w14:val="000000"/>
                  </w14:solidFill>
                  <w14:prstDash w14:val="solid"/>
                  <w14:round/>
                </w14:textOutline>
              </w:rPr>
              <w:t>、</w:t>
            </w:r>
            <w:r>
              <w:rPr>
                <w:spacing w:val="-3"/>
              </w:rPr>
              <w:t>依法办事</w:t>
            </w:r>
            <w:r>
              <w:rPr>
                <w:spacing w:val="-3"/>
                <w14:textOutline w14:w="3810" w14:cap="rnd" w14:cmpd="sng">
                  <w14:solidFill>
                    <w14:srgbClr w14:val="000000"/>
                  </w14:solidFill>
                  <w14:prstDash w14:val="solid"/>
                  <w14:round/>
                </w14:textOutline>
              </w:rPr>
              <w:t>、</w:t>
            </w:r>
            <w:r>
              <w:rPr>
                <w:spacing w:val="-3"/>
              </w:rPr>
              <w:t>公正廉洁， 不得利用职务便利牟取不正当利</w:t>
            </w:r>
            <w:r>
              <w:rPr>
                <w:spacing w:val="7"/>
              </w:rPr>
              <w:t xml:space="preserve"> </w:t>
            </w:r>
            <w:r>
              <w:rPr>
                <w:spacing w:val="-3"/>
              </w:rPr>
              <w:t>益，不得泄露所知悉的有关单位和个人的商业秘密。</w:t>
            </w:r>
          </w:p>
          <w:p>
            <w:pPr>
              <w:pStyle w:val="8"/>
              <w:spacing w:before="32" w:line="230" w:lineRule="auto"/>
              <w:ind w:left="11" w:right="4" w:firstLine="521"/>
              <w:jc w:val="both"/>
              <w:rPr>
                <w:rFonts w:ascii="黑体" w:hAnsi="黑体" w:eastAsia="黑体" w:cs="黑体"/>
              </w:rPr>
            </w:pPr>
            <w:r>
              <w:rPr>
                <w:spacing w:val="-5"/>
              </w:rPr>
              <w:t>国务院证券监督管理机构工作人员</w:t>
            </w:r>
            <w:r>
              <w:rPr>
                <w:rFonts w:ascii="黑体" w:hAnsi="黑体" w:eastAsia="黑体" w:cs="黑体"/>
                <w:spacing w:val="-5"/>
              </w:rPr>
              <w:t>在任职期间</w:t>
            </w:r>
            <w:r>
              <w:rPr>
                <w:rFonts w:ascii="黑体" w:hAnsi="黑体" w:eastAsia="黑体" w:cs="黑体"/>
                <w:spacing w:val="-6"/>
              </w:rPr>
              <w:t>，</w:t>
            </w:r>
            <w:r>
              <w:rPr>
                <w:rFonts w:ascii="黑体" w:hAnsi="黑体" w:eastAsia="黑体" w:cs="黑体"/>
                <w:spacing w:val="30"/>
              </w:rPr>
              <w:t xml:space="preserve"> </w:t>
            </w:r>
            <w:r>
              <w:rPr>
                <w:rFonts w:ascii="黑体" w:hAnsi="黑体" w:eastAsia="黑体" w:cs="黑体"/>
                <w:spacing w:val="-6"/>
              </w:rPr>
              <w:t>或者离职后</w:t>
            </w:r>
            <w:r>
              <w:rPr>
                <w:rFonts w:ascii="黑体" w:hAnsi="黑体" w:eastAsia="黑体" w:cs="黑体"/>
              </w:rPr>
              <w:t xml:space="preserve"> </w:t>
            </w:r>
            <w:r>
              <w:rPr>
                <w:rFonts w:ascii="黑体" w:hAnsi="黑体" w:eastAsia="黑体" w:cs="黑体"/>
                <w:spacing w:val="2"/>
              </w:rPr>
              <w:t>在《中华人民共和国公务员法》规定的期限内，</w:t>
            </w:r>
            <w:r>
              <w:rPr>
                <w:spacing w:val="2"/>
              </w:rPr>
              <w:t>不得到与原</w:t>
            </w:r>
            <w:r>
              <w:rPr>
                <w:rFonts w:ascii="黑体" w:hAnsi="黑体" w:eastAsia="黑体" w:cs="黑体"/>
                <w:spacing w:val="1"/>
              </w:rPr>
              <w:t>工作</w:t>
            </w:r>
            <w:r>
              <w:rPr>
                <w:rFonts w:ascii="黑体" w:hAnsi="黑体" w:eastAsia="黑体" w:cs="黑体"/>
              </w:rPr>
              <w:t xml:space="preserve"> </w:t>
            </w:r>
            <w:r>
              <w:rPr>
                <w:rFonts w:ascii="黑体" w:hAnsi="黑体" w:eastAsia="黑体" w:cs="黑体"/>
                <w:spacing w:val="2"/>
              </w:rPr>
              <w:t>业务直接相关的企业或者其他营利性组织</w:t>
            </w:r>
            <w:r>
              <w:rPr>
                <w:spacing w:val="2"/>
              </w:rPr>
              <w:t>任职，</w:t>
            </w:r>
            <w:r>
              <w:rPr>
                <w:rFonts w:ascii="黑体" w:hAnsi="黑体" w:eastAsia="黑体" w:cs="黑体"/>
                <w:spacing w:val="2"/>
              </w:rPr>
              <w:t>不得从事与原工</w:t>
            </w:r>
            <w:r>
              <w:rPr>
                <w:rFonts w:ascii="黑体" w:hAnsi="黑体" w:eastAsia="黑体" w:cs="黑体"/>
              </w:rPr>
              <w:t xml:space="preserve"> </w:t>
            </w:r>
            <w:r>
              <w:rPr>
                <w:rFonts w:ascii="黑体" w:hAnsi="黑体" w:eastAsia="黑体" w:cs="黑体"/>
                <w:spacing w:val="-3"/>
              </w:rPr>
              <w:t>作业务直接相关的营利性活动。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6611" w:type="dxa"/>
            <w:vMerge w:val="restart"/>
            <w:tcBorders>
              <w:top w:val="nil"/>
              <w:bottom w:val="nil"/>
              <w:right w:val="nil"/>
            </w:tcBorders>
            <w:vAlign w:val="top"/>
          </w:tcPr>
          <w:p>
            <w:pPr>
              <w:pStyle w:val="8"/>
              <w:tabs>
                <w:tab w:val="left" w:pos="525"/>
              </w:tabs>
              <w:spacing w:before="37" w:line="227" w:lineRule="auto"/>
              <w:ind w:left="16" w:right="3" w:hanging="10"/>
            </w:pPr>
            <w:r>
              <w:rPr>
                <w:u w:val="single" w:color="auto"/>
              </w:rPr>
              <w:tab/>
            </w:r>
            <w:r>
              <w:rPr>
                <w:u w:val="single" w:color="auto"/>
              </w:rPr>
              <w:tab/>
            </w:r>
            <w:r>
              <w:rPr>
                <w:spacing w:val="3"/>
                <w:u w:val="single" w:color="auto"/>
              </w:rPr>
              <w:t>第一</w:t>
            </w:r>
            <w:r>
              <w:rPr>
                <w:spacing w:val="3"/>
              </w:rPr>
              <w:t>百八十七条  国务院证券监督管理机</w:t>
            </w:r>
            <w:r>
              <w:rPr>
                <w:spacing w:val="2"/>
              </w:rPr>
              <w:t>构的人员不得在</w:t>
            </w:r>
            <w:r>
              <w:t xml:space="preserve"> </w:t>
            </w:r>
            <w:r>
              <w:rPr>
                <w:spacing w:val="-10"/>
                <w:u w:val="single" w:color="auto"/>
                <w:shd w:val="clear" w:fill="D9D9D9"/>
              </w:rPr>
              <w:t>管的机构</w:t>
            </w:r>
            <w:r>
              <w:rPr>
                <w:position w:val="-7"/>
              </w:rPr>
              <w:drawing>
                <wp:inline distT="0" distB="0" distL="0" distR="0">
                  <wp:extent cx="635" cy="194945"/>
                  <wp:effectExtent l="0" t="0" r="0" b="0"/>
                  <wp:docPr id="772" name="IM 772"/>
                  <wp:cNvGraphicFramePr/>
                  <a:graphic xmlns:a="http://schemas.openxmlformats.org/drawingml/2006/main">
                    <a:graphicData uri="http://schemas.openxmlformats.org/drawingml/2006/picture">
                      <pic:pic xmlns:pic="http://schemas.openxmlformats.org/drawingml/2006/picture">
                        <pic:nvPicPr>
                          <pic:cNvPr id="772" name="IM 772"/>
                          <pic:cNvPicPr/>
                        </pic:nvPicPr>
                        <pic:blipFill>
                          <a:blip r:embed="rId76"/>
                          <a:stretch>
                            <a:fillRect/>
                          </a:stretch>
                        </pic:blipFill>
                        <pic:spPr>
                          <a:xfrm>
                            <a:off x="0" y="0"/>
                            <a:ext cx="889" cy="195071"/>
                          </a:xfrm>
                          <a:prstGeom prst="rect">
                            <a:avLst/>
                          </a:prstGeom>
                        </pic:spPr>
                      </pic:pic>
                    </a:graphicData>
                  </a:graphic>
                </wp:inline>
              </w:drawing>
            </w:r>
            <w:r>
              <w:rPr>
                <w:position w:val="-7"/>
              </w:rPr>
              <w:drawing>
                <wp:inline distT="0" distB="0" distL="0" distR="0">
                  <wp:extent cx="635" cy="1270"/>
                  <wp:effectExtent l="0" t="0" r="0" b="0"/>
                  <wp:docPr id="774" name="IM 774"/>
                  <wp:cNvGraphicFramePr/>
                  <a:graphic xmlns:a="http://schemas.openxmlformats.org/drawingml/2006/main">
                    <a:graphicData uri="http://schemas.openxmlformats.org/drawingml/2006/picture">
                      <pic:pic xmlns:pic="http://schemas.openxmlformats.org/drawingml/2006/picture">
                        <pic:nvPicPr>
                          <pic:cNvPr id="774" name="IM 774"/>
                          <pic:cNvPicPr/>
                        </pic:nvPicPr>
                        <pic:blipFill>
                          <a:blip r:embed="rId95"/>
                          <a:stretch>
                            <a:fillRect/>
                          </a:stretch>
                        </pic:blipFill>
                        <pic:spPr>
                          <a:xfrm>
                            <a:off x="0" y="0"/>
                            <a:ext cx="889" cy="1523"/>
                          </a:xfrm>
                          <a:prstGeom prst="rect">
                            <a:avLst/>
                          </a:prstGeom>
                        </pic:spPr>
                      </pic:pic>
                    </a:graphicData>
                  </a:graphic>
                </wp:inline>
              </w:drawing>
            </w:r>
            <w:r>
              <w:rPr>
                <w:spacing w:val="-79"/>
              </w:rPr>
              <w:t xml:space="preserve"> </w:t>
            </w:r>
            <w:r>
              <w:rPr>
                <w:spacing w:val="-10"/>
              </w:rPr>
              <w:t>中任职。</w:t>
            </w:r>
          </w:p>
        </w:tc>
        <w:tc>
          <w:tcPr>
            <w:tcW w:w="487" w:type="dxa"/>
            <w:tcBorders>
              <w:top w:val="single" w:color="000000" w:sz="2" w:space="0"/>
              <w:left w:val="single" w:color="000000" w:sz="2" w:space="0"/>
              <w:bottom w:val="single" w:color="000000" w:sz="2" w:space="0"/>
            </w:tcBorders>
            <w:shd w:val="clear" w:color="auto" w:fill="D9D9D9"/>
            <w:vAlign w:val="top"/>
          </w:tcPr>
          <w:p>
            <w:pPr>
              <w:pStyle w:val="8"/>
              <w:spacing w:before="38" w:line="195" w:lineRule="auto"/>
              <w:jc w:val="right"/>
            </w:pPr>
            <w:r>
              <w:rPr>
                <w:spacing w:val="-3"/>
              </w:rPr>
              <w:t>被监</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6611" w:type="dxa"/>
            <w:vMerge w:val="continue"/>
            <w:tcBorders>
              <w:top w:val="nil"/>
              <w:right w:val="nil"/>
            </w:tcBorders>
            <w:vAlign w:val="top"/>
          </w:tcPr>
          <w:p>
            <w:pPr>
              <w:rPr>
                <w:rFonts w:ascii="Arial"/>
                <w:sz w:val="21"/>
              </w:rPr>
            </w:pPr>
          </w:p>
        </w:tc>
        <w:tc>
          <w:tcPr>
            <w:tcW w:w="487" w:type="dxa"/>
            <w:tcBorders>
              <w:top w:val="single" w:color="000000" w:sz="2" w:space="0"/>
              <w:left w:val="nil"/>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098" w:type="dxa"/>
            <w:gridSpan w:val="2"/>
            <w:vAlign w:val="top"/>
          </w:tcPr>
          <w:p>
            <w:pPr>
              <w:spacing w:before="42" w:line="221" w:lineRule="auto"/>
              <w:ind w:left="2471"/>
              <w:rPr>
                <w:rFonts w:ascii="黑体" w:hAnsi="黑体" w:eastAsia="黑体" w:cs="黑体"/>
                <w:sz w:val="24"/>
                <w:szCs w:val="24"/>
              </w:rPr>
            </w:pPr>
            <w:r>
              <w:rPr>
                <w:rFonts w:ascii="黑体" w:hAnsi="黑体" w:eastAsia="黑体" w:cs="黑体"/>
                <w:spacing w:val="-1"/>
                <w:sz w:val="24"/>
                <w:szCs w:val="24"/>
              </w:rPr>
              <w:t>第十一章  法律责任</w:t>
            </w:r>
          </w:p>
        </w:tc>
        <w:tc>
          <w:tcPr>
            <w:tcW w:w="6809" w:type="dxa"/>
            <w:vAlign w:val="top"/>
          </w:tcPr>
          <w:p>
            <w:pPr>
              <w:spacing w:before="42" w:line="221" w:lineRule="auto"/>
              <w:ind w:left="2324"/>
              <w:rPr>
                <w:rFonts w:ascii="黑体" w:hAnsi="黑体" w:eastAsia="黑体" w:cs="黑体"/>
                <w:sz w:val="24"/>
                <w:szCs w:val="24"/>
              </w:rPr>
            </w:pPr>
            <w:r>
              <w:rPr>
                <w:rFonts w:ascii="黑体" w:hAnsi="黑体" w:eastAsia="黑体" w:cs="黑体"/>
                <w:spacing w:val="-1"/>
                <w:sz w:val="24"/>
                <w:szCs w:val="24"/>
              </w:rPr>
              <w:t>第十三章  法律责任</w:t>
            </w:r>
          </w:p>
        </w:tc>
      </w:tr>
    </w:tbl>
    <w:p>
      <w:pPr>
        <w:rPr>
          <w:rFonts w:ascii="Arial"/>
          <w:sz w:val="21"/>
        </w:rPr>
      </w:pPr>
    </w:p>
    <w:p>
      <w:pPr>
        <w:rPr>
          <w:rFonts w:ascii="Arial" w:hAnsi="Arial" w:eastAsia="Arial" w:cs="Arial"/>
          <w:sz w:val="21"/>
          <w:szCs w:val="21"/>
        </w:rPr>
        <w:sectPr>
          <w:footerReference r:id="rId52"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3"/>
        <w:gridCol w:w="4886"/>
        <w:gridCol w:w="255"/>
        <w:gridCol w:w="6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6" w:hRule="atLeast"/>
        </w:trPr>
        <w:tc>
          <w:tcPr>
            <w:tcW w:w="7094" w:type="dxa"/>
            <w:gridSpan w:val="3"/>
            <w:vAlign w:val="top"/>
          </w:tcPr>
          <w:p>
            <w:pPr>
              <w:pStyle w:val="8"/>
              <w:spacing w:before="12"/>
              <w:ind w:left="13" w:firstLine="499"/>
              <w:jc w:val="both"/>
            </w:pPr>
            <w:r>
              <w:rPr>
                <w:rFonts w:ascii="黑体" w:hAnsi="黑体" w:eastAsia="黑体" w:cs="黑体"/>
                <w:spacing w:val="2"/>
              </w:rPr>
              <w:t xml:space="preserve">第一百八十八条  </w:t>
            </w:r>
            <w:r>
              <w:rPr>
                <w:position w:val="-7"/>
              </w:rPr>
              <w:drawing>
                <wp:inline distT="0" distB="0" distL="0" distR="0">
                  <wp:extent cx="6350" cy="203835"/>
                  <wp:effectExtent l="0" t="0" r="0" b="0"/>
                  <wp:docPr id="776" name="IM 776"/>
                  <wp:cNvGraphicFramePr/>
                  <a:graphic xmlns:a="http://schemas.openxmlformats.org/drawingml/2006/main">
                    <a:graphicData uri="http://schemas.openxmlformats.org/drawingml/2006/picture">
                      <pic:pic xmlns:pic="http://schemas.openxmlformats.org/drawingml/2006/picture">
                        <pic:nvPicPr>
                          <pic:cNvPr id="776" name="IM 776"/>
                          <pic:cNvPicPr/>
                        </pic:nvPicPr>
                        <pic:blipFill>
                          <a:blip r:embed="rId83"/>
                          <a:stretch>
                            <a:fillRect/>
                          </a:stretch>
                        </pic:blipFill>
                        <pic:spPr>
                          <a:xfrm>
                            <a:off x="0" y="0"/>
                            <a:ext cx="6850" cy="204465"/>
                          </a:xfrm>
                          <a:prstGeom prst="rect">
                            <a:avLst/>
                          </a:prstGeom>
                        </pic:spPr>
                      </pic:pic>
                    </a:graphicData>
                  </a:graphic>
                </wp:inline>
              </w:drawing>
            </w:r>
            <w:r>
              <w:rPr>
                <w:spacing w:val="2"/>
                <w:u w:val="single" w:color="auto"/>
                <w:shd w:val="clear" w:fill="D9D9D9"/>
              </w:rPr>
              <w:t>未经法定机关核准</w:t>
            </w:r>
            <w:r>
              <w:rPr>
                <w:position w:val="-7"/>
              </w:rPr>
              <w:drawing>
                <wp:inline distT="0" distB="0" distL="0" distR="0">
                  <wp:extent cx="6350" cy="203835"/>
                  <wp:effectExtent l="0" t="0" r="0" b="0"/>
                  <wp:docPr id="778" name="IM 778"/>
                  <wp:cNvGraphicFramePr/>
                  <a:graphic xmlns:a="http://schemas.openxmlformats.org/drawingml/2006/main">
                    <a:graphicData uri="http://schemas.openxmlformats.org/drawingml/2006/picture">
                      <pic:pic xmlns:pic="http://schemas.openxmlformats.org/drawingml/2006/picture">
                        <pic:nvPicPr>
                          <pic:cNvPr id="778" name="IM 778"/>
                          <pic:cNvPicPr/>
                        </pic:nvPicPr>
                        <pic:blipFill>
                          <a:blip r:embed="rId70"/>
                          <a:stretch>
                            <a:fillRect/>
                          </a:stretch>
                        </pic:blipFill>
                        <pic:spPr>
                          <a:xfrm>
                            <a:off x="0" y="0"/>
                            <a:ext cx="6850" cy="204465"/>
                          </a:xfrm>
                          <a:prstGeom prst="rect">
                            <a:avLst/>
                          </a:prstGeom>
                        </pic:spPr>
                      </pic:pic>
                    </a:graphicData>
                  </a:graphic>
                </wp:inline>
              </w:drawing>
            </w:r>
            <w:r>
              <w:rPr>
                <w:spacing w:val="2"/>
              </w:rPr>
              <w:t>，擅自公开或者变相公开</w:t>
            </w:r>
            <w:r>
              <w:rPr>
                <w:spacing w:val="1"/>
              </w:rPr>
              <w:t xml:space="preserve"> </w:t>
            </w:r>
            <w:r>
              <w:rPr>
                <w:spacing w:val="3"/>
              </w:rPr>
              <w:t>发行证券的，责令停止发行，退还所募资金并加算银行同期存款利</w:t>
            </w:r>
            <w:r>
              <w:rPr>
                <w:spacing w:val="17"/>
              </w:rPr>
              <w:t xml:space="preserve"> </w:t>
            </w:r>
            <w:r>
              <w:rPr>
                <w:spacing w:val="3"/>
              </w:rPr>
              <w:t>息，处以非法所募资金金额百分之一以上百分之五以下的罚款；对</w:t>
            </w:r>
            <w:r>
              <w:rPr>
                <w:spacing w:val="17"/>
              </w:rPr>
              <w:t xml:space="preserve"> </w:t>
            </w:r>
            <w:r>
              <w:rPr>
                <w:spacing w:val="3"/>
              </w:rPr>
              <w:t>擅自公开或者变相公开发行证券设立的公司，由依法履行监督管理</w:t>
            </w:r>
            <w:r>
              <w:rPr>
                <w:spacing w:val="17"/>
              </w:rPr>
              <w:t xml:space="preserve"> </w:t>
            </w:r>
            <w:r>
              <w:rPr>
                <w:spacing w:val="3"/>
              </w:rPr>
              <w:t>职责的机构或者部门会同县级以上地方人民政府予以取缔。对直接</w:t>
            </w:r>
            <w:r>
              <w:rPr>
                <w:spacing w:val="17"/>
              </w:rPr>
              <w:t xml:space="preserve"> </w:t>
            </w:r>
            <w:r>
              <w:rPr>
                <w:spacing w:val="1"/>
                <w:u w:val="single" w:color="auto"/>
              </w:rPr>
              <w:t>负责</w:t>
            </w:r>
            <w:r>
              <w:rPr>
                <w:spacing w:val="-103"/>
                <w:u w:val="single" w:color="auto"/>
              </w:rPr>
              <w:t xml:space="preserve"> </w:t>
            </w:r>
            <w:r>
              <w:rPr>
                <w:position w:val="-8"/>
              </w:rPr>
              <w:drawing>
                <wp:inline distT="0" distB="0" distL="0" distR="0">
                  <wp:extent cx="3175" cy="5715"/>
                  <wp:effectExtent l="0" t="0" r="0" b="0"/>
                  <wp:docPr id="780" name="IM 780"/>
                  <wp:cNvGraphicFramePr/>
                  <a:graphic xmlns:a="http://schemas.openxmlformats.org/drawingml/2006/main">
                    <a:graphicData uri="http://schemas.openxmlformats.org/drawingml/2006/picture">
                      <pic:pic xmlns:pic="http://schemas.openxmlformats.org/drawingml/2006/picture">
                        <pic:nvPicPr>
                          <pic:cNvPr id="780" name="IM 780"/>
                          <pic:cNvPicPr/>
                        </pic:nvPicPr>
                        <pic:blipFill>
                          <a:blip r:embed="rId99"/>
                          <a:stretch>
                            <a:fillRect/>
                          </a:stretch>
                        </pic:blipFill>
                        <pic:spPr>
                          <a:xfrm>
                            <a:off x="0" y="0"/>
                            <a:ext cx="3653" cy="6094"/>
                          </a:xfrm>
                          <a:prstGeom prst="rect">
                            <a:avLst/>
                          </a:prstGeom>
                        </pic:spPr>
                      </pic:pic>
                    </a:graphicData>
                  </a:graphic>
                </wp:inline>
              </w:drawing>
            </w:r>
            <w:r>
              <w:rPr>
                <w:spacing w:val="-105"/>
              </w:rPr>
              <w:t xml:space="preserve"> </w:t>
            </w:r>
            <w:r>
              <w:rPr>
                <w:spacing w:val="1"/>
              </w:rPr>
              <w:t>的主管人员和其他直接责任人员给予警告，并处以</w:t>
            </w:r>
            <w:r>
              <w:rPr>
                <w:spacing w:val="-117"/>
              </w:rPr>
              <w:t xml:space="preserve"> </w:t>
            </w:r>
            <w:r>
              <w:rPr>
                <w:position w:val="24"/>
              </w:rPr>
              <w:drawing>
                <wp:inline distT="0" distB="0" distL="0" distR="0">
                  <wp:extent cx="3175" cy="5715"/>
                  <wp:effectExtent l="0" t="0" r="0" b="0"/>
                  <wp:docPr id="782" name="IM 782"/>
                  <wp:cNvGraphicFramePr/>
                  <a:graphic xmlns:a="http://schemas.openxmlformats.org/drawingml/2006/main">
                    <a:graphicData uri="http://schemas.openxmlformats.org/drawingml/2006/picture">
                      <pic:pic xmlns:pic="http://schemas.openxmlformats.org/drawingml/2006/picture">
                        <pic:nvPicPr>
                          <pic:cNvPr id="782" name="IM 782"/>
                          <pic:cNvPicPr/>
                        </pic:nvPicPr>
                        <pic:blipFill>
                          <a:blip r:embed="rId95"/>
                          <a:stretch>
                            <a:fillRect/>
                          </a:stretch>
                        </pic:blipFill>
                        <pic:spPr>
                          <a:xfrm>
                            <a:off x="0" y="0"/>
                            <a:ext cx="3653" cy="6094"/>
                          </a:xfrm>
                          <a:prstGeom prst="rect">
                            <a:avLst/>
                          </a:prstGeom>
                        </pic:spPr>
                      </pic:pic>
                    </a:graphicData>
                  </a:graphic>
                </wp:inline>
              </w:drawing>
            </w:r>
            <w:r>
              <w:rPr>
                <w:position w:val="-7"/>
              </w:rPr>
              <w:drawing>
                <wp:inline distT="0" distB="0" distL="0" distR="0">
                  <wp:extent cx="3175" cy="203835"/>
                  <wp:effectExtent l="0" t="0" r="0" b="0"/>
                  <wp:docPr id="784" name="IM 784"/>
                  <wp:cNvGraphicFramePr/>
                  <a:graphic xmlns:a="http://schemas.openxmlformats.org/drawingml/2006/main">
                    <a:graphicData uri="http://schemas.openxmlformats.org/drawingml/2006/picture">
                      <pic:pic xmlns:pic="http://schemas.openxmlformats.org/drawingml/2006/picture">
                        <pic:nvPicPr>
                          <pic:cNvPr id="784" name="IM 784"/>
                          <pic:cNvPicPr/>
                        </pic:nvPicPr>
                        <pic:blipFill>
                          <a:blip r:embed="rId76"/>
                          <a:stretch>
                            <a:fillRect/>
                          </a:stretch>
                        </pic:blipFill>
                        <pic:spPr>
                          <a:xfrm>
                            <a:off x="0" y="0"/>
                            <a:ext cx="3653" cy="204161"/>
                          </a:xfrm>
                          <a:prstGeom prst="rect">
                            <a:avLst/>
                          </a:prstGeom>
                        </pic:spPr>
                      </pic:pic>
                    </a:graphicData>
                  </a:graphic>
                </wp:inline>
              </w:drawing>
            </w:r>
            <w:r>
              <w:rPr>
                <w:spacing w:val="1"/>
                <w:shd w:val="clear" w:fill="D9D9D9"/>
              </w:rPr>
              <w:t>三</w:t>
            </w:r>
            <w:r>
              <w:rPr>
                <w:spacing w:val="-115"/>
              </w:rPr>
              <w:t xml:space="preserve"> </w:t>
            </w:r>
            <w:r>
              <w:rPr>
                <w:position w:val="24"/>
              </w:rPr>
              <w:drawing>
                <wp:inline distT="0" distB="0" distL="0" distR="0">
                  <wp:extent cx="3175" cy="5715"/>
                  <wp:effectExtent l="0" t="0" r="0" b="0"/>
                  <wp:docPr id="786" name="IM 786"/>
                  <wp:cNvGraphicFramePr/>
                  <a:graphic xmlns:a="http://schemas.openxmlformats.org/drawingml/2006/main">
                    <a:graphicData uri="http://schemas.openxmlformats.org/drawingml/2006/picture">
                      <pic:pic xmlns:pic="http://schemas.openxmlformats.org/drawingml/2006/picture">
                        <pic:nvPicPr>
                          <pic:cNvPr id="786" name="IM 786"/>
                          <pic:cNvPicPr/>
                        </pic:nvPicPr>
                        <pic:blipFill>
                          <a:blip r:embed="rId95"/>
                          <a:stretch>
                            <a:fillRect/>
                          </a:stretch>
                        </pic:blipFill>
                        <pic:spPr>
                          <a:xfrm>
                            <a:off x="0" y="0"/>
                            <a:ext cx="3653" cy="6094"/>
                          </a:xfrm>
                          <a:prstGeom prst="rect">
                            <a:avLst/>
                          </a:prstGeom>
                        </pic:spPr>
                      </pic:pic>
                    </a:graphicData>
                  </a:graphic>
                </wp:inline>
              </w:drawing>
            </w:r>
            <w:r>
              <w:rPr>
                <w:position w:val="-7"/>
              </w:rPr>
              <w:drawing>
                <wp:inline distT="0" distB="0" distL="0" distR="0">
                  <wp:extent cx="3175" cy="203835"/>
                  <wp:effectExtent l="0" t="0" r="0" b="0"/>
                  <wp:docPr id="788" name="IM 788"/>
                  <wp:cNvGraphicFramePr/>
                  <a:graphic xmlns:a="http://schemas.openxmlformats.org/drawingml/2006/main">
                    <a:graphicData uri="http://schemas.openxmlformats.org/drawingml/2006/picture">
                      <pic:pic xmlns:pic="http://schemas.openxmlformats.org/drawingml/2006/picture">
                        <pic:nvPicPr>
                          <pic:cNvPr id="788" name="IM 788"/>
                          <pic:cNvPicPr/>
                        </pic:nvPicPr>
                        <pic:blipFill>
                          <a:blip r:embed="rId76"/>
                          <a:stretch>
                            <a:fillRect/>
                          </a:stretch>
                        </pic:blipFill>
                        <pic:spPr>
                          <a:xfrm>
                            <a:off x="0" y="0"/>
                            <a:ext cx="3653" cy="204161"/>
                          </a:xfrm>
                          <a:prstGeom prst="rect">
                            <a:avLst/>
                          </a:prstGeom>
                        </pic:spPr>
                      </pic:pic>
                    </a:graphicData>
                  </a:graphic>
                </wp:inline>
              </w:drawing>
            </w:r>
            <w:r>
              <w:rPr>
                <w:spacing w:val="1"/>
              </w:rPr>
              <w:t>万元以上</w:t>
            </w:r>
            <w:r>
              <w:t xml:space="preserve"> </w:t>
            </w:r>
            <w:r>
              <w:rPr>
                <w:spacing w:val="-5"/>
                <w:shd w:val="clear" w:fill="D9D9D9"/>
              </w:rPr>
              <w:t>三十</w:t>
            </w:r>
            <w:r>
              <w:rPr>
                <w:position w:val="-6"/>
              </w:rPr>
              <w:drawing>
                <wp:inline distT="0" distB="0" distL="0" distR="0">
                  <wp:extent cx="6350" cy="197485"/>
                  <wp:effectExtent l="0" t="0" r="0" b="0"/>
                  <wp:docPr id="790" name="IM 790"/>
                  <wp:cNvGraphicFramePr/>
                  <a:graphic xmlns:a="http://schemas.openxmlformats.org/drawingml/2006/main">
                    <a:graphicData uri="http://schemas.openxmlformats.org/drawingml/2006/picture">
                      <pic:pic xmlns:pic="http://schemas.openxmlformats.org/drawingml/2006/picture">
                        <pic:nvPicPr>
                          <pic:cNvPr id="790" name="IM 790"/>
                          <pic:cNvPicPr/>
                        </pic:nvPicPr>
                        <pic:blipFill>
                          <a:blip r:embed="rId105"/>
                          <a:stretch>
                            <a:fillRect/>
                          </a:stretch>
                        </pic:blipFill>
                        <pic:spPr>
                          <a:xfrm>
                            <a:off x="0" y="0"/>
                            <a:ext cx="6394" cy="198066"/>
                          </a:xfrm>
                          <a:prstGeom prst="rect">
                            <a:avLst/>
                          </a:prstGeom>
                        </pic:spPr>
                      </pic:pic>
                    </a:graphicData>
                  </a:graphic>
                </wp:inline>
              </w:drawing>
            </w:r>
            <w:r>
              <w:rPr>
                <w:spacing w:val="-5"/>
              </w:rPr>
              <w:t>万元以下的罚款。</w:t>
            </w:r>
          </w:p>
        </w:tc>
        <w:tc>
          <w:tcPr>
            <w:tcW w:w="6813" w:type="dxa"/>
            <w:vAlign w:val="top"/>
          </w:tcPr>
          <w:p>
            <w:pPr>
              <w:pStyle w:val="8"/>
              <w:spacing w:before="44" w:line="236" w:lineRule="auto"/>
              <w:ind w:left="14" w:right="6" w:firstLine="502"/>
            </w:pPr>
            <w:r>
              <w:rPr>
                <w:rFonts w:ascii="黑体" w:hAnsi="黑体" w:eastAsia="黑体" w:cs="黑体"/>
                <w:spacing w:val="1"/>
              </w:rPr>
              <w:t>第一百八十条  违反本法第九条的规定</w:t>
            </w:r>
            <w:r>
              <w:rPr>
                <w:spacing w:val="1"/>
              </w:rPr>
              <w:t>，擅自公开或者变相</w:t>
            </w:r>
            <w:r>
              <w:rPr>
                <w:spacing w:val="6"/>
              </w:rPr>
              <w:t xml:space="preserve"> </w:t>
            </w:r>
            <w:r>
              <w:rPr>
                <w:spacing w:val="-2"/>
              </w:rPr>
              <w:t>公开发行证券的， 责令停止发行，退还所募资</w:t>
            </w:r>
            <w:r>
              <w:rPr>
                <w:spacing w:val="-3"/>
              </w:rPr>
              <w:t>金并加算银行同期</w:t>
            </w:r>
            <w:r>
              <w:t xml:space="preserve"> </w:t>
            </w:r>
            <w:r>
              <w:rPr>
                <w:spacing w:val="2"/>
              </w:rPr>
              <w:t>存款利息，处以非法所募资金金额百分之</w:t>
            </w:r>
            <w:r>
              <w:rPr>
                <w:rFonts w:ascii="黑体" w:hAnsi="黑体" w:eastAsia="黑体" w:cs="黑体"/>
                <w:spacing w:val="2"/>
              </w:rPr>
              <w:t>五</w:t>
            </w:r>
            <w:r>
              <w:rPr>
                <w:spacing w:val="2"/>
              </w:rPr>
              <w:t>以上百分之</w:t>
            </w:r>
            <w:r>
              <w:rPr>
                <w:rFonts w:ascii="黑体" w:hAnsi="黑体" w:eastAsia="黑体" w:cs="黑体"/>
                <w:spacing w:val="2"/>
              </w:rPr>
              <w:t>五十</w:t>
            </w:r>
            <w:r>
              <w:rPr>
                <w:spacing w:val="2"/>
              </w:rPr>
              <w:t>以下</w:t>
            </w:r>
            <w:r>
              <w:t xml:space="preserve"> </w:t>
            </w:r>
            <w:r>
              <w:rPr>
                <w:spacing w:val="-2"/>
              </w:rPr>
              <w:t>的罚款； 对擅自公开或者变相公开发行证券设</w:t>
            </w:r>
            <w:r>
              <w:rPr>
                <w:spacing w:val="-3"/>
              </w:rPr>
              <w:t>立的公司，由依法</w:t>
            </w:r>
            <w:r>
              <w:t xml:space="preserve"> </w:t>
            </w:r>
            <w:r>
              <w:rPr>
                <w:spacing w:val="2"/>
              </w:rPr>
              <w:t>履行监督管理职责的机构或者部门会同县级以上地方人民政</w:t>
            </w:r>
            <w:r>
              <w:rPr>
                <w:spacing w:val="1"/>
              </w:rPr>
              <w:t>府予</w:t>
            </w:r>
            <w:r>
              <w:t xml:space="preserve"> 以取缔。对直接负责的主管人员和其他直接责任人员给予警告， </w:t>
            </w:r>
            <w:r>
              <w:rPr>
                <w:spacing w:val="-3"/>
              </w:rPr>
              <w:t>并处以</w:t>
            </w:r>
            <w:r>
              <w:rPr>
                <w:rFonts w:ascii="黑体" w:hAnsi="黑体" w:eastAsia="黑体" w:cs="黑体"/>
                <w:spacing w:val="-3"/>
              </w:rPr>
              <w:t>五十</w:t>
            </w:r>
            <w:r>
              <w:rPr>
                <w:spacing w:val="-3"/>
              </w:rPr>
              <w:t>万元以上</w:t>
            </w:r>
            <w:r>
              <w:rPr>
                <w:rFonts w:ascii="黑体" w:hAnsi="黑体" w:eastAsia="黑体" w:cs="黑体"/>
                <w:spacing w:val="-3"/>
              </w:rPr>
              <w:t>五百万</w:t>
            </w:r>
            <w:r>
              <w:rPr>
                <w:spacing w:val="-3"/>
              </w:rPr>
              <w:t>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7094" w:type="dxa"/>
            <w:gridSpan w:val="3"/>
            <w:tcBorders>
              <w:bottom w:val="nil"/>
            </w:tcBorders>
            <w:vAlign w:val="top"/>
          </w:tcPr>
          <w:p>
            <w:pPr>
              <w:pStyle w:val="8"/>
              <w:spacing w:before="38" w:line="230" w:lineRule="auto"/>
              <w:ind w:left="13" w:firstLine="499"/>
              <w:jc w:val="both"/>
            </w:pPr>
            <w:r>
              <w:rPr>
                <w:rFonts w:ascii="黑体" w:hAnsi="黑体" w:eastAsia="黑体" w:cs="黑体"/>
                <w:spacing w:val="-1"/>
              </w:rPr>
              <w:t xml:space="preserve">第一百八十九条  </w:t>
            </w:r>
            <w:r>
              <w:rPr>
                <w:spacing w:val="-1"/>
              </w:rPr>
              <w:t>发行人不</w:t>
            </w:r>
            <w:r>
              <w:rPr>
                <w:spacing w:val="-1"/>
                <w:u w:val="single" w:color="auto"/>
              </w:rPr>
              <w:t>符合发</w:t>
            </w:r>
            <w:r>
              <w:rPr>
                <w:spacing w:val="-1"/>
              </w:rPr>
              <w:t>行条件，</w:t>
            </w:r>
            <w:r>
              <w:rPr>
                <w:position w:val="-8"/>
              </w:rPr>
              <w:drawing>
                <wp:inline distT="0" distB="0" distL="0" distR="0">
                  <wp:extent cx="5715" cy="5715"/>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74"/>
                          <a:stretch>
                            <a:fillRect/>
                          </a:stretch>
                        </pic:blipFill>
                        <pic:spPr>
                          <a:xfrm>
                            <a:off x="0" y="0"/>
                            <a:ext cx="6091" cy="5999"/>
                          </a:xfrm>
                          <a:prstGeom prst="rect">
                            <a:avLst/>
                          </a:prstGeom>
                        </pic:spPr>
                      </pic:pic>
                    </a:graphicData>
                  </a:graphic>
                </wp:inline>
              </w:drawing>
            </w:r>
            <w:r>
              <w:rPr>
                <w:spacing w:val="-9"/>
                <w:u w:val="single" w:color="auto"/>
              </w:rPr>
              <w:t xml:space="preserve"> </w:t>
            </w:r>
            <w:r>
              <w:rPr>
                <w:spacing w:val="-2"/>
                <w:u w:val="single" w:color="auto"/>
              </w:rPr>
              <w:t>以欺</w:t>
            </w:r>
            <w:r>
              <w:rPr>
                <w:spacing w:val="-2"/>
              </w:rPr>
              <w:t>骗手段骗取发</w:t>
            </w:r>
            <w:r>
              <w:t xml:space="preserve"> </w:t>
            </w:r>
            <w:r>
              <w:rPr>
                <w:spacing w:val="7"/>
              </w:rPr>
              <w:t>行核准，</w:t>
            </w:r>
            <w:r>
              <w:rPr>
                <w:spacing w:val="-62"/>
              </w:rPr>
              <w:t xml:space="preserve"> </w:t>
            </w:r>
            <w:r>
              <w:rPr>
                <w:spacing w:val="7"/>
              </w:rPr>
              <w:t>尚未发行证券的，处以</w:t>
            </w:r>
            <w:r>
              <w:rPr>
                <w:position w:val="-7"/>
              </w:rPr>
              <w:drawing>
                <wp:inline distT="0" distB="0" distL="0" distR="0">
                  <wp:extent cx="13970" cy="20066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70"/>
                          <a:stretch>
                            <a:fillRect/>
                          </a:stretch>
                        </pic:blipFill>
                        <pic:spPr>
                          <a:xfrm>
                            <a:off x="0" y="0"/>
                            <a:ext cx="14544" cy="200969"/>
                          </a:xfrm>
                          <a:prstGeom prst="rect">
                            <a:avLst/>
                          </a:prstGeom>
                        </pic:spPr>
                      </pic:pic>
                    </a:graphicData>
                  </a:graphic>
                </wp:inline>
              </w:drawing>
            </w:r>
            <w:r>
              <w:rPr>
                <w:spacing w:val="7"/>
                <w:u w:val="single" w:color="auto"/>
                <w:shd w:val="clear" w:fill="D9D9D9"/>
              </w:rPr>
              <w:t>三十</w:t>
            </w:r>
            <w:r>
              <w:rPr>
                <w:position w:val="-7"/>
              </w:rPr>
              <w:drawing>
                <wp:inline distT="0" distB="0" distL="0" distR="0">
                  <wp:extent cx="13335" cy="20066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83"/>
                          <a:stretch>
                            <a:fillRect/>
                          </a:stretch>
                        </pic:blipFill>
                        <pic:spPr>
                          <a:xfrm>
                            <a:off x="0" y="0"/>
                            <a:ext cx="13688" cy="200969"/>
                          </a:xfrm>
                          <a:prstGeom prst="rect">
                            <a:avLst/>
                          </a:prstGeom>
                        </pic:spPr>
                      </pic:pic>
                    </a:graphicData>
                  </a:graphic>
                </wp:inline>
              </w:drawing>
            </w:r>
            <w:r>
              <w:rPr>
                <w:spacing w:val="7"/>
              </w:rPr>
              <w:t>万元以上</w:t>
            </w:r>
            <w:r>
              <w:rPr>
                <w:position w:val="-7"/>
              </w:rPr>
              <w:drawing>
                <wp:inline distT="0" distB="0" distL="0" distR="0">
                  <wp:extent cx="13335" cy="20066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76"/>
                          <a:stretch>
                            <a:fillRect/>
                          </a:stretch>
                        </pic:blipFill>
                        <pic:spPr>
                          <a:xfrm>
                            <a:off x="0" y="0"/>
                            <a:ext cx="13688" cy="200969"/>
                          </a:xfrm>
                          <a:prstGeom prst="rect">
                            <a:avLst/>
                          </a:prstGeom>
                        </pic:spPr>
                      </pic:pic>
                    </a:graphicData>
                  </a:graphic>
                </wp:inline>
              </w:drawing>
            </w:r>
            <w:r>
              <w:rPr>
                <w:spacing w:val="7"/>
                <w:u w:val="single" w:color="auto"/>
                <w:shd w:val="clear" w:fill="D9D9D9"/>
              </w:rPr>
              <w:t>六十</w:t>
            </w:r>
            <w:r>
              <w:rPr>
                <w:position w:val="-7"/>
              </w:rPr>
              <w:drawing>
                <wp:inline distT="0" distB="0" distL="0" distR="0">
                  <wp:extent cx="13335" cy="20066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70"/>
                          <a:stretch>
                            <a:fillRect/>
                          </a:stretch>
                        </pic:blipFill>
                        <pic:spPr>
                          <a:xfrm>
                            <a:off x="0" y="0"/>
                            <a:ext cx="13688" cy="200969"/>
                          </a:xfrm>
                          <a:prstGeom prst="rect">
                            <a:avLst/>
                          </a:prstGeom>
                        </pic:spPr>
                      </pic:pic>
                    </a:graphicData>
                  </a:graphic>
                </wp:inline>
              </w:drawing>
            </w:r>
            <w:r>
              <w:rPr>
                <w:spacing w:val="7"/>
              </w:rPr>
              <w:t>万元以下</w:t>
            </w:r>
            <w:r>
              <w:rPr>
                <w:spacing w:val="6"/>
              </w:rPr>
              <w:t>的罚</w:t>
            </w:r>
            <w:r>
              <w:t xml:space="preserve"> </w:t>
            </w:r>
            <w:r>
              <w:rPr>
                <w:spacing w:val="-3"/>
              </w:rPr>
              <w:t>款； 已经发行证券的，处以非法所募资金金额百分之</w:t>
            </w:r>
            <w:r>
              <w:rPr>
                <w:spacing w:val="-96"/>
              </w:rPr>
              <w:t xml:space="preserve"> </w:t>
            </w:r>
            <w:r>
              <w:rPr>
                <w:position w:val="23"/>
              </w:rPr>
              <w:drawing>
                <wp:inline distT="0" distB="0" distL="0" distR="0">
                  <wp:extent cx="3175" cy="5715"/>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95"/>
                          <a:stretch>
                            <a:fillRect/>
                          </a:stretch>
                        </pic:blipFill>
                        <pic:spPr>
                          <a:xfrm>
                            <a:off x="0" y="0"/>
                            <a:ext cx="3426" cy="5999"/>
                          </a:xfrm>
                          <a:prstGeom prst="rect">
                            <a:avLst/>
                          </a:prstGeom>
                        </pic:spPr>
                      </pic:pic>
                    </a:graphicData>
                  </a:graphic>
                </wp:inline>
              </w:drawing>
            </w:r>
            <w:r>
              <w:rPr>
                <w:position w:val="-6"/>
              </w:rPr>
              <w:drawing>
                <wp:inline distT="0" distB="0" distL="0" distR="0">
                  <wp:extent cx="3175" cy="194945"/>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84"/>
                          <a:stretch>
                            <a:fillRect/>
                          </a:stretch>
                        </pic:blipFill>
                        <pic:spPr>
                          <a:xfrm>
                            <a:off x="0" y="0"/>
                            <a:ext cx="3426" cy="194970"/>
                          </a:xfrm>
                          <a:prstGeom prst="rect">
                            <a:avLst/>
                          </a:prstGeom>
                        </pic:spPr>
                      </pic:pic>
                    </a:graphicData>
                  </a:graphic>
                </wp:inline>
              </w:drawing>
            </w:r>
            <w:r>
              <w:rPr>
                <w:spacing w:val="-96"/>
              </w:rPr>
              <w:t xml:space="preserve"> </w:t>
            </w:r>
            <w:r>
              <w:rPr>
                <w:spacing w:val="-3"/>
                <w:shd w:val="clear" w:fill="D9D9D9"/>
              </w:rPr>
              <w:t>一</w:t>
            </w:r>
            <w:r>
              <w:rPr>
                <w:position w:val="23"/>
              </w:rPr>
              <w:drawing>
                <wp:inline distT="0" distB="0" distL="0" distR="0">
                  <wp:extent cx="3175" cy="5715"/>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99"/>
                          <a:stretch>
                            <a:fillRect/>
                          </a:stretch>
                        </pic:blipFill>
                        <pic:spPr>
                          <a:xfrm>
                            <a:off x="0" y="0"/>
                            <a:ext cx="3426" cy="5999"/>
                          </a:xfrm>
                          <a:prstGeom prst="rect">
                            <a:avLst/>
                          </a:prstGeom>
                        </pic:spPr>
                      </pic:pic>
                    </a:graphicData>
                  </a:graphic>
                </wp:inline>
              </w:drawing>
            </w:r>
            <w:r>
              <w:rPr>
                <w:position w:val="-6"/>
              </w:rPr>
              <w:drawing>
                <wp:inline distT="0" distB="0" distL="0" distR="0">
                  <wp:extent cx="3175" cy="194945"/>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94"/>
                          <a:stretch>
                            <a:fillRect/>
                          </a:stretch>
                        </pic:blipFill>
                        <pic:spPr>
                          <a:xfrm>
                            <a:off x="0" y="0"/>
                            <a:ext cx="3426" cy="194970"/>
                          </a:xfrm>
                          <a:prstGeom prst="rect">
                            <a:avLst/>
                          </a:prstGeom>
                        </pic:spPr>
                      </pic:pic>
                    </a:graphicData>
                  </a:graphic>
                </wp:inline>
              </w:drawing>
            </w:r>
            <w:r>
              <w:rPr>
                <w:spacing w:val="-3"/>
              </w:rPr>
              <w:t>以上百分之</w:t>
            </w:r>
          </w:p>
        </w:tc>
        <w:tc>
          <w:tcPr>
            <w:tcW w:w="6813" w:type="dxa"/>
            <w:vMerge w:val="restart"/>
            <w:tcBorders>
              <w:bottom w:val="nil"/>
            </w:tcBorders>
            <w:vAlign w:val="top"/>
          </w:tcPr>
          <w:p>
            <w:pPr>
              <w:pStyle w:val="8"/>
              <w:spacing w:before="36" w:line="236" w:lineRule="auto"/>
              <w:ind w:left="13" w:right="4" w:firstLine="503"/>
              <w:jc w:val="both"/>
            </w:pPr>
            <w:r>
              <w:rPr>
                <w:rFonts w:ascii="黑体" w:hAnsi="黑体" w:eastAsia="黑体" w:cs="黑体"/>
                <w:spacing w:val="1"/>
              </w:rPr>
              <w:t>第一百八十一条  发行人在其公告的证券发行文件中隐瞒重</w:t>
            </w:r>
            <w:r>
              <w:rPr>
                <w:rFonts w:ascii="黑体" w:hAnsi="黑体" w:eastAsia="黑体" w:cs="黑体"/>
                <w:spacing w:val="8"/>
              </w:rPr>
              <w:t xml:space="preserve"> </w:t>
            </w:r>
            <w:r>
              <w:rPr>
                <w:rFonts w:ascii="黑体" w:hAnsi="黑体" w:eastAsia="黑体" w:cs="黑体"/>
                <w:spacing w:val="2"/>
              </w:rPr>
              <w:t>要事实或者编造重大虚假内容</w:t>
            </w:r>
            <w:r>
              <w:rPr>
                <w:spacing w:val="2"/>
              </w:rPr>
              <w:t>，尚未发行证券的，处以</w:t>
            </w:r>
            <w:r>
              <w:rPr>
                <w:rFonts w:ascii="黑体" w:hAnsi="黑体" w:eastAsia="黑体" w:cs="黑体"/>
                <w:spacing w:val="2"/>
              </w:rPr>
              <w:t>二</w:t>
            </w:r>
            <w:r>
              <w:rPr>
                <w:spacing w:val="2"/>
              </w:rPr>
              <w:t>百万元</w:t>
            </w:r>
            <w:r>
              <w:t xml:space="preserve"> </w:t>
            </w:r>
            <w:r>
              <w:rPr>
                <w:spacing w:val="-7"/>
              </w:rPr>
              <w:t>以上</w:t>
            </w:r>
            <w:r>
              <w:rPr>
                <w:rFonts w:ascii="黑体" w:hAnsi="黑体" w:eastAsia="黑体" w:cs="黑体"/>
                <w:spacing w:val="-7"/>
              </w:rPr>
              <w:t>二</w:t>
            </w:r>
            <w:r>
              <w:rPr>
                <w:spacing w:val="-7"/>
              </w:rPr>
              <w:t>千万元以下的罚款；</w:t>
            </w:r>
            <w:r>
              <w:rPr>
                <w:spacing w:val="28"/>
              </w:rPr>
              <w:t xml:space="preserve"> </w:t>
            </w:r>
            <w:r>
              <w:rPr>
                <w:spacing w:val="-7"/>
              </w:rPr>
              <w:t>已经发行证券的</w:t>
            </w:r>
            <w:r>
              <w:rPr>
                <w:spacing w:val="-8"/>
              </w:rPr>
              <w:t>， 处以非法所募资金</w:t>
            </w:r>
            <w:r>
              <w:t xml:space="preserve"> </w:t>
            </w:r>
            <w:r>
              <w:rPr>
                <w:spacing w:val="2"/>
              </w:rPr>
              <w:t>金额百分之</w:t>
            </w:r>
            <w:r>
              <w:rPr>
                <w:rFonts w:ascii="黑体" w:hAnsi="黑体" w:eastAsia="黑体" w:cs="黑体"/>
                <w:spacing w:val="2"/>
              </w:rPr>
              <w:t>十</w:t>
            </w:r>
            <w:r>
              <w:rPr>
                <w:spacing w:val="2"/>
              </w:rPr>
              <w:t>以上</w:t>
            </w:r>
            <w:r>
              <w:rPr>
                <w:rFonts w:ascii="黑体" w:hAnsi="黑体" w:eastAsia="黑体" w:cs="黑体"/>
                <w:spacing w:val="2"/>
              </w:rPr>
              <w:t>一倍</w:t>
            </w:r>
            <w:r>
              <w:rPr>
                <w:spacing w:val="2"/>
              </w:rPr>
              <w:t>以下的罚款。对直接负责的主管人员和其</w:t>
            </w:r>
            <w:r>
              <w:t xml:space="preserve"> </w:t>
            </w:r>
            <w:r>
              <w:rPr>
                <w:spacing w:val="-2"/>
              </w:rPr>
              <w:t>他直接责任人员处以</w:t>
            </w:r>
            <w:r>
              <w:rPr>
                <w:rFonts w:ascii="黑体" w:hAnsi="黑体" w:eastAsia="黑体" w:cs="黑体"/>
                <w:spacing w:val="-2"/>
              </w:rPr>
              <w:t>一百</w:t>
            </w:r>
            <w:r>
              <w:rPr>
                <w:spacing w:val="-2"/>
              </w:rPr>
              <w:t>万元以上</w:t>
            </w:r>
            <w:r>
              <w:rPr>
                <w:rFonts w:ascii="黑体" w:hAnsi="黑体" w:eastAsia="黑体" w:cs="黑体"/>
                <w:spacing w:val="-2"/>
              </w:rPr>
              <w:t>一千</w:t>
            </w:r>
            <w:r>
              <w:rPr>
                <w:spacing w:val="-2"/>
              </w:rPr>
              <w:t>万元以下的罚款。</w:t>
            </w:r>
          </w:p>
          <w:p>
            <w:pPr>
              <w:pStyle w:val="8"/>
              <w:spacing w:before="23" w:line="232" w:lineRule="auto"/>
              <w:ind w:left="20" w:right="4" w:firstLine="496"/>
              <w:jc w:val="both"/>
              <w:rPr>
                <w:rFonts w:ascii="黑体" w:hAnsi="黑体" w:eastAsia="黑体" w:cs="黑体"/>
              </w:rPr>
            </w:pPr>
            <w:r>
              <w:rPr>
                <w:spacing w:val="1"/>
              </w:rPr>
              <w:t>发行人的控股股东、实际控制人组织、指使从事前款违法行</w:t>
            </w:r>
            <w:r>
              <w:rPr>
                <w:spacing w:val="6"/>
              </w:rPr>
              <w:t xml:space="preserve"> </w:t>
            </w:r>
            <w:r>
              <w:rPr>
                <w:spacing w:val="2"/>
              </w:rPr>
              <w:t>为的，</w:t>
            </w:r>
            <w:r>
              <w:rPr>
                <w:rFonts w:ascii="黑体" w:hAnsi="黑体" w:eastAsia="黑体" w:cs="黑体"/>
                <w:spacing w:val="2"/>
              </w:rPr>
              <w:t>没收违法所得，并处以违法所得百分之十以上</w:t>
            </w:r>
            <w:r>
              <w:rPr>
                <w:rFonts w:ascii="黑体" w:hAnsi="黑体" w:eastAsia="黑体" w:cs="黑体"/>
                <w:spacing w:val="1"/>
              </w:rPr>
              <w:t>一倍以下的</w:t>
            </w:r>
            <w:r>
              <w:rPr>
                <w:rFonts w:ascii="黑体" w:hAnsi="黑体" w:eastAsia="黑体" w:cs="黑体"/>
              </w:rPr>
              <w:t xml:space="preserve"> </w:t>
            </w:r>
            <w:r>
              <w:rPr>
                <w:rFonts w:ascii="黑体" w:hAnsi="黑体" w:eastAsia="黑体" w:cs="黑体"/>
                <w:spacing w:val="-3"/>
              </w:rPr>
              <w:t>罚款；没有违法所得的或者违法所得不足二千万元的， 处以二百</w:t>
            </w:r>
            <w:r>
              <w:rPr>
                <w:rFonts w:ascii="黑体" w:hAnsi="黑体" w:eastAsia="黑体" w:cs="黑体"/>
                <w:spacing w:val="15"/>
              </w:rPr>
              <w:t xml:space="preserve"> </w:t>
            </w:r>
            <w:r>
              <w:rPr>
                <w:rFonts w:ascii="黑体" w:hAnsi="黑体" w:eastAsia="黑体" w:cs="黑体"/>
                <w:spacing w:val="2"/>
              </w:rPr>
              <w:t>万元以上的二千万元以下的罚款</w:t>
            </w:r>
            <w:r>
              <w:rPr>
                <w:spacing w:val="2"/>
              </w:rPr>
              <w:t>。</w:t>
            </w:r>
            <w:r>
              <w:rPr>
                <w:rFonts w:ascii="黑体" w:hAnsi="黑体" w:eastAsia="黑体" w:cs="黑体"/>
                <w:spacing w:val="2"/>
              </w:rPr>
              <w:t>对直接负责的主管人</w:t>
            </w:r>
            <w:r>
              <w:rPr>
                <w:rFonts w:ascii="黑体" w:hAnsi="黑体" w:eastAsia="黑体" w:cs="黑体"/>
                <w:spacing w:val="1"/>
              </w:rPr>
              <w:t>员和其他</w:t>
            </w:r>
            <w:r>
              <w:rPr>
                <w:rFonts w:ascii="黑体" w:hAnsi="黑体" w:eastAsia="黑体" w:cs="黑体"/>
              </w:rPr>
              <w:t xml:space="preserve"> </w:t>
            </w:r>
            <w:r>
              <w:rPr>
                <w:rFonts w:ascii="黑体" w:hAnsi="黑体" w:eastAsia="黑体" w:cs="黑体"/>
                <w:spacing w:val="-2"/>
              </w:rPr>
              <w:t>直接责任人员，处以一百万元以上一千万元以下的罚款。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953" w:type="dxa"/>
            <w:vMerge w:val="restart"/>
            <w:tcBorders>
              <w:top w:val="nil"/>
              <w:bottom w:val="nil"/>
              <w:right w:val="nil"/>
            </w:tcBorders>
            <w:vAlign w:val="top"/>
          </w:tcPr>
          <w:p>
            <w:pPr>
              <w:pStyle w:val="8"/>
              <w:spacing w:before="18"/>
              <w:ind w:left="26" w:firstLine="4"/>
              <w:jc w:val="right"/>
            </w:pPr>
            <w:r>
              <w:rPr>
                <w:spacing w:val="-3"/>
                <w:u w:val="single" w:color="auto"/>
                <w:shd w:val="clear" w:fill="D9D9D9"/>
              </w:rPr>
              <w:t>五</w:t>
            </w:r>
            <w:r>
              <w:rPr>
                <w:position w:val="-7"/>
              </w:rPr>
              <w:drawing>
                <wp:inline distT="0" distB="0" distL="0" distR="0">
                  <wp:extent cx="7620" cy="203835"/>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76"/>
                          <a:stretch>
                            <a:fillRect/>
                          </a:stretch>
                        </pic:blipFill>
                        <pic:spPr>
                          <a:xfrm>
                            <a:off x="0" y="0"/>
                            <a:ext cx="7872" cy="204216"/>
                          </a:xfrm>
                          <a:prstGeom prst="rect">
                            <a:avLst/>
                          </a:prstGeom>
                        </pic:spPr>
                      </pic:pic>
                    </a:graphicData>
                  </a:graphic>
                </wp:inline>
              </w:drawing>
            </w:r>
            <w:r>
              <w:rPr>
                <w:spacing w:val="-3"/>
              </w:rPr>
              <w:t>以下的</w:t>
            </w:r>
            <w:r>
              <w:rPr>
                <w:spacing w:val="-3"/>
                <w:u w:val="single" w:color="auto"/>
              </w:rPr>
              <w:t>罚款</w:t>
            </w:r>
            <w:r>
              <w:rPr>
                <w:spacing w:val="-3"/>
              </w:rPr>
              <w:t>。对</w:t>
            </w:r>
            <w:r>
              <w:rPr>
                <w:spacing w:val="4"/>
              </w:rPr>
              <w:t xml:space="preserve"> </w:t>
            </w:r>
            <w:r>
              <w:rPr>
                <w:spacing w:val="-5"/>
              </w:rPr>
              <w:t>万元以上</w:t>
            </w:r>
            <w:r>
              <w:rPr>
                <w:position w:val="-7"/>
              </w:rPr>
              <w:drawing>
                <wp:inline distT="0" distB="0" distL="0" distR="0">
                  <wp:extent cx="5715" cy="203835"/>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70"/>
                          <a:stretch>
                            <a:fillRect/>
                          </a:stretch>
                        </pic:blipFill>
                        <pic:spPr>
                          <a:xfrm>
                            <a:off x="0" y="0"/>
                            <a:ext cx="6181" cy="204216"/>
                          </a:xfrm>
                          <a:prstGeom prst="rect">
                            <a:avLst/>
                          </a:prstGeom>
                        </pic:spPr>
                      </pic:pic>
                    </a:graphicData>
                  </a:graphic>
                </wp:inline>
              </w:drawing>
            </w:r>
            <w:r>
              <w:rPr>
                <w:spacing w:val="-5"/>
                <w:u w:val="single" w:color="auto"/>
                <w:shd w:val="clear" w:fill="D9D9D9"/>
              </w:rPr>
              <w:t>三十</w:t>
            </w:r>
            <w:r>
              <w:rPr>
                <w:position w:val="-7"/>
              </w:rPr>
              <w:drawing>
                <wp:inline distT="0" distB="0" distL="0" distR="0">
                  <wp:extent cx="5715" cy="203835"/>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83"/>
                          <a:stretch>
                            <a:fillRect/>
                          </a:stretch>
                        </pic:blipFill>
                        <pic:spPr>
                          <a:xfrm>
                            <a:off x="0" y="0"/>
                            <a:ext cx="6181" cy="204216"/>
                          </a:xfrm>
                          <a:prstGeom prst="rect">
                            <a:avLst/>
                          </a:prstGeom>
                        </pic:spPr>
                      </pic:pic>
                    </a:graphicData>
                  </a:graphic>
                </wp:inline>
              </w:drawing>
            </w:r>
            <w:r>
              <w:rPr>
                <w:spacing w:val="-5"/>
              </w:rPr>
              <w:t>万元</w:t>
            </w:r>
            <w:r>
              <w:rPr>
                <w:spacing w:val="3"/>
              </w:rPr>
              <w:t xml:space="preserve"> </w:t>
            </w:r>
            <w:r>
              <w:rPr>
                <w:spacing w:val="-1"/>
              </w:rPr>
              <w:t>发行人的控股</w:t>
            </w:r>
          </w:p>
        </w:tc>
        <w:tc>
          <w:tcPr>
            <w:tcW w:w="4886" w:type="dxa"/>
            <w:vMerge w:val="restart"/>
            <w:tcBorders>
              <w:top w:val="nil"/>
              <w:left w:val="nil"/>
              <w:bottom w:val="nil"/>
              <w:right w:val="nil"/>
            </w:tcBorders>
            <w:vAlign w:val="top"/>
          </w:tcPr>
          <w:p>
            <w:pPr>
              <w:pStyle w:val="8"/>
              <w:spacing w:before="56" w:line="236" w:lineRule="auto"/>
              <w:ind w:left="40" w:right="13" w:hanging="2"/>
            </w:pPr>
            <w:r>
              <w:rPr>
                <w:spacing w:val="1"/>
              </w:rPr>
              <w:t>直接负责的主管人员和其他直接责任人员处以</w:t>
            </w:r>
            <w:r>
              <w:rPr>
                <w:spacing w:val="10"/>
              </w:rPr>
              <w:t xml:space="preserve"> </w:t>
            </w:r>
            <w:r>
              <w:rPr>
                <w:spacing w:val="-13"/>
              </w:rPr>
              <w:t>以下的罚款。</w:t>
            </w:r>
          </w:p>
          <w:p>
            <w:pPr>
              <w:pStyle w:val="8"/>
              <w:spacing w:before="48" w:line="216" w:lineRule="auto"/>
              <w:ind w:left="23"/>
            </w:pPr>
            <w:r>
              <w:rPr>
                <w:spacing w:val="2"/>
              </w:rPr>
              <w:t>股东、实际控制人指使从事前款违法行为的，</w:t>
            </w:r>
          </w:p>
          <w:p>
            <w:pPr>
              <w:pStyle w:val="8"/>
              <w:spacing w:before="220" w:line="104" w:lineRule="exact"/>
              <w:ind w:left="24"/>
            </w:pPr>
            <w:r>
              <w:rPr>
                <w:position w:val="1"/>
              </w:rPr>
              <w:t>。</w:t>
            </w:r>
          </w:p>
        </w:tc>
        <w:tc>
          <w:tcPr>
            <w:tcW w:w="255" w:type="dxa"/>
            <w:tcBorders>
              <w:top w:val="single" w:color="000000" w:sz="2" w:space="0"/>
              <w:left w:val="single" w:color="000000" w:sz="2" w:space="0"/>
              <w:bottom w:val="single" w:color="000000" w:sz="2" w:space="0"/>
            </w:tcBorders>
            <w:shd w:val="clear" w:color="auto" w:fill="D9D9D9"/>
            <w:vAlign w:val="top"/>
          </w:tcPr>
          <w:p>
            <w:pPr>
              <w:pStyle w:val="8"/>
              <w:spacing w:before="56" w:line="193" w:lineRule="auto"/>
              <w:jc w:val="right"/>
            </w:pPr>
            <w:r>
              <w:rPr>
                <w:spacing w:val="-28"/>
              </w:rPr>
              <w:t>三</w:t>
            </w:r>
          </w:p>
        </w:tc>
        <w:tc>
          <w:tcPr>
            <w:tcW w:w="681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953" w:type="dxa"/>
            <w:vMerge w:val="continue"/>
            <w:tcBorders>
              <w:top w:val="nil"/>
              <w:bottom w:val="nil"/>
              <w:right w:val="nil"/>
            </w:tcBorders>
            <w:vAlign w:val="top"/>
          </w:tcPr>
          <w:p>
            <w:pPr>
              <w:rPr>
                <w:rFonts w:ascii="Arial"/>
                <w:sz w:val="21"/>
              </w:rPr>
            </w:pPr>
          </w:p>
        </w:tc>
        <w:tc>
          <w:tcPr>
            <w:tcW w:w="4886" w:type="dxa"/>
            <w:vMerge w:val="continue"/>
            <w:tcBorders>
              <w:top w:val="nil"/>
              <w:left w:val="nil"/>
              <w:bottom w:val="nil"/>
              <w:right w:val="nil"/>
            </w:tcBorders>
            <w:vAlign w:val="top"/>
          </w:tcPr>
          <w:p>
            <w:pPr>
              <w:rPr>
                <w:rFonts w:ascii="Arial"/>
                <w:sz w:val="21"/>
              </w:rPr>
            </w:pPr>
          </w:p>
        </w:tc>
        <w:tc>
          <w:tcPr>
            <w:tcW w:w="255" w:type="dxa"/>
            <w:tcBorders>
              <w:top w:val="single" w:color="000000" w:sz="2" w:space="0"/>
              <w:left w:val="nil"/>
              <w:bottom w:val="single" w:color="000000" w:sz="2" w:space="0"/>
            </w:tcBorders>
            <w:vAlign w:val="top"/>
          </w:tcPr>
          <w:p>
            <w:pPr>
              <w:rPr>
                <w:rFonts w:ascii="Arial"/>
                <w:sz w:val="21"/>
              </w:rPr>
            </w:pPr>
          </w:p>
        </w:tc>
        <w:tc>
          <w:tcPr>
            <w:tcW w:w="681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953" w:type="dxa"/>
            <w:vMerge w:val="continue"/>
            <w:tcBorders>
              <w:top w:val="nil"/>
              <w:bottom w:val="single" w:color="000000" w:sz="2" w:space="0"/>
              <w:right w:val="nil"/>
            </w:tcBorders>
            <w:vAlign w:val="top"/>
          </w:tcPr>
          <w:p>
            <w:pPr>
              <w:rPr>
                <w:rFonts w:ascii="Arial"/>
                <w:sz w:val="21"/>
              </w:rPr>
            </w:pPr>
          </w:p>
        </w:tc>
        <w:tc>
          <w:tcPr>
            <w:tcW w:w="4886" w:type="dxa"/>
            <w:vMerge w:val="continue"/>
            <w:tcBorders>
              <w:top w:val="nil"/>
              <w:left w:val="nil"/>
              <w:bottom w:val="nil"/>
              <w:right w:val="nil"/>
            </w:tcBorders>
            <w:vAlign w:val="top"/>
          </w:tcPr>
          <w:p>
            <w:pPr>
              <w:rPr>
                <w:rFonts w:ascii="Arial"/>
                <w:sz w:val="21"/>
              </w:rPr>
            </w:pPr>
          </w:p>
        </w:tc>
        <w:tc>
          <w:tcPr>
            <w:tcW w:w="255" w:type="dxa"/>
            <w:tcBorders>
              <w:top w:val="single" w:color="000000" w:sz="2" w:space="0"/>
              <w:left w:val="single" w:color="000000" w:sz="2" w:space="0"/>
              <w:bottom w:val="single" w:color="000000" w:sz="2" w:space="0"/>
            </w:tcBorders>
            <w:shd w:val="clear" w:color="auto" w:fill="D9D9D9"/>
            <w:vAlign w:val="top"/>
          </w:tcPr>
          <w:p>
            <w:pPr>
              <w:pStyle w:val="8"/>
              <w:spacing w:before="56" w:line="196" w:lineRule="auto"/>
              <w:jc w:val="right"/>
            </w:pPr>
            <w:r>
              <w:t>依</w:t>
            </w:r>
          </w:p>
        </w:tc>
        <w:tc>
          <w:tcPr>
            <w:tcW w:w="681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953" w:type="dxa"/>
            <w:tcBorders>
              <w:top w:val="single" w:color="000000" w:sz="2" w:space="0"/>
              <w:bottom w:val="single" w:color="000000" w:sz="2" w:space="0"/>
              <w:right w:val="single" w:color="000000" w:sz="2" w:space="0"/>
            </w:tcBorders>
            <w:shd w:val="clear" w:color="auto" w:fill="D9D9D9"/>
            <w:vAlign w:val="top"/>
          </w:tcPr>
          <w:p>
            <w:pPr>
              <w:pStyle w:val="8"/>
              <w:spacing w:before="61" w:line="189" w:lineRule="auto"/>
              <w:ind w:right="5"/>
              <w:jc w:val="right"/>
            </w:pPr>
            <w:r>
              <w:rPr>
                <w:spacing w:val="-3"/>
              </w:rPr>
              <w:t>照前款的规定处罚</w:t>
            </w:r>
          </w:p>
        </w:tc>
        <w:tc>
          <w:tcPr>
            <w:tcW w:w="4886" w:type="dxa"/>
            <w:vMerge w:val="continue"/>
            <w:tcBorders>
              <w:top w:val="nil"/>
              <w:left w:val="nil"/>
              <w:bottom w:val="nil"/>
              <w:right w:val="nil"/>
            </w:tcBorders>
            <w:vAlign w:val="top"/>
          </w:tcPr>
          <w:p>
            <w:pPr>
              <w:rPr>
                <w:rFonts w:ascii="Arial"/>
                <w:sz w:val="21"/>
              </w:rPr>
            </w:pPr>
          </w:p>
        </w:tc>
        <w:tc>
          <w:tcPr>
            <w:tcW w:w="255" w:type="dxa"/>
            <w:vMerge w:val="restart"/>
            <w:tcBorders>
              <w:top w:val="single" w:color="000000" w:sz="2" w:space="0"/>
              <w:left w:val="nil"/>
              <w:bottom w:val="nil"/>
            </w:tcBorders>
            <w:vAlign w:val="top"/>
          </w:tcPr>
          <w:p>
            <w:pPr>
              <w:rPr>
                <w:rFonts w:ascii="Arial"/>
                <w:sz w:val="21"/>
              </w:rPr>
            </w:pPr>
          </w:p>
        </w:tc>
        <w:tc>
          <w:tcPr>
            <w:tcW w:w="681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1953" w:type="dxa"/>
            <w:tcBorders>
              <w:top w:val="single" w:color="000000" w:sz="2" w:space="0"/>
              <w:right w:val="nil"/>
            </w:tcBorders>
            <w:vAlign w:val="top"/>
          </w:tcPr>
          <w:p>
            <w:pPr>
              <w:rPr>
                <w:rFonts w:ascii="Arial"/>
                <w:sz w:val="21"/>
              </w:rPr>
            </w:pPr>
          </w:p>
        </w:tc>
        <w:tc>
          <w:tcPr>
            <w:tcW w:w="4886" w:type="dxa"/>
            <w:vMerge w:val="continue"/>
            <w:tcBorders>
              <w:top w:val="nil"/>
              <w:left w:val="nil"/>
              <w:right w:val="nil"/>
            </w:tcBorders>
            <w:vAlign w:val="top"/>
          </w:tcPr>
          <w:p>
            <w:pPr>
              <w:rPr>
                <w:rFonts w:ascii="Arial"/>
                <w:sz w:val="21"/>
              </w:rPr>
            </w:pPr>
          </w:p>
        </w:tc>
        <w:tc>
          <w:tcPr>
            <w:tcW w:w="255" w:type="dxa"/>
            <w:vMerge w:val="continue"/>
            <w:tcBorders>
              <w:top w:val="nil"/>
              <w:left w:val="nil"/>
            </w:tcBorders>
            <w:vAlign w:val="top"/>
          </w:tcPr>
          <w:p>
            <w:pPr>
              <w:rPr>
                <w:rFonts w:ascii="Arial"/>
                <w:sz w:val="21"/>
              </w:rPr>
            </w:pPr>
          </w:p>
        </w:tc>
        <w:tc>
          <w:tcPr>
            <w:tcW w:w="6813"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1" w:hRule="atLeast"/>
        </w:trPr>
        <w:tc>
          <w:tcPr>
            <w:tcW w:w="7094" w:type="dxa"/>
            <w:gridSpan w:val="3"/>
            <w:vAlign w:val="top"/>
          </w:tcPr>
          <w:p>
            <w:pPr>
              <w:pStyle w:val="8"/>
              <w:spacing w:before="44" w:line="233" w:lineRule="auto"/>
              <w:ind w:left="20" w:firstLine="491"/>
              <w:jc w:val="both"/>
            </w:pPr>
            <w:r>
              <w:rPr>
                <w:rFonts w:ascii="黑体" w:hAnsi="黑体" w:eastAsia="黑体" w:cs="黑体"/>
                <w:spacing w:val="3"/>
              </w:rPr>
              <w:t xml:space="preserve">第一百九十二条  </w:t>
            </w:r>
            <w:r>
              <w:rPr>
                <w:spacing w:val="3"/>
              </w:rPr>
              <w:t>保荐人出具有虚假记载、误导性陈述或者重</w:t>
            </w:r>
            <w:r>
              <w:t xml:space="preserve"> </w:t>
            </w:r>
            <w:r>
              <w:rPr>
                <w:spacing w:val="-1"/>
              </w:rPr>
              <w:t>大遗漏的保荐书，或者不履行其他法定职责的， 责令改正，给予警</w:t>
            </w:r>
            <w:r>
              <w:rPr>
                <w:spacing w:val="6"/>
              </w:rPr>
              <w:t xml:space="preserve"> </w:t>
            </w:r>
            <w:r>
              <w:rPr>
                <w:spacing w:val="1"/>
              </w:rPr>
              <w:t>告，没收业务收入，并处</w:t>
            </w:r>
            <w:r>
              <w:rPr>
                <w:spacing w:val="-71"/>
                <w:u w:val="single" w:color="auto"/>
              </w:rPr>
              <w:t xml:space="preserve"> </w:t>
            </w:r>
            <w:r>
              <w:rPr>
                <w:spacing w:val="1"/>
                <w:u w:val="single" w:color="auto"/>
              </w:rPr>
              <w:t>以业</w:t>
            </w:r>
            <w:r>
              <w:rPr>
                <w:spacing w:val="-117"/>
                <w:u w:val="single" w:color="auto"/>
              </w:rPr>
              <w:t xml:space="preserve"> </w:t>
            </w:r>
            <w:r>
              <w:rPr>
                <w:position w:val="-7"/>
              </w:rPr>
              <w:drawing>
                <wp:inline distT="0" distB="0" distL="0" distR="0">
                  <wp:extent cx="5715" cy="5715"/>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99"/>
                          <a:stretch>
                            <a:fillRect/>
                          </a:stretch>
                        </pic:blipFill>
                        <pic:spPr>
                          <a:xfrm>
                            <a:off x="0" y="0"/>
                            <a:ext cx="6089" cy="6095"/>
                          </a:xfrm>
                          <a:prstGeom prst="rect">
                            <a:avLst/>
                          </a:prstGeom>
                        </pic:spPr>
                      </pic:pic>
                    </a:graphicData>
                  </a:graphic>
                </wp:inline>
              </w:drawing>
            </w:r>
            <w:r>
              <w:rPr>
                <w:spacing w:val="-114"/>
              </w:rPr>
              <w:t xml:space="preserve"> </w:t>
            </w:r>
            <w:r>
              <w:rPr>
                <w:spacing w:val="1"/>
              </w:rPr>
              <w:t>务收入一倍以上五倍以下的罚款；情</w:t>
            </w:r>
            <w:r>
              <w:t xml:space="preserve"> </w:t>
            </w:r>
            <w:r>
              <w:rPr>
                <w:spacing w:val="-2"/>
              </w:rPr>
              <w:t>节严重的， 暂停或者撤销</w:t>
            </w:r>
            <w:r>
              <w:rPr>
                <w:position w:val="-6"/>
              </w:rPr>
              <w:drawing>
                <wp:inline distT="0" distB="0" distL="0" distR="0">
                  <wp:extent cx="8890" cy="1981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76"/>
                          <a:stretch>
                            <a:fillRect/>
                          </a:stretch>
                        </pic:blipFill>
                        <pic:spPr>
                          <a:xfrm>
                            <a:off x="0" y="0"/>
                            <a:ext cx="9261" cy="198120"/>
                          </a:xfrm>
                          <a:prstGeom prst="rect">
                            <a:avLst/>
                          </a:prstGeom>
                        </pic:spPr>
                      </pic:pic>
                    </a:graphicData>
                  </a:graphic>
                </wp:inline>
              </w:drawing>
            </w:r>
            <w:r>
              <w:rPr>
                <w:spacing w:val="-2"/>
                <w:shd w:val="clear" w:fill="D9D9D9"/>
              </w:rPr>
              <w:t>相关</w:t>
            </w:r>
            <w:r>
              <w:rPr>
                <w:position w:val="-6"/>
              </w:rPr>
              <w:drawing>
                <wp:inline distT="0" distB="0" distL="0" distR="0">
                  <wp:extent cx="8890" cy="1981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05"/>
                          <a:stretch>
                            <a:fillRect/>
                          </a:stretch>
                        </pic:blipFill>
                        <pic:spPr>
                          <a:xfrm>
                            <a:off x="0" y="0"/>
                            <a:ext cx="9261" cy="198120"/>
                          </a:xfrm>
                          <a:prstGeom prst="rect">
                            <a:avLst/>
                          </a:prstGeom>
                        </pic:spPr>
                      </pic:pic>
                    </a:graphicData>
                  </a:graphic>
                </wp:inline>
              </w:drawing>
            </w:r>
            <w:r>
              <w:rPr>
                <w:spacing w:val="-2"/>
              </w:rPr>
              <w:t>业务许可。对直接负责的主管人员和</w:t>
            </w:r>
          </w:p>
          <w:p>
            <w:pPr>
              <w:spacing w:line="9" w:lineRule="exact"/>
              <w:ind w:left="2682"/>
            </w:pPr>
            <w:r>
              <w:drawing>
                <wp:inline distT="0" distB="0" distL="0" distR="0">
                  <wp:extent cx="321310" cy="5715"/>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24"/>
                          <a:stretch>
                            <a:fillRect/>
                          </a:stretch>
                        </pic:blipFill>
                        <pic:spPr>
                          <a:xfrm>
                            <a:off x="0" y="0"/>
                            <a:ext cx="321564" cy="6095"/>
                          </a:xfrm>
                          <a:prstGeom prst="rect">
                            <a:avLst/>
                          </a:prstGeom>
                        </pic:spPr>
                      </pic:pic>
                    </a:graphicData>
                  </a:graphic>
                </wp:inline>
              </w:drawing>
            </w:r>
          </w:p>
          <w:p>
            <w:pPr>
              <w:spacing w:line="9" w:lineRule="exact"/>
              <w:ind w:left="3888"/>
            </w:pPr>
            <w:r>
              <w:drawing>
                <wp:inline distT="0" distB="0" distL="0" distR="0">
                  <wp:extent cx="1104900" cy="5715"/>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25"/>
                          <a:stretch>
                            <a:fillRect/>
                          </a:stretch>
                        </pic:blipFill>
                        <pic:spPr>
                          <a:xfrm>
                            <a:off x="0" y="0"/>
                            <a:ext cx="1104900" cy="6095"/>
                          </a:xfrm>
                          <a:prstGeom prst="rect">
                            <a:avLst/>
                          </a:prstGeom>
                        </pic:spPr>
                      </pic:pic>
                    </a:graphicData>
                  </a:graphic>
                </wp:inline>
              </w:drawing>
            </w:r>
          </w:p>
          <w:p>
            <w:pPr>
              <w:pStyle w:val="8"/>
              <w:spacing w:before="1" w:line="243" w:lineRule="auto"/>
              <w:ind w:left="14" w:right="1" w:hanging="1"/>
            </w:pPr>
            <w:r>
              <w:rPr>
                <w:spacing w:val="-2"/>
                <w:position w:val="7"/>
              </w:rPr>
              <w:t>其</w:t>
            </w:r>
            <w:r>
              <w:rPr>
                <w:spacing w:val="-2"/>
                <w:position w:val="7"/>
                <w:u w:val="single" w:color="auto"/>
              </w:rPr>
              <w:t>他直接责任人员给予警告，并处以</w:t>
            </w:r>
            <w:r>
              <w:drawing>
                <wp:inline distT="0" distB="0" distL="0" distR="0">
                  <wp:extent cx="3810" cy="203835"/>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70"/>
                          <a:stretch>
                            <a:fillRect/>
                          </a:stretch>
                        </pic:blipFill>
                        <pic:spPr>
                          <a:xfrm>
                            <a:off x="0" y="0"/>
                            <a:ext cx="4308" cy="204215"/>
                          </a:xfrm>
                          <a:prstGeom prst="rect">
                            <a:avLst/>
                          </a:prstGeom>
                        </pic:spPr>
                      </pic:pic>
                    </a:graphicData>
                  </a:graphic>
                </wp:inline>
              </w:drawing>
            </w:r>
            <w:r>
              <w:drawing>
                <wp:inline distT="0" distB="0" distL="0" distR="0">
                  <wp:extent cx="3810" cy="5715"/>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75"/>
                          <a:stretch>
                            <a:fillRect/>
                          </a:stretch>
                        </pic:blipFill>
                        <pic:spPr>
                          <a:xfrm>
                            <a:off x="0" y="0"/>
                            <a:ext cx="4308" cy="6095"/>
                          </a:xfrm>
                          <a:prstGeom prst="rect">
                            <a:avLst/>
                          </a:prstGeom>
                        </pic:spPr>
                      </pic:pic>
                    </a:graphicData>
                  </a:graphic>
                </wp:inline>
              </w:drawing>
            </w:r>
            <w:r>
              <w:rPr>
                <w:spacing w:val="-86"/>
                <w:position w:val="7"/>
                <w:u w:val="single" w:color="auto"/>
              </w:rPr>
              <w:t xml:space="preserve"> </w:t>
            </w:r>
            <w:r>
              <w:rPr>
                <w:spacing w:val="-2"/>
                <w:position w:val="7"/>
                <w:u w:val="single" w:color="auto"/>
                <w:shd w:val="clear" w:fill="D9D9D9"/>
              </w:rPr>
              <w:t>三</w:t>
            </w:r>
            <w:r>
              <w:drawing>
                <wp:inline distT="0" distB="0" distL="0" distR="0">
                  <wp:extent cx="3810" cy="203835"/>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70"/>
                          <a:stretch>
                            <a:fillRect/>
                          </a:stretch>
                        </pic:blipFill>
                        <pic:spPr>
                          <a:xfrm>
                            <a:off x="0" y="0"/>
                            <a:ext cx="4308" cy="204215"/>
                          </a:xfrm>
                          <a:prstGeom prst="rect">
                            <a:avLst/>
                          </a:prstGeom>
                        </pic:spPr>
                      </pic:pic>
                    </a:graphicData>
                  </a:graphic>
                </wp:inline>
              </w:drawing>
            </w:r>
            <w:r>
              <w:drawing>
                <wp:inline distT="0" distB="0" distL="0" distR="0">
                  <wp:extent cx="3810" cy="5715"/>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75"/>
                          <a:stretch>
                            <a:fillRect/>
                          </a:stretch>
                        </pic:blipFill>
                        <pic:spPr>
                          <a:xfrm>
                            <a:off x="0" y="0"/>
                            <a:ext cx="4308" cy="6095"/>
                          </a:xfrm>
                          <a:prstGeom prst="rect">
                            <a:avLst/>
                          </a:prstGeom>
                        </pic:spPr>
                      </pic:pic>
                    </a:graphicData>
                  </a:graphic>
                </wp:inline>
              </w:drawing>
            </w:r>
            <w:r>
              <w:rPr>
                <w:spacing w:val="-97"/>
                <w:position w:val="7"/>
                <w:u w:val="single" w:color="auto"/>
              </w:rPr>
              <w:t xml:space="preserve"> </w:t>
            </w:r>
            <w:r>
              <w:rPr>
                <w:spacing w:val="-2"/>
                <w:position w:val="7"/>
                <w:u w:val="single" w:color="auto"/>
              </w:rPr>
              <w:t>万元以上</w:t>
            </w:r>
            <w:r>
              <w:drawing>
                <wp:inline distT="0" distB="0" distL="0" distR="0">
                  <wp:extent cx="3810" cy="203835"/>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76"/>
                          <a:stretch>
                            <a:fillRect/>
                          </a:stretch>
                        </pic:blipFill>
                        <pic:spPr>
                          <a:xfrm>
                            <a:off x="0" y="0"/>
                            <a:ext cx="4308" cy="204215"/>
                          </a:xfrm>
                          <a:prstGeom prst="rect">
                            <a:avLst/>
                          </a:prstGeom>
                        </pic:spPr>
                      </pic:pic>
                    </a:graphicData>
                  </a:graphic>
                </wp:inline>
              </w:drawing>
            </w:r>
            <w:r>
              <w:drawing>
                <wp:inline distT="0" distB="0" distL="0" distR="0">
                  <wp:extent cx="3810" cy="5715"/>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74"/>
                          <a:stretch>
                            <a:fillRect/>
                          </a:stretch>
                        </pic:blipFill>
                        <pic:spPr>
                          <a:xfrm>
                            <a:off x="0" y="0"/>
                            <a:ext cx="4308" cy="6095"/>
                          </a:xfrm>
                          <a:prstGeom prst="rect">
                            <a:avLst/>
                          </a:prstGeom>
                        </pic:spPr>
                      </pic:pic>
                    </a:graphicData>
                  </a:graphic>
                </wp:inline>
              </w:drawing>
            </w:r>
            <w:r>
              <w:rPr>
                <w:spacing w:val="-93"/>
                <w:position w:val="7"/>
                <w:u w:val="single" w:color="auto"/>
                <w:shd w:val="clear" w:fill="D9D9D9"/>
              </w:rPr>
              <w:t xml:space="preserve"> </w:t>
            </w:r>
            <w:r>
              <w:rPr>
                <w:spacing w:val="-2"/>
                <w:position w:val="7"/>
                <w:u w:val="single" w:color="auto"/>
                <w:shd w:val="clear" w:fill="D9D9D9"/>
              </w:rPr>
              <w:t>三十</w:t>
            </w:r>
            <w:r>
              <w:drawing>
                <wp:inline distT="0" distB="0" distL="0" distR="0">
                  <wp:extent cx="3810" cy="203835"/>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76"/>
                          <a:stretch>
                            <a:fillRect/>
                          </a:stretch>
                        </pic:blipFill>
                        <pic:spPr>
                          <a:xfrm>
                            <a:off x="0" y="0"/>
                            <a:ext cx="4308" cy="204215"/>
                          </a:xfrm>
                          <a:prstGeom prst="rect">
                            <a:avLst/>
                          </a:prstGeom>
                        </pic:spPr>
                      </pic:pic>
                    </a:graphicData>
                  </a:graphic>
                </wp:inline>
              </w:drawing>
            </w:r>
            <w:r>
              <w:drawing>
                <wp:inline distT="0" distB="0" distL="0" distR="0">
                  <wp:extent cx="3810" cy="5715"/>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74"/>
                          <a:stretch>
                            <a:fillRect/>
                          </a:stretch>
                        </pic:blipFill>
                        <pic:spPr>
                          <a:xfrm>
                            <a:off x="0" y="0"/>
                            <a:ext cx="4308" cy="6095"/>
                          </a:xfrm>
                          <a:prstGeom prst="rect">
                            <a:avLst/>
                          </a:prstGeom>
                        </pic:spPr>
                      </pic:pic>
                    </a:graphicData>
                  </a:graphic>
                </wp:inline>
              </w:drawing>
            </w:r>
            <w:r>
              <w:rPr>
                <w:spacing w:val="-98"/>
                <w:position w:val="7"/>
              </w:rPr>
              <w:t xml:space="preserve"> </w:t>
            </w:r>
            <w:r>
              <w:rPr>
                <w:spacing w:val="-2"/>
                <w:position w:val="7"/>
              </w:rPr>
              <w:t>万元以下的罚</w:t>
            </w:r>
            <w:r>
              <w:rPr>
                <w:position w:val="7"/>
              </w:rPr>
              <w:t xml:space="preserve"> </w:t>
            </w:r>
            <w:r>
              <w:rPr>
                <w:spacing w:val="-2"/>
              </w:rPr>
              <w:t>款</w:t>
            </w:r>
            <w:r>
              <w:rPr>
                <w:position w:val="-7"/>
              </w:rPr>
              <w:drawing>
                <wp:inline distT="0" distB="0" distL="0" distR="0">
                  <wp:extent cx="5080" cy="20447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76"/>
                          <a:stretch>
                            <a:fillRect/>
                          </a:stretch>
                        </pic:blipFill>
                        <pic:spPr>
                          <a:xfrm>
                            <a:off x="0" y="0"/>
                            <a:ext cx="5443" cy="204596"/>
                          </a:xfrm>
                          <a:prstGeom prst="rect">
                            <a:avLst/>
                          </a:prstGeom>
                        </pic:spPr>
                      </pic:pic>
                    </a:graphicData>
                  </a:graphic>
                </wp:inline>
              </w:drawing>
            </w:r>
            <w:r>
              <w:rPr>
                <w:position w:val="-7"/>
              </w:rPr>
              <w:drawing>
                <wp:inline distT="0" distB="0" distL="0" distR="0">
                  <wp:extent cx="5080" cy="5715"/>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74"/>
                          <a:stretch>
                            <a:fillRect/>
                          </a:stretch>
                        </pic:blipFill>
                        <pic:spPr>
                          <a:xfrm>
                            <a:off x="0" y="0"/>
                            <a:ext cx="5443" cy="6095"/>
                          </a:xfrm>
                          <a:prstGeom prst="rect">
                            <a:avLst/>
                          </a:prstGeom>
                        </pic:spPr>
                      </pic:pic>
                    </a:graphicData>
                  </a:graphic>
                </wp:inline>
              </w:drawing>
            </w:r>
            <w:r>
              <w:rPr>
                <w:spacing w:val="-92"/>
                <w:u w:val="single" w:color="auto"/>
                <w:shd w:val="clear" w:fill="D9D9D9"/>
              </w:rPr>
              <w:t xml:space="preserve"> </w:t>
            </w:r>
            <w:r>
              <w:rPr>
                <w:spacing w:val="-2"/>
                <w:u w:val="single" w:color="auto"/>
                <w:shd w:val="clear" w:fill="D9D9D9"/>
              </w:rPr>
              <w:t>；情节严重的，撤销任职资格或者证券从业资格</w:t>
            </w:r>
            <w:r>
              <w:rPr>
                <w:position w:val="-7"/>
              </w:rPr>
              <w:drawing>
                <wp:inline distT="0" distB="0" distL="0" distR="0">
                  <wp:extent cx="5080" cy="20447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70"/>
                          <a:stretch>
                            <a:fillRect/>
                          </a:stretch>
                        </pic:blipFill>
                        <pic:spPr>
                          <a:xfrm>
                            <a:off x="0" y="0"/>
                            <a:ext cx="5444" cy="204596"/>
                          </a:xfrm>
                          <a:prstGeom prst="rect">
                            <a:avLst/>
                          </a:prstGeom>
                        </pic:spPr>
                      </pic:pic>
                    </a:graphicData>
                  </a:graphic>
                </wp:inline>
              </w:drawing>
            </w:r>
            <w:r>
              <w:rPr>
                <w:spacing w:val="-2"/>
              </w:rPr>
              <w:t>。</w:t>
            </w:r>
          </w:p>
        </w:tc>
        <w:tc>
          <w:tcPr>
            <w:tcW w:w="6813" w:type="dxa"/>
            <w:vAlign w:val="top"/>
          </w:tcPr>
          <w:p>
            <w:pPr>
              <w:pStyle w:val="8"/>
              <w:spacing w:before="48" w:line="236" w:lineRule="auto"/>
              <w:ind w:left="19" w:right="2" w:firstLine="497"/>
              <w:jc w:val="both"/>
            </w:pPr>
            <w:r>
              <w:rPr>
                <w:rFonts w:ascii="黑体" w:hAnsi="黑体" w:eastAsia="黑体" w:cs="黑体"/>
                <w:spacing w:val="1"/>
              </w:rPr>
              <w:t xml:space="preserve">第一百八十二条  </w:t>
            </w:r>
            <w:r>
              <w:rPr>
                <w:spacing w:val="1"/>
              </w:rPr>
              <w:t>保荐人出具有虚假记载、误导性陈述或者</w:t>
            </w:r>
            <w:r>
              <w:rPr>
                <w:spacing w:val="8"/>
              </w:rPr>
              <w:t xml:space="preserve"> </w:t>
            </w:r>
            <w:r>
              <w:rPr>
                <w:spacing w:val="-3"/>
              </w:rPr>
              <w:t>重大遗漏的保荐书，或者不履行其他法定职责的， 责令改正，给</w:t>
            </w:r>
            <w:r>
              <w:rPr>
                <w:spacing w:val="11"/>
              </w:rPr>
              <w:t xml:space="preserve"> </w:t>
            </w:r>
            <w:r>
              <w:rPr>
                <w:spacing w:val="-2"/>
              </w:rPr>
              <w:t>予警告， 没收业务收入，并处以业务收入</w:t>
            </w:r>
            <w:r>
              <w:rPr>
                <w:spacing w:val="-3"/>
              </w:rPr>
              <w:t>一倍以上</w:t>
            </w:r>
            <w:r>
              <w:rPr>
                <w:rFonts w:ascii="黑体" w:hAnsi="黑体" w:eastAsia="黑体" w:cs="黑体"/>
                <w:spacing w:val="-3"/>
              </w:rPr>
              <w:t>十</w:t>
            </w:r>
            <w:r>
              <w:rPr>
                <w:spacing w:val="-3"/>
              </w:rPr>
              <w:t>倍以下的罚</w:t>
            </w:r>
            <w:r>
              <w:t xml:space="preserve"> </w:t>
            </w:r>
            <w:r>
              <w:rPr>
                <w:spacing w:val="-6"/>
              </w:rPr>
              <w:t xml:space="preserve">款； </w:t>
            </w:r>
            <w:r>
              <w:rPr>
                <w:rFonts w:ascii="黑体" w:hAnsi="黑体" w:eastAsia="黑体" w:cs="黑体"/>
                <w:spacing w:val="-6"/>
              </w:rPr>
              <w:t>没有业务收入或者业务收入不足一百万</w:t>
            </w:r>
            <w:r>
              <w:rPr>
                <w:rFonts w:ascii="黑体" w:hAnsi="黑体" w:eastAsia="黑体" w:cs="黑体"/>
                <w:spacing w:val="-7"/>
              </w:rPr>
              <w:t>元的， 处以一百万元</w:t>
            </w:r>
            <w:r>
              <w:rPr>
                <w:rFonts w:ascii="黑体" w:hAnsi="黑体" w:eastAsia="黑体" w:cs="黑体"/>
              </w:rPr>
              <w:t xml:space="preserve"> </w:t>
            </w:r>
            <w:r>
              <w:rPr>
                <w:rFonts w:ascii="黑体" w:hAnsi="黑体" w:eastAsia="黑体" w:cs="黑体"/>
                <w:spacing w:val="2"/>
              </w:rPr>
              <w:t>以上一千万元以下的罚款</w:t>
            </w:r>
            <w:r>
              <w:rPr>
                <w:spacing w:val="2"/>
              </w:rPr>
              <w:t>；情节严重的，并处暂停</w:t>
            </w:r>
            <w:r>
              <w:rPr>
                <w:spacing w:val="1"/>
              </w:rPr>
              <w:t>或者撤销</w:t>
            </w:r>
            <w:r>
              <w:rPr>
                <w:rFonts w:ascii="黑体" w:hAnsi="黑体" w:eastAsia="黑体" w:cs="黑体"/>
                <w:spacing w:val="1"/>
              </w:rPr>
              <w:t>保荐</w:t>
            </w:r>
            <w:r>
              <w:rPr>
                <w:rFonts w:ascii="黑体" w:hAnsi="黑体" w:eastAsia="黑体" w:cs="黑体"/>
              </w:rPr>
              <w:t xml:space="preserve"> </w:t>
            </w:r>
            <w:r>
              <w:rPr>
                <w:spacing w:val="11"/>
              </w:rPr>
              <w:t>业务许可。对直接负责的主管人员和其他直接责任人员</w:t>
            </w:r>
            <w:r>
              <w:rPr>
                <w:spacing w:val="10"/>
              </w:rPr>
              <w:t>给予警</w:t>
            </w:r>
            <w:r>
              <w:t xml:space="preserve"> </w:t>
            </w:r>
            <w:r>
              <w:rPr>
                <w:spacing w:val="-3"/>
              </w:rPr>
              <w:t>告，并处以</w:t>
            </w:r>
            <w:r>
              <w:rPr>
                <w:rFonts w:ascii="黑体" w:hAnsi="黑体" w:eastAsia="黑体" w:cs="黑体"/>
                <w:spacing w:val="-3"/>
              </w:rPr>
              <w:t>五</w:t>
            </w:r>
            <w:r>
              <w:rPr>
                <w:spacing w:val="-3"/>
              </w:rPr>
              <w:t>十万元以上</w:t>
            </w:r>
            <w:r>
              <w:rPr>
                <w:rFonts w:ascii="黑体" w:hAnsi="黑体" w:eastAsia="黑体" w:cs="黑体"/>
                <w:spacing w:val="-3"/>
              </w:rPr>
              <w:t>五</w:t>
            </w:r>
            <w:r>
              <w:rPr>
                <w:spacing w:val="-3"/>
              </w:rPr>
              <w:t>百万元以下的罚款。</w:t>
            </w:r>
          </w:p>
        </w:tc>
      </w:tr>
    </w:tbl>
    <w:p>
      <w:pPr>
        <w:rPr>
          <w:rFonts w:ascii="Arial"/>
          <w:sz w:val="21"/>
        </w:rPr>
      </w:pPr>
    </w:p>
    <w:p>
      <w:pPr>
        <w:rPr>
          <w:rFonts w:ascii="Arial" w:hAnsi="Arial" w:eastAsia="Arial" w:cs="Arial"/>
          <w:sz w:val="21"/>
          <w:szCs w:val="21"/>
        </w:rPr>
        <w:sectPr>
          <w:footerReference r:id="rId53" w:type="default"/>
          <w:pgSz w:w="16845" w:h="11910"/>
          <w:pgMar w:top="1012" w:right="1501" w:bottom="1157" w:left="1420" w:header="0" w:footer="996" w:gutter="0"/>
          <w:cols w:space="720" w:num="1"/>
        </w:sectPr>
      </w:pPr>
    </w:p>
    <w:p>
      <w:pPr>
        <w:spacing w:line="120" w:lineRule="exact"/>
      </w:pPr>
      <w:r>
        <w:pict>
          <v:rect id="_x0000_s1105" o:spid="_x0000_s1105" o:spt="1" style="position:absolute;left:0pt;margin-left:413.05pt;margin-top:458.6pt;height:0.5pt;width:12.4pt;mso-position-horizontal-relative:page;mso-position-vertical-relative:page;z-index:251735040;mso-width-relative:page;mso-height-relative:page;" fillcolor="#000000" filled="t" stroked="f" coordsize="21600,21600" o:allowincell="f">
            <v:path/>
            <v:fill on="t" focussize="0,0"/>
            <v:stroke on="f"/>
            <v:imagedata o:title=""/>
            <o:lock v:ext="edit"/>
          </v:rect>
        </w:pict>
      </w:r>
      <w:r>
        <w:pict>
          <v:rect id="_x0000_s1106" o:spid="_x0000_s1106" o:spt="1" style="position:absolute;left:0pt;margin-left:291.05pt;margin-top:458.6pt;height:0.5pt;width:0.5pt;mso-position-horizontal-relative:page;mso-position-vertical-relative:page;z-index:251736064;mso-width-relative:page;mso-height-relative:page;" fillcolor="#000000" filled="t" stroked="f" coordsize="21600,21600" o:allowincell="f">
            <v:path/>
            <v:fill on="t" focussize="0,0"/>
            <v:stroke on="f"/>
            <v:imagedata o:title=""/>
            <o:lock v:ext="edit"/>
          </v:rect>
        </w:pict>
      </w:r>
      <w:r>
        <w:pict>
          <v:rect id="_x0000_s1107" o:spid="_x0000_s1107" o:spt="1" style="position:absolute;left:0pt;margin-left:217.3pt;margin-top:458.6pt;height:0.5pt;width:0.5pt;mso-position-horizontal-relative:page;mso-position-vertical-relative:page;z-index:251738112;mso-width-relative:page;mso-height-relative:page;" fillcolor="#000000" filled="t" stroked="f" coordsize="21600,21600" o:allowincell="f">
            <v:path/>
            <v:fill on="t" focussize="0,0"/>
            <v:stroke on="f"/>
            <v:imagedata o:title=""/>
            <o:lock v:ext="edit"/>
          </v:rect>
        </w:pict>
      </w:r>
      <w:r>
        <w:pict>
          <v:shape id="_x0000_s1108" o:spid="_x0000_s1108" style="position:absolute;left:0pt;margin-left:315.65pt;margin-top:458.6pt;height:0.5pt;width:0.5pt;mso-position-horizontal-relative:page;mso-position-vertical-relative:page;z-index:251737088;mso-width-relative:page;mso-height-relative:page;" fillcolor="#000000" filled="t" stroked="f" coordsize="10,10" o:allowincell="f" path="m0,0l9,0,9,9,0,9,0,0xem0,0l9,0,9,9,0,9,0,0xe">
            <v:path/>
            <v:fill on="t" focussize="0,0"/>
            <v:stroke on="f"/>
            <v:imagedata o:title=""/>
            <o:lock v:ext="edit"/>
          </v:shape>
        </w:pict>
      </w:r>
      <w:r>
        <w:pict>
          <v:shape id="_x0000_s1109" o:spid="_x0000_s1109" style="position:absolute;left:0pt;margin-left:229.9pt;margin-top:458.6pt;height:0.5pt;width:0.5pt;mso-position-horizontal-relative:page;mso-position-vertical-relative:page;z-index:251739136;mso-width-relative:page;mso-height-relative:page;" fillcolor="#000000" filled="t" stroked="f" coordsize="10,10" o:allowincell="f" path="m0,0l9,0,9,9,0,9,0,0xem0,0l9,0,9,9,0,9,0,0xe">
            <v:path/>
            <v:fill on="t" focussize="0,0"/>
            <v:stroke on="f"/>
            <v:imagedata o:title=""/>
            <o:lock v:ext="edit"/>
          </v:shape>
        </w:pict>
      </w: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
        <w:gridCol w:w="247"/>
        <w:gridCol w:w="241"/>
        <w:gridCol w:w="1949"/>
        <w:gridCol w:w="491"/>
        <w:gridCol w:w="969"/>
        <w:gridCol w:w="256"/>
        <w:gridCol w:w="425"/>
        <w:gridCol w:w="240"/>
        <w:gridCol w:w="1670"/>
        <w:gridCol w:w="337"/>
        <w:gridCol w:w="6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7092" w:type="dxa"/>
            <w:gridSpan w:val="11"/>
            <w:tcBorders>
              <w:top w:val="single" w:color="000000" w:sz="6" w:space="0"/>
              <w:left w:val="single" w:color="000000" w:sz="6" w:space="0"/>
              <w:right w:val="single" w:color="000000" w:sz="6" w:space="0"/>
            </w:tcBorders>
            <w:vAlign w:val="top"/>
          </w:tcPr>
          <w:p>
            <w:pPr>
              <w:pStyle w:val="8"/>
              <w:spacing w:before="15" w:line="243" w:lineRule="auto"/>
              <w:ind w:left="13" w:firstLine="498"/>
              <w:jc w:val="both"/>
            </w:pPr>
            <w:r>
              <w:pict>
                <v:shape id="_x0000_s1110" o:spid="_x0000_s1110" style="position:absolute;left:0pt;margin-left:25.4pt;margin-top:50.75pt;height:0.5pt;width:24.25pt;mso-position-horizontal-relative:page;mso-position-vertical-relative:page;z-index:-251583488;mso-width-relative:page;mso-height-relative:page;" fillcolor="#000000" filled="t" stroked="f" coordsize="485,10" path="m0,0l484,0,484,9,0,9,0,0xe">
                  <v:path/>
                  <v:fill on="t" focussize="0,0"/>
                  <v:stroke on="f"/>
                  <v:imagedata o:title=""/>
                  <o:lock v:ext="edit"/>
                </v:shape>
              </w:pict>
            </w:r>
            <w:r>
              <w:pict>
                <v:shape id="_x0000_s1111" o:spid="_x0000_s1111" style="position:absolute;left:0pt;margin-left:196.9pt;margin-top:50.75pt;height:0.5pt;width:24.25pt;mso-position-horizontal-relative:page;mso-position-vertical-relative:page;z-index:-251584512;mso-width-relative:page;mso-height-relative:page;" fillcolor="#000000" filled="t" stroked="f" coordsize="485,10" path="m0,0l484,0,484,9,0,9,0,0xe">
                  <v:path/>
                  <v:fill on="t" focussize="0,0"/>
                  <v:stroke on="f"/>
                  <v:imagedata o:title=""/>
                  <o:lock v:ext="edit"/>
                </v:shape>
              </w:pict>
            </w:r>
            <w:r>
              <w:rPr>
                <w:rFonts w:ascii="黑体" w:hAnsi="黑体" w:eastAsia="黑体" w:cs="黑体"/>
                <w:spacing w:val="1"/>
                <w:position w:val="8"/>
              </w:rPr>
              <w:t xml:space="preserve">第一百九十条  </w:t>
            </w:r>
            <w:r>
              <w:rPr>
                <w:spacing w:val="1"/>
                <w:position w:val="8"/>
              </w:rPr>
              <w:t>证券公司承销</w:t>
            </w:r>
            <w:r>
              <w:rPr>
                <w:spacing w:val="1"/>
                <w:position w:val="8"/>
                <w:u w:val="single" w:color="auto"/>
              </w:rPr>
              <w:t>或者</w:t>
            </w:r>
            <w:r>
              <w:drawing>
                <wp:inline distT="0" distB="0" distL="0" distR="0">
                  <wp:extent cx="7620" cy="204470"/>
                  <wp:effectExtent l="0" t="0" r="0" b="0"/>
                  <wp:docPr id="848" name="IM 848"/>
                  <wp:cNvGraphicFramePr/>
                  <a:graphic xmlns:a="http://schemas.openxmlformats.org/drawingml/2006/main">
                    <a:graphicData uri="http://schemas.openxmlformats.org/drawingml/2006/picture">
                      <pic:pic xmlns:pic="http://schemas.openxmlformats.org/drawingml/2006/picture">
                        <pic:nvPicPr>
                          <pic:cNvPr id="848" name="IM 848"/>
                          <pic:cNvPicPr/>
                        </pic:nvPicPr>
                        <pic:blipFill>
                          <a:blip r:embed="rId77"/>
                          <a:stretch>
                            <a:fillRect/>
                          </a:stretch>
                        </pic:blipFill>
                        <pic:spPr>
                          <a:xfrm>
                            <a:off x="0" y="0"/>
                            <a:ext cx="8243" cy="204520"/>
                          </a:xfrm>
                          <a:prstGeom prst="rect">
                            <a:avLst/>
                          </a:prstGeom>
                        </pic:spPr>
                      </pic:pic>
                    </a:graphicData>
                  </a:graphic>
                </wp:inline>
              </w:drawing>
            </w:r>
            <w:r>
              <w:rPr>
                <w:spacing w:val="1"/>
                <w:position w:val="8"/>
                <w:u w:val="single" w:color="auto"/>
                <w:shd w:val="clear" w:fill="D9D9D9"/>
              </w:rPr>
              <w:t>代理</w:t>
            </w:r>
            <w:r>
              <w:drawing>
                <wp:inline distT="0" distB="0" distL="0" distR="0">
                  <wp:extent cx="7620" cy="5715"/>
                  <wp:effectExtent l="0" t="0" r="0" b="0"/>
                  <wp:docPr id="850" name="IM 850"/>
                  <wp:cNvGraphicFramePr/>
                  <a:graphic xmlns:a="http://schemas.openxmlformats.org/drawingml/2006/main">
                    <a:graphicData uri="http://schemas.openxmlformats.org/drawingml/2006/picture">
                      <pic:pic xmlns:pic="http://schemas.openxmlformats.org/drawingml/2006/picture">
                        <pic:nvPicPr>
                          <pic:cNvPr id="850" name="IM 850"/>
                          <pic:cNvPicPr/>
                        </pic:nvPicPr>
                        <pic:blipFill>
                          <a:blip r:embed="rId72"/>
                          <a:stretch>
                            <a:fillRect/>
                          </a:stretch>
                        </pic:blipFill>
                        <pic:spPr>
                          <a:xfrm>
                            <a:off x="0" y="0"/>
                            <a:ext cx="8243" cy="6095"/>
                          </a:xfrm>
                          <a:prstGeom prst="rect">
                            <a:avLst/>
                          </a:prstGeom>
                        </pic:spPr>
                      </pic:pic>
                    </a:graphicData>
                  </a:graphic>
                </wp:inline>
              </w:drawing>
            </w:r>
            <w:r>
              <w:rPr>
                <w:spacing w:val="-105"/>
                <w:position w:val="8"/>
                <w:u w:val="single" w:color="auto"/>
                <w:shd w:val="clear" w:fill="D9D9D9"/>
              </w:rPr>
              <w:t xml:space="preserve"> </w:t>
            </w:r>
            <w:r>
              <w:rPr>
                <w:spacing w:val="1"/>
                <w:position w:val="8"/>
                <w:u w:val="single" w:color="auto"/>
                <w:shd w:val="clear" w:fill="D9D9D9"/>
              </w:rPr>
              <w:t>买卖未经</w:t>
            </w:r>
            <w:r>
              <w:rPr>
                <w:position w:val="8"/>
                <w:u w:val="single" w:color="auto"/>
                <w:shd w:val="clear" w:fill="D9D9D9"/>
              </w:rPr>
              <w:t>核准</w:t>
            </w:r>
            <w:r>
              <w:drawing>
                <wp:inline distT="0" distB="0" distL="0" distR="0">
                  <wp:extent cx="7620" cy="204470"/>
                  <wp:effectExtent l="0" t="0" r="0" b="0"/>
                  <wp:docPr id="852" name="IM 852"/>
                  <wp:cNvGraphicFramePr/>
                  <a:graphic xmlns:a="http://schemas.openxmlformats.org/drawingml/2006/main">
                    <a:graphicData uri="http://schemas.openxmlformats.org/drawingml/2006/picture">
                      <pic:pic xmlns:pic="http://schemas.openxmlformats.org/drawingml/2006/picture">
                        <pic:nvPicPr>
                          <pic:cNvPr id="852" name="IM 852"/>
                          <pic:cNvPicPr/>
                        </pic:nvPicPr>
                        <pic:blipFill>
                          <a:blip r:embed="rId77"/>
                          <a:stretch>
                            <a:fillRect/>
                          </a:stretch>
                        </pic:blipFill>
                        <pic:spPr>
                          <a:xfrm>
                            <a:off x="0" y="0"/>
                            <a:ext cx="8243" cy="204520"/>
                          </a:xfrm>
                          <a:prstGeom prst="rect">
                            <a:avLst/>
                          </a:prstGeom>
                        </pic:spPr>
                      </pic:pic>
                    </a:graphicData>
                  </a:graphic>
                </wp:inline>
              </w:drawing>
            </w:r>
            <w:r>
              <w:rPr>
                <w:position w:val="8"/>
              </w:rPr>
              <w:t xml:space="preserve">擅自公开 </w:t>
            </w:r>
            <w:r>
              <w:rPr>
                <w:spacing w:val="-6"/>
              </w:rPr>
              <w:t>发行的证券的， 责令</w:t>
            </w:r>
            <w:r>
              <w:rPr>
                <w:spacing w:val="-6"/>
                <w:u w:val="single" w:color="auto"/>
              </w:rPr>
              <w:t>停</w:t>
            </w:r>
            <w:r>
              <w:rPr>
                <w:spacing w:val="-6"/>
              </w:rPr>
              <w:t>止承销或者</w:t>
            </w:r>
            <w:r>
              <w:rPr>
                <w:position w:val="-7"/>
              </w:rPr>
              <w:drawing>
                <wp:inline distT="0" distB="0" distL="0" distR="0">
                  <wp:extent cx="5080" cy="203835"/>
                  <wp:effectExtent l="0" t="0" r="0" b="0"/>
                  <wp:docPr id="854" name="IM 854"/>
                  <wp:cNvGraphicFramePr/>
                  <a:graphic xmlns:a="http://schemas.openxmlformats.org/drawingml/2006/main">
                    <a:graphicData uri="http://schemas.openxmlformats.org/drawingml/2006/picture">
                      <pic:pic xmlns:pic="http://schemas.openxmlformats.org/drawingml/2006/picture">
                        <pic:nvPicPr>
                          <pic:cNvPr id="854" name="IM 854"/>
                          <pic:cNvPicPr/>
                        </pic:nvPicPr>
                        <pic:blipFill>
                          <a:blip r:embed="rId80"/>
                          <a:stretch>
                            <a:fillRect/>
                          </a:stretch>
                        </pic:blipFill>
                        <pic:spPr>
                          <a:xfrm>
                            <a:off x="0" y="0"/>
                            <a:ext cx="5522" cy="204215"/>
                          </a:xfrm>
                          <a:prstGeom prst="rect">
                            <a:avLst/>
                          </a:prstGeom>
                        </pic:spPr>
                      </pic:pic>
                    </a:graphicData>
                  </a:graphic>
                </wp:inline>
              </w:drawing>
            </w:r>
            <w:r>
              <w:rPr>
                <w:position w:val="-7"/>
              </w:rPr>
              <w:drawing>
                <wp:inline distT="0" distB="0" distL="0" distR="0">
                  <wp:extent cx="5080" cy="5715"/>
                  <wp:effectExtent l="0" t="0" r="0" b="0"/>
                  <wp:docPr id="856" name="IM 856"/>
                  <wp:cNvGraphicFramePr/>
                  <a:graphic xmlns:a="http://schemas.openxmlformats.org/drawingml/2006/main">
                    <a:graphicData uri="http://schemas.openxmlformats.org/drawingml/2006/picture">
                      <pic:pic xmlns:pic="http://schemas.openxmlformats.org/drawingml/2006/picture">
                        <pic:nvPicPr>
                          <pic:cNvPr id="856" name="IM 856"/>
                          <pic:cNvPicPr/>
                        </pic:nvPicPr>
                        <pic:blipFill>
                          <a:blip r:embed="rId81"/>
                          <a:stretch>
                            <a:fillRect/>
                          </a:stretch>
                        </pic:blipFill>
                        <pic:spPr>
                          <a:xfrm>
                            <a:off x="0" y="0"/>
                            <a:ext cx="5522" cy="6096"/>
                          </a:xfrm>
                          <a:prstGeom prst="rect">
                            <a:avLst/>
                          </a:prstGeom>
                        </pic:spPr>
                      </pic:pic>
                    </a:graphicData>
                  </a:graphic>
                </wp:inline>
              </w:drawing>
            </w:r>
            <w:r>
              <w:rPr>
                <w:spacing w:val="-113"/>
                <w:u w:val="single" w:color="auto"/>
                <w:shd w:val="clear" w:fill="D9D9D9"/>
              </w:rPr>
              <w:t xml:space="preserve"> </w:t>
            </w:r>
            <w:r>
              <w:rPr>
                <w:spacing w:val="-6"/>
                <w:u w:val="single" w:color="auto"/>
                <w:shd w:val="clear" w:fill="D9D9D9"/>
              </w:rPr>
              <w:t>代理买卖</w:t>
            </w:r>
            <w:r>
              <w:rPr>
                <w:position w:val="-7"/>
              </w:rPr>
              <w:drawing>
                <wp:inline distT="0" distB="0" distL="0" distR="0">
                  <wp:extent cx="5080" cy="203835"/>
                  <wp:effectExtent l="0" t="0" r="0" b="0"/>
                  <wp:docPr id="858" name="IM 858"/>
                  <wp:cNvGraphicFramePr/>
                  <a:graphic xmlns:a="http://schemas.openxmlformats.org/drawingml/2006/main">
                    <a:graphicData uri="http://schemas.openxmlformats.org/drawingml/2006/picture">
                      <pic:pic xmlns:pic="http://schemas.openxmlformats.org/drawingml/2006/picture">
                        <pic:nvPicPr>
                          <pic:cNvPr id="858" name="IM 858"/>
                          <pic:cNvPicPr/>
                        </pic:nvPicPr>
                        <pic:blipFill>
                          <a:blip r:embed="rId73"/>
                          <a:stretch>
                            <a:fillRect/>
                          </a:stretch>
                        </pic:blipFill>
                        <pic:spPr>
                          <a:xfrm>
                            <a:off x="0" y="0"/>
                            <a:ext cx="5522" cy="204215"/>
                          </a:xfrm>
                          <a:prstGeom prst="rect">
                            <a:avLst/>
                          </a:prstGeom>
                        </pic:spPr>
                      </pic:pic>
                    </a:graphicData>
                  </a:graphic>
                </wp:inline>
              </w:drawing>
            </w:r>
            <w:r>
              <w:rPr>
                <w:position w:val="-7"/>
              </w:rPr>
              <w:drawing>
                <wp:inline distT="0" distB="0" distL="0" distR="0">
                  <wp:extent cx="5080" cy="5715"/>
                  <wp:effectExtent l="0" t="0" r="0" b="0"/>
                  <wp:docPr id="860" name="IM 860"/>
                  <wp:cNvGraphicFramePr/>
                  <a:graphic xmlns:a="http://schemas.openxmlformats.org/drawingml/2006/main">
                    <a:graphicData uri="http://schemas.openxmlformats.org/drawingml/2006/picture">
                      <pic:pic xmlns:pic="http://schemas.openxmlformats.org/drawingml/2006/picture">
                        <pic:nvPicPr>
                          <pic:cNvPr id="860" name="IM 860"/>
                          <pic:cNvPicPr/>
                        </pic:nvPicPr>
                        <pic:blipFill>
                          <a:blip r:embed="rId78"/>
                          <a:stretch>
                            <a:fillRect/>
                          </a:stretch>
                        </pic:blipFill>
                        <pic:spPr>
                          <a:xfrm>
                            <a:off x="0" y="0"/>
                            <a:ext cx="5522" cy="6096"/>
                          </a:xfrm>
                          <a:prstGeom prst="rect">
                            <a:avLst/>
                          </a:prstGeom>
                        </pic:spPr>
                      </pic:pic>
                    </a:graphicData>
                  </a:graphic>
                </wp:inline>
              </w:drawing>
            </w:r>
            <w:r>
              <w:rPr>
                <w:spacing w:val="-6"/>
              </w:rPr>
              <w:t>，没收违法所得， 并处</w:t>
            </w:r>
            <w:r>
              <w:t xml:space="preserve"> </w:t>
            </w:r>
            <w:r>
              <w:rPr>
                <w:spacing w:val="-2"/>
              </w:rPr>
              <w:t>以违法所得一倍以上</w:t>
            </w:r>
            <w:r>
              <w:rPr>
                <w:position w:val="-7"/>
              </w:rPr>
              <w:drawing>
                <wp:inline distT="0" distB="0" distL="0" distR="0">
                  <wp:extent cx="9525" cy="203835"/>
                  <wp:effectExtent l="0" t="0" r="0" b="0"/>
                  <wp:docPr id="862" name="IM 862"/>
                  <wp:cNvGraphicFramePr/>
                  <a:graphic xmlns:a="http://schemas.openxmlformats.org/drawingml/2006/main">
                    <a:graphicData uri="http://schemas.openxmlformats.org/drawingml/2006/picture">
                      <pic:pic xmlns:pic="http://schemas.openxmlformats.org/drawingml/2006/picture">
                        <pic:nvPicPr>
                          <pic:cNvPr id="862" name="IM 862"/>
                          <pic:cNvPicPr/>
                        </pic:nvPicPr>
                        <pic:blipFill>
                          <a:blip r:embed="rId77"/>
                          <a:stretch>
                            <a:fillRect/>
                          </a:stretch>
                        </pic:blipFill>
                        <pic:spPr>
                          <a:xfrm>
                            <a:off x="0" y="0"/>
                            <a:ext cx="10094" cy="204165"/>
                          </a:xfrm>
                          <a:prstGeom prst="rect">
                            <a:avLst/>
                          </a:prstGeom>
                        </pic:spPr>
                      </pic:pic>
                    </a:graphicData>
                  </a:graphic>
                </wp:inline>
              </w:drawing>
            </w:r>
            <w:r>
              <w:rPr>
                <w:spacing w:val="-2"/>
                <w:u w:val="single" w:color="auto"/>
                <w:shd w:val="clear" w:fill="D9D9D9"/>
              </w:rPr>
              <w:t>五</w:t>
            </w:r>
            <w:r>
              <w:rPr>
                <w:position w:val="-7"/>
              </w:rPr>
              <w:drawing>
                <wp:inline distT="0" distB="0" distL="0" distR="0">
                  <wp:extent cx="9525" cy="203835"/>
                  <wp:effectExtent l="0" t="0" r="0" b="0"/>
                  <wp:docPr id="864" name="IM 864"/>
                  <wp:cNvGraphicFramePr/>
                  <a:graphic xmlns:a="http://schemas.openxmlformats.org/drawingml/2006/main">
                    <a:graphicData uri="http://schemas.openxmlformats.org/drawingml/2006/picture">
                      <pic:pic xmlns:pic="http://schemas.openxmlformats.org/drawingml/2006/picture">
                        <pic:nvPicPr>
                          <pic:cNvPr id="864" name="IM 864"/>
                          <pic:cNvPicPr/>
                        </pic:nvPicPr>
                        <pic:blipFill>
                          <a:blip r:embed="rId77"/>
                          <a:stretch>
                            <a:fillRect/>
                          </a:stretch>
                        </pic:blipFill>
                        <pic:spPr>
                          <a:xfrm>
                            <a:off x="0" y="0"/>
                            <a:ext cx="10094" cy="204165"/>
                          </a:xfrm>
                          <a:prstGeom prst="rect">
                            <a:avLst/>
                          </a:prstGeom>
                        </pic:spPr>
                      </pic:pic>
                    </a:graphicData>
                  </a:graphic>
                </wp:inline>
              </w:drawing>
            </w:r>
            <w:r>
              <w:rPr>
                <w:spacing w:val="-2"/>
                <w:u w:val="single" w:color="auto"/>
              </w:rPr>
              <w:t>倍以</w:t>
            </w:r>
            <w:r>
              <w:rPr>
                <w:spacing w:val="-2"/>
              </w:rPr>
              <w:t>下的罚款； 没有违法所得或者违法所得</w:t>
            </w:r>
            <w:r>
              <w:rPr>
                <w:spacing w:val="3"/>
              </w:rPr>
              <w:t xml:space="preserve"> </w:t>
            </w:r>
            <w:r>
              <w:rPr>
                <w:spacing w:val="-4"/>
              </w:rPr>
              <w:t>不足</w:t>
            </w:r>
            <w:r>
              <w:rPr>
                <w:position w:val="-7"/>
              </w:rPr>
              <w:drawing>
                <wp:inline distT="0" distB="0" distL="0" distR="0">
                  <wp:extent cx="3810" cy="210185"/>
                  <wp:effectExtent l="0" t="0" r="0" b="0"/>
                  <wp:docPr id="866" name="IM 866"/>
                  <wp:cNvGraphicFramePr/>
                  <a:graphic xmlns:a="http://schemas.openxmlformats.org/drawingml/2006/main">
                    <a:graphicData uri="http://schemas.openxmlformats.org/drawingml/2006/picture">
                      <pic:pic xmlns:pic="http://schemas.openxmlformats.org/drawingml/2006/picture">
                        <pic:nvPicPr>
                          <pic:cNvPr id="866" name="IM 866"/>
                          <pic:cNvPicPr/>
                        </pic:nvPicPr>
                        <pic:blipFill>
                          <a:blip r:embed="rId126"/>
                          <a:stretch>
                            <a:fillRect/>
                          </a:stretch>
                        </pic:blipFill>
                        <pic:spPr>
                          <a:xfrm>
                            <a:off x="0" y="0"/>
                            <a:ext cx="4325" cy="210311"/>
                          </a:xfrm>
                          <a:prstGeom prst="rect">
                            <a:avLst/>
                          </a:prstGeom>
                        </pic:spPr>
                      </pic:pic>
                    </a:graphicData>
                  </a:graphic>
                </wp:inline>
              </w:drawing>
            </w:r>
            <w:r>
              <w:rPr>
                <w:position w:val="-7"/>
              </w:rPr>
              <w:drawing>
                <wp:inline distT="0" distB="0" distL="0" distR="0">
                  <wp:extent cx="3810" cy="203835"/>
                  <wp:effectExtent l="0" t="0" r="0" b="0"/>
                  <wp:docPr id="868" name="IM 868"/>
                  <wp:cNvGraphicFramePr/>
                  <a:graphic xmlns:a="http://schemas.openxmlformats.org/drawingml/2006/main">
                    <a:graphicData uri="http://schemas.openxmlformats.org/drawingml/2006/picture">
                      <pic:pic xmlns:pic="http://schemas.openxmlformats.org/drawingml/2006/picture">
                        <pic:nvPicPr>
                          <pic:cNvPr id="868" name="IM 868"/>
                          <pic:cNvPicPr/>
                        </pic:nvPicPr>
                        <pic:blipFill>
                          <a:blip r:embed="rId80"/>
                          <a:stretch>
                            <a:fillRect/>
                          </a:stretch>
                        </pic:blipFill>
                        <pic:spPr>
                          <a:xfrm>
                            <a:off x="0" y="0"/>
                            <a:ext cx="4325" cy="204216"/>
                          </a:xfrm>
                          <a:prstGeom prst="rect">
                            <a:avLst/>
                          </a:prstGeom>
                        </pic:spPr>
                      </pic:pic>
                    </a:graphicData>
                  </a:graphic>
                </wp:inline>
              </w:drawing>
            </w:r>
            <w:r>
              <w:rPr>
                <w:spacing w:val="-4"/>
                <w:u w:val="single" w:color="auto"/>
                <w:shd w:val="clear" w:fill="D9D9D9"/>
              </w:rPr>
              <w:t>三十</w:t>
            </w:r>
            <w:r>
              <w:rPr>
                <w:position w:val="-7"/>
              </w:rPr>
              <w:drawing>
                <wp:inline distT="0" distB="0" distL="0" distR="0">
                  <wp:extent cx="3810" cy="203835"/>
                  <wp:effectExtent l="0" t="0" r="0" b="0"/>
                  <wp:docPr id="870" name="IM 870"/>
                  <wp:cNvGraphicFramePr/>
                  <a:graphic xmlns:a="http://schemas.openxmlformats.org/drawingml/2006/main">
                    <a:graphicData uri="http://schemas.openxmlformats.org/drawingml/2006/picture">
                      <pic:pic xmlns:pic="http://schemas.openxmlformats.org/drawingml/2006/picture">
                        <pic:nvPicPr>
                          <pic:cNvPr id="870" name="IM 870"/>
                          <pic:cNvPicPr/>
                        </pic:nvPicPr>
                        <pic:blipFill>
                          <a:blip r:embed="rId80"/>
                          <a:stretch>
                            <a:fillRect/>
                          </a:stretch>
                        </pic:blipFill>
                        <pic:spPr>
                          <a:xfrm>
                            <a:off x="0" y="0"/>
                            <a:ext cx="4325" cy="204216"/>
                          </a:xfrm>
                          <a:prstGeom prst="rect">
                            <a:avLst/>
                          </a:prstGeom>
                        </pic:spPr>
                      </pic:pic>
                    </a:graphicData>
                  </a:graphic>
                </wp:inline>
              </w:drawing>
            </w:r>
            <w:r>
              <w:rPr>
                <w:position w:val="24"/>
              </w:rPr>
              <w:drawing>
                <wp:inline distT="0" distB="0" distL="0" distR="0">
                  <wp:extent cx="3810" cy="5715"/>
                  <wp:effectExtent l="0" t="0" r="0" b="0"/>
                  <wp:docPr id="872" name="IM 872"/>
                  <wp:cNvGraphicFramePr/>
                  <a:graphic xmlns:a="http://schemas.openxmlformats.org/drawingml/2006/main">
                    <a:graphicData uri="http://schemas.openxmlformats.org/drawingml/2006/picture">
                      <pic:pic xmlns:pic="http://schemas.openxmlformats.org/drawingml/2006/picture">
                        <pic:nvPicPr>
                          <pic:cNvPr id="872" name="IM 872"/>
                          <pic:cNvPicPr/>
                        </pic:nvPicPr>
                        <pic:blipFill>
                          <a:blip r:embed="rId74"/>
                          <a:stretch>
                            <a:fillRect/>
                          </a:stretch>
                        </pic:blipFill>
                        <pic:spPr>
                          <a:xfrm>
                            <a:off x="0" y="0"/>
                            <a:ext cx="4325" cy="6096"/>
                          </a:xfrm>
                          <a:prstGeom prst="rect">
                            <a:avLst/>
                          </a:prstGeom>
                        </pic:spPr>
                      </pic:pic>
                    </a:graphicData>
                  </a:graphic>
                </wp:inline>
              </w:drawing>
            </w:r>
            <w:r>
              <w:rPr>
                <w:spacing w:val="-97"/>
              </w:rPr>
              <w:t xml:space="preserve"> </w:t>
            </w:r>
            <w:r>
              <w:rPr>
                <w:spacing w:val="-4"/>
              </w:rPr>
              <w:t>万元的， 处以</w:t>
            </w:r>
            <w:r>
              <w:rPr>
                <w:position w:val="-7"/>
              </w:rPr>
              <w:drawing>
                <wp:inline distT="0" distB="0" distL="0" distR="0">
                  <wp:extent cx="3810" cy="5715"/>
                  <wp:effectExtent l="0" t="0" r="0" b="0"/>
                  <wp:docPr id="874" name="IM 874"/>
                  <wp:cNvGraphicFramePr/>
                  <a:graphic xmlns:a="http://schemas.openxmlformats.org/drawingml/2006/main">
                    <a:graphicData uri="http://schemas.openxmlformats.org/drawingml/2006/picture">
                      <pic:pic xmlns:pic="http://schemas.openxmlformats.org/drawingml/2006/picture">
                        <pic:nvPicPr>
                          <pic:cNvPr id="874" name="IM 874"/>
                          <pic:cNvPicPr/>
                        </pic:nvPicPr>
                        <pic:blipFill>
                          <a:blip r:embed="rId78"/>
                          <a:stretch>
                            <a:fillRect/>
                          </a:stretch>
                        </pic:blipFill>
                        <pic:spPr>
                          <a:xfrm>
                            <a:off x="0" y="0"/>
                            <a:ext cx="4325" cy="6096"/>
                          </a:xfrm>
                          <a:prstGeom prst="rect">
                            <a:avLst/>
                          </a:prstGeom>
                        </pic:spPr>
                      </pic:pic>
                    </a:graphicData>
                  </a:graphic>
                </wp:inline>
              </w:drawing>
            </w:r>
            <w:r>
              <w:rPr>
                <w:position w:val="-6"/>
              </w:rPr>
              <w:drawing>
                <wp:inline distT="0" distB="0" distL="0" distR="0">
                  <wp:extent cx="3810" cy="198120"/>
                  <wp:effectExtent l="0" t="0" r="0" b="0"/>
                  <wp:docPr id="876" name="IM 876"/>
                  <wp:cNvGraphicFramePr/>
                  <a:graphic xmlns:a="http://schemas.openxmlformats.org/drawingml/2006/main">
                    <a:graphicData uri="http://schemas.openxmlformats.org/drawingml/2006/picture">
                      <pic:pic xmlns:pic="http://schemas.openxmlformats.org/drawingml/2006/picture">
                        <pic:nvPicPr>
                          <pic:cNvPr id="876" name="IM 876"/>
                          <pic:cNvPicPr/>
                        </pic:nvPicPr>
                        <pic:blipFill>
                          <a:blip r:embed="rId88"/>
                          <a:stretch>
                            <a:fillRect/>
                          </a:stretch>
                        </pic:blipFill>
                        <pic:spPr>
                          <a:xfrm>
                            <a:off x="0" y="0"/>
                            <a:ext cx="4325" cy="198120"/>
                          </a:xfrm>
                          <a:prstGeom prst="rect">
                            <a:avLst/>
                          </a:prstGeom>
                        </pic:spPr>
                      </pic:pic>
                    </a:graphicData>
                  </a:graphic>
                </wp:inline>
              </w:drawing>
            </w:r>
            <w:r>
              <w:rPr>
                <w:spacing w:val="-4"/>
                <w:u w:val="single" w:color="auto"/>
                <w:shd w:val="clear" w:fill="D9D9D9"/>
              </w:rPr>
              <w:t>三十</w:t>
            </w:r>
            <w:r>
              <w:rPr>
                <w:position w:val="-7"/>
              </w:rPr>
              <w:drawing>
                <wp:inline distT="0" distB="0" distL="0" distR="0">
                  <wp:extent cx="3810" cy="203835"/>
                  <wp:effectExtent l="0" t="0" r="0" b="0"/>
                  <wp:docPr id="878" name="IM 878"/>
                  <wp:cNvGraphicFramePr/>
                  <a:graphic xmlns:a="http://schemas.openxmlformats.org/drawingml/2006/main">
                    <a:graphicData uri="http://schemas.openxmlformats.org/drawingml/2006/picture">
                      <pic:pic xmlns:pic="http://schemas.openxmlformats.org/drawingml/2006/picture">
                        <pic:nvPicPr>
                          <pic:cNvPr id="878" name="IM 878"/>
                          <pic:cNvPicPr/>
                        </pic:nvPicPr>
                        <pic:blipFill>
                          <a:blip r:embed="rId80"/>
                          <a:stretch>
                            <a:fillRect/>
                          </a:stretch>
                        </pic:blipFill>
                        <pic:spPr>
                          <a:xfrm>
                            <a:off x="0" y="0"/>
                            <a:ext cx="4325" cy="204216"/>
                          </a:xfrm>
                          <a:prstGeom prst="rect">
                            <a:avLst/>
                          </a:prstGeom>
                        </pic:spPr>
                      </pic:pic>
                    </a:graphicData>
                  </a:graphic>
                </wp:inline>
              </w:drawing>
            </w:r>
            <w:r>
              <w:rPr>
                <w:spacing w:val="-4"/>
              </w:rPr>
              <w:t>万元以上</w:t>
            </w:r>
            <w:r>
              <w:rPr>
                <w:spacing w:val="-115"/>
              </w:rPr>
              <w:t xml:space="preserve"> </w:t>
            </w:r>
            <w:r>
              <w:rPr>
                <w:position w:val="24"/>
              </w:rPr>
              <w:drawing>
                <wp:inline distT="0" distB="0" distL="0" distR="0">
                  <wp:extent cx="3810" cy="5715"/>
                  <wp:effectExtent l="0" t="0" r="0" b="0"/>
                  <wp:docPr id="880" name="IM 880"/>
                  <wp:cNvGraphicFramePr/>
                  <a:graphic xmlns:a="http://schemas.openxmlformats.org/drawingml/2006/main">
                    <a:graphicData uri="http://schemas.openxmlformats.org/drawingml/2006/picture">
                      <pic:pic xmlns:pic="http://schemas.openxmlformats.org/drawingml/2006/picture">
                        <pic:nvPicPr>
                          <pic:cNvPr id="880" name="IM 880"/>
                          <pic:cNvPicPr/>
                        </pic:nvPicPr>
                        <pic:blipFill>
                          <a:blip r:embed="rId72"/>
                          <a:stretch>
                            <a:fillRect/>
                          </a:stretch>
                        </pic:blipFill>
                        <pic:spPr>
                          <a:xfrm>
                            <a:off x="0" y="0"/>
                            <a:ext cx="4325" cy="6096"/>
                          </a:xfrm>
                          <a:prstGeom prst="rect">
                            <a:avLst/>
                          </a:prstGeom>
                        </pic:spPr>
                      </pic:pic>
                    </a:graphicData>
                  </a:graphic>
                </wp:inline>
              </w:drawing>
            </w:r>
            <w:r>
              <w:rPr>
                <w:position w:val="-7"/>
              </w:rPr>
              <w:drawing>
                <wp:inline distT="0" distB="0" distL="0" distR="0">
                  <wp:extent cx="3810" cy="203835"/>
                  <wp:effectExtent l="0" t="0" r="0" b="0"/>
                  <wp:docPr id="882" name="IM 882"/>
                  <wp:cNvGraphicFramePr/>
                  <a:graphic xmlns:a="http://schemas.openxmlformats.org/drawingml/2006/main">
                    <a:graphicData uri="http://schemas.openxmlformats.org/drawingml/2006/picture">
                      <pic:pic xmlns:pic="http://schemas.openxmlformats.org/drawingml/2006/picture">
                        <pic:nvPicPr>
                          <pic:cNvPr id="882" name="IM 882"/>
                          <pic:cNvPicPr/>
                        </pic:nvPicPr>
                        <pic:blipFill>
                          <a:blip r:embed="rId73"/>
                          <a:stretch>
                            <a:fillRect/>
                          </a:stretch>
                        </pic:blipFill>
                        <pic:spPr>
                          <a:xfrm>
                            <a:off x="0" y="0"/>
                            <a:ext cx="4325" cy="204216"/>
                          </a:xfrm>
                          <a:prstGeom prst="rect">
                            <a:avLst/>
                          </a:prstGeom>
                        </pic:spPr>
                      </pic:pic>
                    </a:graphicData>
                  </a:graphic>
                </wp:inline>
              </w:drawing>
            </w:r>
            <w:r>
              <w:rPr>
                <w:spacing w:val="-4"/>
                <w:u w:val="single" w:color="auto"/>
                <w:shd w:val="clear" w:fill="D9D9D9"/>
              </w:rPr>
              <w:t>六十</w:t>
            </w:r>
            <w:r>
              <w:rPr>
                <w:spacing w:val="-115"/>
                <w:u w:val="single" w:color="auto"/>
                <w:shd w:val="clear" w:fill="D9D9D9"/>
              </w:rPr>
              <w:t xml:space="preserve"> </w:t>
            </w:r>
            <w:r>
              <w:rPr>
                <w:position w:val="24"/>
              </w:rPr>
              <w:drawing>
                <wp:inline distT="0" distB="0" distL="0" distR="0">
                  <wp:extent cx="3810" cy="5715"/>
                  <wp:effectExtent l="0" t="0" r="0" b="0"/>
                  <wp:docPr id="884" name="IM 884"/>
                  <wp:cNvGraphicFramePr/>
                  <a:graphic xmlns:a="http://schemas.openxmlformats.org/drawingml/2006/main">
                    <a:graphicData uri="http://schemas.openxmlformats.org/drawingml/2006/picture">
                      <pic:pic xmlns:pic="http://schemas.openxmlformats.org/drawingml/2006/picture">
                        <pic:nvPicPr>
                          <pic:cNvPr id="884" name="IM 884"/>
                          <pic:cNvPicPr/>
                        </pic:nvPicPr>
                        <pic:blipFill>
                          <a:blip r:embed="rId72"/>
                          <a:stretch>
                            <a:fillRect/>
                          </a:stretch>
                        </pic:blipFill>
                        <pic:spPr>
                          <a:xfrm>
                            <a:off x="0" y="0"/>
                            <a:ext cx="4325" cy="6096"/>
                          </a:xfrm>
                          <a:prstGeom prst="rect">
                            <a:avLst/>
                          </a:prstGeom>
                        </pic:spPr>
                      </pic:pic>
                    </a:graphicData>
                  </a:graphic>
                </wp:inline>
              </w:drawing>
            </w:r>
            <w:r>
              <w:rPr>
                <w:position w:val="-7"/>
              </w:rPr>
              <w:drawing>
                <wp:inline distT="0" distB="0" distL="0" distR="0">
                  <wp:extent cx="3810" cy="203835"/>
                  <wp:effectExtent l="0" t="0" r="0" b="0"/>
                  <wp:docPr id="886" name="IM 886"/>
                  <wp:cNvGraphicFramePr/>
                  <a:graphic xmlns:a="http://schemas.openxmlformats.org/drawingml/2006/main">
                    <a:graphicData uri="http://schemas.openxmlformats.org/drawingml/2006/picture">
                      <pic:pic xmlns:pic="http://schemas.openxmlformats.org/drawingml/2006/picture">
                        <pic:nvPicPr>
                          <pic:cNvPr id="886" name="IM 886"/>
                          <pic:cNvPicPr/>
                        </pic:nvPicPr>
                        <pic:blipFill>
                          <a:blip r:embed="rId73"/>
                          <a:stretch>
                            <a:fillRect/>
                          </a:stretch>
                        </pic:blipFill>
                        <pic:spPr>
                          <a:xfrm>
                            <a:off x="0" y="0"/>
                            <a:ext cx="4325" cy="204216"/>
                          </a:xfrm>
                          <a:prstGeom prst="rect">
                            <a:avLst/>
                          </a:prstGeom>
                        </pic:spPr>
                      </pic:pic>
                    </a:graphicData>
                  </a:graphic>
                </wp:inline>
              </w:drawing>
            </w:r>
            <w:r>
              <w:rPr>
                <w:spacing w:val="-5"/>
              </w:rPr>
              <w:t>万元以下的罚款。给投资</w:t>
            </w:r>
            <w:r>
              <w:t xml:space="preserve"> </w:t>
            </w:r>
            <w:r>
              <w:rPr>
                <w:spacing w:val="-1"/>
              </w:rPr>
              <w:t>者造成损失的， 应当与发行人承担连带</w:t>
            </w:r>
            <w:r>
              <w:rPr>
                <w:spacing w:val="-1"/>
                <w:u w:val="single" w:color="auto"/>
              </w:rPr>
              <w:t>赔偿责任。对直接负责的主</w:t>
            </w:r>
            <w:r>
              <w:rPr>
                <w:spacing w:val="12"/>
              </w:rPr>
              <w:t xml:space="preserve"> </w:t>
            </w:r>
            <w:r>
              <w:rPr>
                <w:spacing w:val="-1"/>
              </w:rPr>
              <w:t>管人员和其他直接责任人员给予警告，</w:t>
            </w:r>
            <w:r>
              <w:rPr>
                <w:spacing w:val="-15"/>
              </w:rPr>
              <w:t xml:space="preserve"> </w:t>
            </w:r>
            <w:r>
              <w:rPr>
                <w:position w:val="-6"/>
              </w:rPr>
              <w:drawing>
                <wp:inline distT="0" distB="0" distL="0" distR="0">
                  <wp:extent cx="5715" cy="198120"/>
                  <wp:effectExtent l="0" t="0" r="0" b="0"/>
                  <wp:docPr id="888" name="IM 888"/>
                  <wp:cNvGraphicFramePr/>
                  <a:graphic xmlns:a="http://schemas.openxmlformats.org/drawingml/2006/main">
                    <a:graphicData uri="http://schemas.openxmlformats.org/drawingml/2006/picture">
                      <pic:pic xmlns:pic="http://schemas.openxmlformats.org/drawingml/2006/picture">
                        <pic:nvPicPr>
                          <pic:cNvPr id="888" name="IM 888"/>
                          <pic:cNvPicPr/>
                        </pic:nvPicPr>
                        <pic:blipFill>
                          <a:blip r:embed="rId88"/>
                          <a:stretch>
                            <a:fillRect/>
                          </a:stretch>
                        </pic:blipFill>
                        <pic:spPr>
                          <a:xfrm>
                            <a:off x="0" y="0"/>
                            <a:ext cx="6087" cy="198120"/>
                          </a:xfrm>
                          <a:prstGeom prst="rect">
                            <a:avLst/>
                          </a:prstGeom>
                        </pic:spPr>
                      </pic:pic>
                    </a:graphicData>
                  </a:graphic>
                </wp:inline>
              </w:drawing>
            </w:r>
            <w:r>
              <w:rPr>
                <w:spacing w:val="-1"/>
                <w:shd w:val="clear" w:fill="D9D9D9"/>
              </w:rPr>
              <w:t>撤销任职资格或者证券从业</w:t>
            </w:r>
          </w:p>
        </w:tc>
        <w:tc>
          <w:tcPr>
            <w:tcW w:w="6815" w:type="dxa"/>
            <w:vMerge w:val="restart"/>
            <w:tcBorders>
              <w:top w:val="single" w:color="000000" w:sz="6" w:space="0"/>
              <w:left w:val="single" w:color="000000" w:sz="6" w:space="0"/>
              <w:bottom w:val="nil"/>
              <w:right w:val="single" w:color="000000" w:sz="6" w:space="0"/>
            </w:tcBorders>
            <w:vAlign w:val="top"/>
          </w:tcPr>
          <w:p>
            <w:pPr>
              <w:pStyle w:val="8"/>
              <w:spacing w:before="38" w:line="237" w:lineRule="auto"/>
              <w:ind w:left="20" w:right="3" w:firstLine="498"/>
              <w:jc w:val="both"/>
            </w:pPr>
            <w:r>
              <w:rPr>
                <w:rFonts w:ascii="黑体" w:hAnsi="黑体" w:eastAsia="黑体" w:cs="黑体"/>
                <w:spacing w:val="1"/>
              </w:rPr>
              <w:t xml:space="preserve">第一百八十三条  </w:t>
            </w:r>
            <w:r>
              <w:rPr>
                <w:spacing w:val="1"/>
              </w:rPr>
              <w:t>证券公司承销或者销售擅自公开发行</w:t>
            </w:r>
            <w:r>
              <w:rPr>
                <w:rFonts w:ascii="黑体" w:hAnsi="黑体" w:eastAsia="黑体" w:cs="黑体"/>
                <w:spacing w:val="1"/>
              </w:rPr>
              <w:t>或者</w:t>
            </w:r>
            <w:r>
              <w:rPr>
                <w:rFonts w:ascii="黑体" w:hAnsi="黑体" w:eastAsia="黑体" w:cs="黑体"/>
                <w:spacing w:val="6"/>
              </w:rPr>
              <w:t xml:space="preserve"> </w:t>
            </w:r>
            <w:r>
              <w:rPr>
                <w:rFonts w:ascii="黑体" w:hAnsi="黑体" w:eastAsia="黑体" w:cs="黑体"/>
                <w:spacing w:val="11"/>
              </w:rPr>
              <w:t>变相公开发行</w:t>
            </w:r>
            <w:r>
              <w:rPr>
                <w:spacing w:val="11"/>
              </w:rPr>
              <w:t>的证券的，责令停止承销或者</w:t>
            </w:r>
            <w:r>
              <w:rPr>
                <w:rFonts w:ascii="黑体" w:hAnsi="黑体" w:eastAsia="黑体" w:cs="黑体"/>
                <w:spacing w:val="11"/>
              </w:rPr>
              <w:t>销售</w:t>
            </w:r>
            <w:r>
              <w:rPr>
                <w:spacing w:val="11"/>
              </w:rPr>
              <w:t>，没收</w:t>
            </w:r>
            <w:r>
              <w:rPr>
                <w:spacing w:val="10"/>
              </w:rPr>
              <w:t>违法所</w:t>
            </w:r>
            <w:r>
              <w:t xml:space="preserve"> </w:t>
            </w:r>
            <w:r>
              <w:rPr>
                <w:spacing w:val="-3"/>
              </w:rPr>
              <w:t>得， 并处以违法所得一倍以上</w:t>
            </w:r>
            <w:r>
              <w:rPr>
                <w:rFonts w:ascii="黑体" w:hAnsi="黑体" w:eastAsia="黑体" w:cs="黑体"/>
                <w:spacing w:val="-3"/>
              </w:rPr>
              <w:t>十</w:t>
            </w:r>
            <w:r>
              <w:rPr>
                <w:spacing w:val="-3"/>
              </w:rPr>
              <w:t>倍以下的罚款；没有违法所得或</w:t>
            </w:r>
            <w:r>
              <w:rPr>
                <w:spacing w:val="18"/>
              </w:rPr>
              <w:t xml:space="preserve"> </w:t>
            </w:r>
            <w:r>
              <w:rPr>
                <w:spacing w:val="-2"/>
              </w:rPr>
              <w:t>者违法所得不足</w:t>
            </w:r>
            <w:r>
              <w:rPr>
                <w:rFonts w:ascii="黑体" w:hAnsi="黑体" w:eastAsia="黑体" w:cs="黑体"/>
                <w:spacing w:val="-2"/>
              </w:rPr>
              <w:t>一百</w:t>
            </w:r>
            <w:r>
              <w:rPr>
                <w:spacing w:val="-2"/>
              </w:rPr>
              <w:t>万元的， 处以</w:t>
            </w:r>
            <w:r>
              <w:rPr>
                <w:rFonts w:ascii="黑体" w:hAnsi="黑体" w:eastAsia="黑体" w:cs="黑体"/>
                <w:spacing w:val="-2"/>
              </w:rPr>
              <w:t>一百</w:t>
            </w:r>
            <w:r>
              <w:rPr>
                <w:spacing w:val="-2"/>
              </w:rPr>
              <w:t>万元</w:t>
            </w:r>
            <w:r>
              <w:rPr>
                <w:spacing w:val="-3"/>
              </w:rPr>
              <w:t>以上</w:t>
            </w:r>
            <w:r>
              <w:rPr>
                <w:rFonts w:ascii="黑体" w:hAnsi="黑体" w:eastAsia="黑体" w:cs="黑体"/>
                <w:spacing w:val="-3"/>
              </w:rPr>
              <w:t>一千</w:t>
            </w:r>
            <w:r>
              <w:rPr>
                <w:spacing w:val="-3"/>
              </w:rPr>
              <w:t>万元以下的</w:t>
            </w:r>
            <w:r>
              <w:t xml:space="preserve"> </w:t>
            </w:r>
            <w:r>
              <w:rPr>
                <w:spacing w:val="-2"/>
              </w:rPr>
              <w:t>罚款；</w:t>
            </w:r>
            <w:r>
              <w:rPr>
                <w:rFonts w:ascii="黑体" w:hAnsi="黑体" w:eastAsia="黑体" w:cs="黑体"/>
                <w:spacing w:val="-2"/>
              </w:rPr>
              <w:t>情节严重的， 并处暂停或者撤销相关</w:t>
            </w:r>
            <w:r>
              <w:rPr>
                <w:rFonts w:ascii="黑体" w:hAnsi="黑体" w:eastAsia="黑体" w:cs="黑体"/>
                <w:spacing w:val="-3"/>
              </w:rPr>
              <w:t>业务许可</w:t>
            </w:r>
            <w:r>
              <w:rPr>
                <w:spacing w:val="-3"/>
              </w:rPr>
              <w:t>。给投资者</w:t>
            </w:r>
            <w:r>
              <w:t xml:space="preserve"> </w:t>
            </w:r>
            <w:r>
              <w:rPr>
                <w:spacing w:val="-3"/>
              </w:rPr>
              <w:t>造成损失的， 应当与发行人承担连带赔偿责任。对直接负责的主</w:t>
            </w:r>
            <w:r>
              <w:rPr>
                <w:spacing w:val="17"/>
              </w:rPr>
              <w:t xml:space="preserve"> </w:t>
            </w:r>
            <w:r>
              <w:rPr>
                <w:spacing w:val="2"/>
              </w:rPr>
              <w:t>管人员和其他直接责任人员给予警告，并处以</w:t>
            </w:r>
            <w:r>
              <w:rPr>
                <w:rFonts w:ascii="黑体" w:hAnsi="黑体" w:eastAsia="黑体" w:cs="黑体"/>
                <w:spacing w:val="2"/>
              </w:rPr>
              <w:t>五</w:t>
            </w:r>
            <w:r>
              <w:rPr>
                <w:spacing w:val="2"/>
              </w:rPr>
              <w:t>十万元以上</w:t>
            </w:r>
            <w:r>
              <w:rPr>
                <w:rFonts w:ascii="黑体" w:hAnsi="黑体" w:eastAsia="黑体" w:cs="黑体"/>
                <w:spacing w:val="1"/>
              </w:rPr>
              <w:t>五</w:t>
            </w:r>
            <w:r>
              <w:rPr>
                <w:spacing w:val="1"/>
              </w:rPr>
              <w:t>百</w:t>
            </w:r>
            <w:r>
              <w:t xml:space="preserve"> </w:t>
            </w:r>
            <w:r>
              <w:rPr>
                <w:spacing w:val="-7"/>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55" w:type="dxa"/>
            <w:gridSpan w:val="3"/>
            <w:tcBorders>
              <w:left w:val="single" w:color="000000" w:sz="6" w:space="0"/>
            </w:tcBorders>
            <w:shd w:val="clear" w:color="auto" w:fill="D9D9D9"/>
            <w:vAlign w:val="top"/>
          </w:tcPr>
          <w:p>
            <w:pPr>
              <w:pStyle w:val="8"/>
              <w:spacing w:before="37" w:line="208" w:lineRule="auto"/>
              <w:ind w:left="33"/>
            </w:pPr>
            <w:r>
              <w:rPr>
                <w:spacing w:val="-17"/>
              </w:rPr>
              <w:t>资格，</w:t>
            </w:r>
          </w:p>
        </w:tc>
        <w:tc>
          <w:tcPr>
            <w:tcW w:w="1949" w:type="dxa"/>
            <w:vMerge w:val="restart"/>
            <w:tcBorders>
              <w:top w:val="nil"/>
              <w:left w:val="nil"/>
              <w:bottom w:val="nil"/>
              <w:right w:val="nil"/>
            </w:tcBorders>
            <w:vAlign w:val="top"/>
          </w:tcPr>
          <w:p>
            <w:pPr>
              <w:pStyle w:val="8"/>
              <w:spacing w:before="38" w:line="220" w:lineRule="auto"/>
              <w:ind w:right="5"/>
              <w:jc w:val="right"/>
            </w:pPr>
            <w:r>
              <w:pict>
                <v:shape id="_x0000_s1112" o:spid="_x0000_s1112" o:spt="202" type="#_x0000_t202" style="position:absolute;left:0pt;margin-left:34.65pt;margin-top:-0.95pt;height:18.1pt;width:15pt;z-index:251746304;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rPr>
                          <w:drawing>
                            <wp:inline distT="0" distB="0" distL="0" distR="0">
                              <wp:extent cx="5715" cy="203835"/>
                              <wp:effectExtent l="0" t="0" r="0" b="0"/>
                              <wp:docPr id="890" name="IM 890"/>
                              <wp:cNvGraphicFramePr/>
                              <a:graphic xmlns:a="http://schemas.openxmlformats.org/drawingml/2006/main">
                                <a:graphicData uri="http://schemas.openxmlformats.org/drawingml/2006/picture">
                                  <pic:pic xmlns:pic="http://schemas.openxmlformats.org/drawingml/2006/picture">
                                    <pic:nvPicPr>
                                      <pic:cNvPr id="890" name="IM 890"/>
                                      <pic:cNvPicPr/>
                                    </pic:nvPicPr>
                                    <pic:blipFill>
                                      <a:blip r:embed="rId80"/>
                                      <a:stretch>
                                        <a:fillRect/>
                                      </a:stretch>
                                    </pic:blipFill>
                                    <pic:spPr>
                                      <a:xfrm>
                                        <a:off x="0" y="0"/>
                                        <a:ext cx="6095" cy="204215"/>
                                      </a:xfrm>
                                      <a:prstGeom prst="rect">
                                        <a:avLst/>
                                      </a:prstGeom>
                                    </pic:spPr>
                                  </pic:pic>
                                </a:graphicData>
                              </a:graphic>
                            </wp:inline>
                          </w:drawing>
                        </w:r>
                        <w:r>
                          <w:rPr>
                            <w:shd w:val="clear" w:fill="D9D9D9"/>
                          </w:rPr>
                          <w:t>三</w:t>
                        </w:r>
                        <w:r>
                          <w:rPr>
                            <w:position w:val="-7"/>
                          </w:rPr>
                          <w:drawing>
                            <wp:inline distT="0" distB="0" distL="0" distR="0">
                              <wp:extent cx="5715" cy="203835"/>
                              <wp:effectExtent l="0" t="0" r="0" b="0"/>
                              <wp:docPr id="892" name="IM 892"/>
                              <wp:cNvGraphicFramePr/>
                              <a:graphic xmlns:a="http://schemas.openxmlformats.org/drawingml/2006/main">
                                <a:graphicData uri="http://schemas.openxmlformats.org/drawingml/2006/picture">
                                  <pic:pic xmlns:pic="http://schemas.openxmlformats.org/drawingml/2006/picture">
                                    <pic:nvPicPr>
                                      <pic:cNvPr id="892" name="IM 892"/>
                                      <pic:cNvPicPr/>
                                    </pic:nvPicPr>
                                    <pic:blipFill>
                                      <a:blip r:embed="rId77"/>
                                      <a:stretch>
                                        <a:fillRect/>
                                      </a:stretch>
                                    </pic:blipFill>
                                    <pic:spPr>
                                      <a:xfrm>
                                        <a:off x="0" y="0"/>
                                        <a:ext cx="6095" cy="204215"/>
                                      </a:xfrm>
                                      <a:prstGeom prst="rect">
                                        <a:avLst/>
                                      </a:prstGeom>
                                    </pic:spPr>
                                  </pic:pic>
                                </a:graphicData>
                              </a:graphic>
                            </wp:inline>
                          </w:drawing>
                        </w:r>
                      </w:p>
                    </w:txbxContent>
                  </v:textbox>
                </v:shape>
              </w:pict>
            </w:r>
            <w:r>
              <w:pict>
                <v:shape id="_x0000_s1113" o:spid="_x0000_s1113" o:spt="202" type="#_x0000_t202" style="position:absolute;left:0pt;margin-left:-0.45pt;margin-top:0.9pt;height:16pt;width:37.2pt;z-index:251745280;mso-width-relative:page;mso-height-relative:page;" filled="f" stroked="f" coordsize="21600,21600">
                  <v:path/>
                  <v:fill on="f" focussize="0,0"/>
                  <v:stroke on="f"/>
                  <v:imagedata o:title=""/>
                  <o:lock v:ext="edit" aspectratio="f"/>
                  <v:textbox inset="0mm,0mm,0mm,0mm">
                    <w:txbxContent>
                      <w:p>
                        <w:pPr>
                          <w:pStyle w:val="8"/>
                          <w:spacing w:before="20" w:line="215" w:lineRule="auto"/>
                          <w:ind w:left="20"/>
                        </w:pPr>
                        <w:r>
                          <w:rPr>
                            <w:spacing w:val="-4"/>
                          </w:rPr>
                          <w:t>并处以</w:t>
                        </w:r>
                      </w:p>
                    </w:txbxContent>
                  </v:textbox>
                </v:shape>
              </w:pict>
            </w:r>
            <w:r>
              <w:rPr>
                <w:spacing w:val="-5"/>
              </w:rPr>
              <w:t>万元以上</w:t>
            </w:r>
          </w:p>
        </w:tc>
        <w:tc>
          <w:tcPr>
            <w:tcW w:w="491" w:type="dxa"/>
            <w:shd w:val="clear" w:color="auto" w:fill="D9D9D9"/>
            <w:vAlign w:val="top"/>
          </w:tcPr>
          <w:p>
            <w:pPr>
              <w:pStyle w:val="8"/>
              <w:spacing w:before="37" w:line="208" w:lineRule="auto"/>
              <w:jc w:val="right"/>
            </w:pPr>
            <w:r>
              <w:rPr>
                <w:spacing w:val="-14"/>
              </w:rPr>
              <w:t>三十</w:t>
            </w:r>
          </w:p>
        </w:tc>
        <w:tc>
          <w:tcPr>
            <w:tcW w:w="3897" w:type="dxa"/>
            <w:gridSpan w:val="6"/>
            <w:vMerge w:val="restart"/>
            <w:tcBorders>
              <w:left w:val="nil"/>
              <w:bottom w:val="nil"/>
              <w:right w:val="single" w:color="000000" w:sz="6" w:space="0"/>
            </w:tcBorders>
            <w:vAlign w:val="top"/>
          </w:tcPr>
          <w:p>
            <w:pPr>
              <w:pStyle w:val="8"/>
              <w:spacing w:before="38" w:line="217" w:lineRule="auto"/>
              <w:ind w:left="14"/>
            </w:pPr>
            <w:r>
              <w:rPr>
                <w:spacing w:val="-8"/>
              </w:rPr>
              <w:t>万元以下的罚款。</w:t>
            </w: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55" w:type="dxa"/>
            <w:gridSpan w:val="3"/>
            <w:tcBorders>
              <w:left w:val="single" w:color="000000" w:sz="6" w:space="0"/>
              <w:bottom w:val="single" w:color="000000" w:sz="6" w:space="0"/>
              <w:right w:val="nil"/>
            </w:tcBorders>
            <w:vAlign w:val="top"/>
          </w:tcPr>
          <w:p>
            <w:pPr>
              <w:rPr>
                <w:rFonts w:ascii="Arial"/>
                <w:sz w:val="21"/>
              </w:rPr>
            </w:pPr>
          </w:p>
        </w:tc>
        <w:tc>
          <w:tcPr>
            <w:tcW w:w="1949" w:type="dxa"/>
            <w:vMerge w:val="continue"/>
            <w:tcBorders>
              <w:top w:val="nil"/>
              <w:left w:val="nil"/>
              <w:bottom w:val="single" w:color="000000" w:sz="6" w:space="0"/>
              <w:right w:val="nil"/>
            </w:tcBorders>
            <w:vAlign w:val="top"/>
          </w:tcPr>
          <w:p>
            <w:pPr>
              <w:rPr>
                <w:rFonts w:ascii="Arial"/>
                <w:sz w:val="21"/>
              </w:rPr>
            </w:pPr>
          </w:p>
        </w:tc>
        <w:tc>
          <w:tcPr>
            <w:tcW w:w="491" w:type="dxa"/>
            <w:tcBorders>
              <w:left w:val="nil"/>
              <w:bottom w:val="single" w:color="000000" w:sz="6" w:space="0"/>
              <w:right w:val="nil"/>
            </w:tcBorders>
            <w:vAlign w:val="top"/>
          </w:tcPr>
          <w:p>
            <w:pPr>
              <w:rPr>
                <w:rFonts w:ascii="Arial"/>
                <w:sz w:val="21"/>
              </w:rPr>
            </w:pPr>
          </w:p>
        </w:tc>
        <w:tc>
          <w:tcPr>
            <w:tcW w:w="3897" w:type="dxa"/>
            <w:gridSpan w:val="6"/>
            <w:vMerge w:val="continue"/>
            <w:tcBorders>
              <w:top w:val="nil"/>
              <w:left w:val="nil"/>
              <w:bottom w:val="single" w:color="000000" w:sz="6" w:space="0"/>
              <w:right w:val="single" w:color="000000" w:sz="6" w:space="0"/>
            </w:tcBorders>
            <w:vAlign w:val="top"/>
          </w:tcPr>
          <w:p>
            <w:pPr>
              <w:rPr>
                <w:rFonts w:ascii="Arial"/>
                <w:sz w:val="21"/>
              </w:rPr>
            </w:pPr>
          </w:p>
        </w:tc>
        <w:tc>
          <w:tcPr>
            <w:tcW w:w="6815"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7092" w:type="dxa"/>
            <w:gridSpan w:val="11"/>
            <w:tcBorders>
              <w:top w:val="single" w:color="000000" w:sz="6" w:space="0"/>
              <w:left w:val="single" w:color="000000" w:sz="6" w:space="0"/>
              <w:bottom w:val="nil"/>
              <w:right w:val="single" w:color="000000" w:sz="6" w:space="0"/>
            </w:tcBorders>
            <w:vAlign w:val="top"/>
          </w:tcPr>
          <w:p>
            <w:pPr>
              <w:pStyle w:val="8"/>
              <w:spacing w:before="2" w:line="239" w:lineRule="auto"/>
              <w:ind w:left="11" w:firstLine="500"/>
              <w:jc w:val="both"/>
            </w:pPr>
            <w:r>
              <w:rPr>
                <w:rFonts w:ascii="黑体" w:hAnsi="黑体" w:eastAsia="黑体" w:cs="黑体"/>
                <w:spacing w:val="-3"/>
                <w:position w:val="7"/>
              </w:rPr>
              <w:t xml:space="preserve">第一百九十一条  </w:t>
            </w:r>
            <w:r>
              <w:rPr>
                <w:spacing w:val="-3"/>
                <w:position w:val="7"/>
              </w:rPr>
              <w:t>证券公司承销证券，</w:t>
            </w:r>
            <w:r>
              <w:rPr>
                <w:spacing w:val="-24"/>
                <w:position w:val="7"/>
              </w:rPr>
              <w:t xml:space="preserve"> </w:t>
            </w:r>
            <w:r>
              <w:drawing>
                <wp:inline distT="0" distB="0" distL="0" distR="0">
                  <wp:extent cx="3810" cy="203835"/>
                  <wp:effectExtent l="0" t="0" r="0" b="0"/>
                  <wp:docPr id="894" name="IM 894"/>
                  <wp:cNvGraphicFramePr/>
                  <a:graphic xmlns:a="http://schemas.openxmlformats.org/drawingml/2006/main">
                    <a:graphicData uri="http://schemas.openxmlformats.org/drawingml/2006/picture">
                      <pic:pic xmlns:pic="http://schemas.openxmlformats.org/drawingml/2006/picture">
                        <pic:nvPicPr>
                          <pic:cNvPr id="894" name="IM 894"/>
                          <pic:cNvPicPr/>
                        </pic:nvPicPr>
                        <pic:blipFill>
                          <a:blip r:embed="rId80"/>
                          <a:stretch>
                            <a:fillRect/>
                          </a:stretch>
                        </pic:blipFill>
                        <pic:spPr>
                          <a:xfrm>
                            <a:off x="0" y="0"/>
                            <a:ext cx="4261" cy="204011"/>
                          </a:xfrm>
                          <a:prstGeom prst="rect">
                            <a:avLst/>
                          </a:prstGeom>
                        </pic:spPr>
                      </pic:pic>
                    </a:graphicData>
                  </a:graphic>
                </wp:inline>
              </w:drawing>
            </w:r>
            <w:r>
              <w:drawing>
                <wp:inline distT="0" distB="0" distL="0" distR="0">
                  <wp:extent cx="3810" cy="5715"/>
                  <wp:effectExtent l="0" t="0" r="0" b="0"/>
                  <wp:docPr id="896" name="IM 896"/>
                  <wp:cNvGraphicFramePr/>
                  <a:graphic xmlns:a="http://schemas.openxmlformats.org/drawingml/2006/main">
                    <a:graphicData uri="http://schemas.openxmlformats.org/drawingml/2006/picture">
                      <pic:pic xmlns:pic="http://schemas.openxmlformats.org/drawingml/2006/picture">
                        <pic:nvPicPr>
                          <pic:cNvPr id="896" name="IM 896"/>
                          <pic:cNvPicPr/>
                        </pic:nvPicPr>
                        <pic:blipFill>
                          <a:blip r:embed="rId81"/>
                          <a:stretch>
                            <a:fillRect/>
                          </a:stretch>
                        </pic:blipFill>
                        <pic:spPr>
                          <a:xfrm>
                            <a:off x="0" y="0"/>
                            <a:ext cx="4261" cy="6090"/>
                          </a:xfrm>
                          <a:prstGeom prst="rect">
                            <a:avLst/>
                          </a:prstGeom>
                        </pic:spPr>
                      </pic:pic>
                    </a:graphicData>
                  </a:graphic>
                </wp:inline>
              </w:drawing>
            </w:r>
            <w:r>
              <w:rPr>
                <w:spacing w:val="-105"/>
                <w:position w:val="7"/>
                <w:u w:val="single" w:color="auto"/>
                <w:shd w:val="clear" w:fill="D9D9D9"/>
              </w:rPr>
              <w:t xml:space="preserve"> </w:t>
            </w:r>
            <w:r>
              <w:rPr>
                <w:spacing w:val="-3"/>
                <w:position w:val="7"/>
                <w:u w:val="single" w:color="auto"/>
                <w:shd w:val="clear" w:fill="D9D9D9"/>
              </w:rPr>
              <w:t>有下列行为之一的</w:t>
            </w:r>
            <w:r>
              <w:drawing>
                <wp:inline distT="0" distB="0" distL="0" distR="0">
                  <wp:extent cx="3810" cy="203835"/>
                  <wp:effectExtent l="0" t="0" r="0" b="0"/>
                  <wp:docPr id="898" name="IM 898"/>
                  <wp:cNvGraphicFramePr/>
                  <a:graphic xmlns:a="http://schemas.openxmlformats.org/drawingml/2006/main">
                    <a:graphicData uri="http://schemas.openxmlformats.org/drawingml/2006/picture">
                      <pic:pic xmlns:pic="http://schemas.openxmlformats.org/drawingml/2006/picture">
                        <pic:nvPicPr>
                          <pic:cNvPr id="898" name="IM 898"/>
                          <pic:cNvPicPr/>
                        </pic:nvPicPr>
                        <pic:blipFill>
                          <a:blip r:embed="rId73"/>
                          <a:stretch>
                            <a:fillRect/>
                          </a:stretch>
                        </pic:blipFill>
                        <pic:spPr>
                          <a:xfrm>
                            <a:off x="0" y="0"/>
                            <a:ext cx="4261" cy="204011"/>
                          </a:xfrm>
                          <a:prstGeom prst="rect">
                            <a:avLst/>
                          </a:prstGeom>
                        </pic:spPr>
                      </pic:pic>
                    </a:graphicData>
                  </a:graphic>
                </wp:inline>
              </w:drawing>
            </w:r>
            <w:r>
              <w:drawing>
                <wp:inline distT="0" distB="0" distL="0" distR="0">
                  <wp:extent cx="3810" cy="5715"/>
                  <wp:effectExtent l="0" t="0" r="0" b="0"/>
                  <wp:docPr id="900" name="IM 900"/>
                  <wp:cNvGraphicFramePr/>
                  <a:graphic xmlns:a="http://schemas.openxmlformats.org/drawingml/2006/main">
                    <a:graphicData uri="http://schemas.openxmlformats.org/drawingml/2006/picture">
                      <pic:pic xmlns:pic="http://schemas.openxmlformats.org/drawingml/2006/picture">
                        <pic:nvPicPr>
                          <pic:cNvPr id="900" name="IM 900"/>
                          <pic:cNvPicPr/>
                        </pic:nvPicPr>
                        <pic:blipFill>
                          <a:blip r:embed="rId78"/>
                          <a:stretch>
                            <a:fillRect/>
                          </a:stretch>
                        </pic:blipFill>
                        <pic:spPr>
                          <a:xfrm>
                            <a:off x="0" y="0"/>
                            <a:ext cx="4261" cy="6090"/>
                          </a:xfrm>
                          <a:prstGeom prst="rect">
                            <a:avLst/>
                          </a:prstGeom>
                        </pic:spPr>
                      </pic:pic>
                    </a:graphicData>
                  </a:graphic>
                </wp:inline>
              </w:drawing>
            </w:r>
            <w:r>
              <w:rPr>
                <w:spacing w:val="-3"/>
                <w:position w:val="7"/>
                <w:u w:val="single" w:color="auto"/>
              </w:rPr>
              <w:t>，</w:t>
            </w:r>
            <w:r>
              <w:rPr>
                <w:position w:val="-1"/>
              </w:rPr>
              <w:drawing>
                <wp:inline distT="0" distB="0" distL="0" distR="0">
                  <wp:extent cx="3810" cy="5715"/>
                  <wp:effectExtent l="0" t="0" r="0" b="0"/>
                  <wp:docPr id="902" name="IM 902"/>
                  <wp:cNvGraphicFramePr/>
                  <a:graphic xmlns:a="http://schemas.openxmlformats.org/drawingml/2006/main">
                    <a:graphicData uri="http://schemas.openxmlformats.org/drawingml/2006/picture">
                      <pic:pic xmlns:pic="http://schemas.openxmlformats.org/drawingml/2006/picture">
                        <pic:nvPicPr>
                          <pic:cNvPr id="902" name="IM 902"/>
                          <pic:cNvPicPr/>
                        </pic:nvPicPr>
                        <pic:blipFill>
                          <a:blip r:embed="rId72"/>
                          <a:stretch>
                            <a:fillRect/>
                          </a:stretch>
                        </pic:blipFill>
                        <pic:spPr>
                          <a:xfrm>
                            <a:off x="0" y="0"/>
                            <a:ext cx="4261" cy="6089"/>
                          </a:xfrm>
                          <a:prstGeom prst="rect">
                            <a:avLst/>
                          </a:prstGeom>
                        </pic:spPr>
                      </pic:pic>
                    </a:graphicData>
                  </a:graphic>
                </wp:inline>
              </w:drawing>
            </w:r>
            <w:r>
              <w:rPr>
                <w:spacing w:val="-104"/>
                <w:position w:val="7"/>
              </w:rPr>
              <w:t xml:space="preserve"> </w:t>
            </w:r>
            <w:r>
              <w:rPr>
                <w:spacing w:val="-3"/>
                <w:position w:val="7"/>
              </w:rPr>
              <w:t>责</w:t>
            </w:r>
            <w:r>
              <w:rPr>
                <w:position w:val="7"/>
              </w:rPr>
              <w:t xml:space="preserve"> </w:t>
            </w:r>
            <w:r>
              <w:rPr>
                <w:spacing w:val="-9"/>
              </w:rPr>
              <w:t>令改正， 给予警告，没收违法所得， 可以并处</w:t>
            </w:r>
            <w:r>
              <w:rPr>
                <w:position w:val="-7"/>
              </w:rPr>
              <w:drawing>
                <wp:inline distT="0" distB="0" distL="0" distR="0">
                  <wp:extent cx="4445" cy="203835"/>
                  <wp:effectExtent l="0" t="0" r="0" b="0"/>
                  <wp:docPr id="904" name="IM 904"/>
                  <wp:cNvGraphicFramePr/>
                  <a:graphic xmlns:a="http://schemas.openxmlformats.org/drawingml/2006/main">
                    <a:graphicData uri="http://schemas.openxmlformats.org/drawingml/2006/picture">
                      <pic:pic xmlns:pic="http://schemas.openxmlformats.org/drawingml/2006/picture">
                        <pic:nvPicPr>
                          <pic:cNvPr id="904" name="IM 904"/>
                          <pic:cNvPicPr/>
                        </pic:nvPicPr>
                        <pic:blipFill>
                          <a:blip r:embed="rId80"/>
                          <a:stretch>
                            <a:fillRect/>
                          </a:stretch>
                        </pic:blipFill>
                        <pic:spPr>
                          <a:xfrm>
                            <a:off x="0" y="0"/>
                            <a:ext cx="4474" cy="204011"/>
                          </a:xfrm>
                          <a:prstGeom prst="rect">
                            <a:avLst/>
                          </a:prstGeom>
                        </pic:spPr>
                      </pic:pic>
                    </a:graphicData>
                  </a:graphic>
                </wp:inline>
              </w:drawing>
            </w:r>
            <w:r>
              <w:rPr>
                <w:position w:val="-7"/>
              </w:rPr>
              <w:drawing>
                <wp:inline distT="0" distB="0" distL="0" distR="0">
                  <wp:extent cx="4445" cy="5715"/>
                  <wp:effectExtent l="0" t="0" r="0" b="0"/>
                  <wp:docPr id="906" name="IM 906"/>
                  <wp:cNvGraphicFramePr/>
                  <a:graphic xmlns:a="http://schemas.openxmlformats.org/drawingml/2006/main">
                    <a:graphicData uri="http://schemas.openxmlformats.org/drawingml/2006/picture">
                      <pic:pic xmlns:pic="http://schemas.openxmlformats.org/drawingml/2006/picture">
                        <pic:nvPicPr>
                          <pic:cNvPr id="906" name="IM 906"/>
                          <pic:cNvPicPr/>
                        </pic:nvPicPr>
                        <pic:blipFill>
                          <a:blip r:embed="rId81"/>
                          <a:stretch>
                            <a:fillRect/>
                          </a:stretch>
                        </pic:blipFill>
                        <pic:spPr>
                          <a:xfrm>
                            <a:off x="0" y="0"/>
                            <a:ext cx="4474" cy="6090"/>
                          </a:xfrm>
                          <a:prstGeom prst="rect">
                            <a:avLst/>
                          </a:prstGeom>
                        </pic:spPr>
                      </pic:pic>
                    </a:graphicData>
                  </a:graphic>
                </wp:inline>
              </w:drawing>
            </w:r>
            <w:r>
              <w:rPr>
                <w:spacing w:val="-93"/>
              </w:rPr>
              <w:t xml:space="preserve"> </w:t>
            </w:r>
            <w:r>
              <w:rPr>
                <w:spacing w:val="-9"/>
                <w:shd w:val="clear" w:fill="D9D9D9"/>
              </w:rPr>
              <w:t>三</w:t>
            </w:r>
            <w:r>
              <w:rPr>
                <w:position w:val="-7"/>
              </w:rPr>
              <w:drawing>
                <wp:inline distT="0" distB="0" distL="0" distR="0">
                  <wp:extent cx="4445" cy="203835"/>
                  <wp:effectExtent l="0" t="0" r="0" b="0"/>
                  <wp:docPr id="908" name="IM 908"/>
                  <wp:cNvGraphicFramePr/>
                  <a:graphic xmlns:a="http://schemas.openxmlformats.org/drawingml/2006/main">
                    <a:graphicData uri="http://schemas.openxmlformats.org/drawingml/2006/picture">
                      <pic:pic xmlns:pic="http://schemas.openxmlformats.org/drawingml/2006/picture">
                        <pic:nvPicPr>
                          <pic:cNvPr id="908" name="IM 908"/>
                          <pic:cNvPicPr/>
                        </pic:nvPicPr>
                        <pic:blipFill>
                          <a:blip r:embed="rId80"/>
                          <a:stretch>
                            <a:fillRect/>
                          </a:stretch>
                        </pic:blipFill>
                        <pic:spPr>
                          <a:xfrm>
                            <a:off x="0" y="0"/>
                            <a:ext cx="4474" cy="204011"/>
                          </a:xfrm>
                          <a:prstGeom prst="rect">
                            <a:avLst/>
                          </a:prstGeom>
                        </pic:spPr>
                      </pic:pic>
                    </a:graphicData>
                  </a:graphic>
                </wp:inline>
              </w:drawing>
            </w:r>
            <w:r>
              <w:rPr>
                <w:position w:val="-7"/>
              </w:rPr>
              <w:drawing>
                <wp:inline distT="0" distB="0" distL="0" distR="0">
                  <wp:extent cx="4445" cy="5715"/>
                  <wp:effectExtent l="0" t="0" r="0" b="0"/>
                  <wp:docPr id="910" name="IM 910"/>
                  <wp:cNvGraphicFramePr/>
                  <a:graphic xmlns:a="http://schemas.openxmlformats.org/drawingml/2006/main">
                    <a:graphicData uri="http://schemas.openxmlformats.org/drawingml/2006/picture">
                      <pic:pic xmlns:pic="http://schemas.openxmlformats.org/drawingml/2006/picture">
                        <pic:nvPicPr>
                          <pic:cNvPr id="910" name="IM 910"/>
                          <pic:cNvPicPr/>
                        </pic:nvPicPr>
                        <pic:blipFill>
                          <a:blip r:embed="rId81"/>
                          <a:stretch>
                            <a:fillRect/>
                          </a:stretch>
                        </pic:blipFill>
                        <pic:spPr>
                          <a:xfrm>
                            <a:off x="0" y="0"/>
                            <a:ext cx="4474" cy="6090"/>
                          </a:xfrm>
                          <a:prstGeom prst="rect">
                            <a:avLst/>
                          </a:prstGeom>
                        </pic:spPr>
                      </pic:pic>
                    </a:graphicData>
                  </a:graphic>
                </wp:inline>
              </w:drawing>
            </w:r>
            <w:r>
              <w:rPr>
                <w:spacing w:val="-101"/>
              </w:rPr>
              <w:t xml:space="preserve"> </w:t>
            </w:r>
            <w:r>
              <w:rPr>
                <w:spacing w:val="-10"/>
              </w:rPr>
              <w:t>十万元以上</w:t>
            </w:r>
            <w:r>
              <w:rPr>
                <w:position w:val="-7"/>
              </w:rPr>
              <w:drawing>
                <wp:inline distT="0" distB="0" distL="0" distR="0">
                  <wp:extent cx="4445" cy="203835"/>
                  <wp:effectExtent l="0" t="0" r="0" b="0"/>
                  <wp:docPr id="912" name="IM 912"/>
                  <wp:cNvGraphicFramePr/>
                  <a:graphic xmlns:a="http://schemas.openxmlformats.org/drawingml/2006/main">
                    <a:graphicData uri="http://schemas.openxmlformats.org/drawingml/2006/picture">
                      <pic:pic xmlns:pic="http://schemas.openxmlformats.org/drawingml/2006/picture">
                        <pic:nvPicPr>
                          <pic:cNvPr id="912" name="IM 912"/>
                          <pic:cNvPicPr/>
                        </pic:nvPicPr>
                        <pic:blipFill>
                          <a:blip r:embed="rId73"/>
                          <a:stretch>
                            <a:fillRect/>
                          </a:stretch>
                        </pic:blipFill>
                        <pic:spPr>
                          <a:xfrm>
                            <a:off x="0" y="0"/>
                            <a:ext cx="4474" cy="204011"/>
                          </a:xfrm>
                          <a:prstGeom prst="rect">
                            <a:avLst/>
                          </a:prstGeom>
                        </pic:spPr>
                      </pic:pic>
                    </a:graphicData>
                  </a:graphic>
                </wp:inline>
              </w:drawing>
            </w:r>
            <w:r>
              <w:rPr>
                <w:position w:val="-7"/>
              </w:rPr>
              <w:drawing>
                <wp:inline distT="0" distB="0" distL="0" distR="0">
                  <wp:extent cx="4445" cy="5715"/>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78"/>
                          <a:stretch>
                            <a:fillRect/>
                          </a:stretch>
                        </pic:blipFill>
                        <pic:spPr>
                          <a:xfrm>
                            <a:off x="0" y="0"/>
                            <a:ext cx="4474" cy="6090"/>
                          </a:xfrm>
                          <a:prstGeom prst="rect">
                            <a:avLst/>
                          </a:prstGeom>
                        </pic:spPr>
                      </pic:pic>
                    </a:graphicData>
                  </a:graphic>
                </wp:inline>
              </w:drawing>
            </w:r>
            <w:r>
              <w:rPr>
                <w:spacing w:val="-100"/>
                <w:u w:val="single" w:color="auto"/>
                <w:shd w:val="clear" w:fill="D9D9D9"/>
              </w:rPr>
              <w:t xml:space="preserve"> </w:t>
            </w:r>
            <w:r>
              <w:rPr>
                <w:spacing w:val="-10"/>
                <w:u w:val="single" w:color="auto"/>
                <w:shd w:val="clear" w:fill="D9D9D9"/>
              </w:rPr>
              <w:t>六十</w:t>
            </w:r>
            <w:r>
              <w:rPr>
                <w:position w:val="-7"/>
              </w:rPr>
              <w:drawing>
                <wp:inline distT="0" distB="0" distL="0" distR="0">
                  <wp:extent cx="4445" cy="203835"/>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73"/>
                          <a:stretch>
                            <a:fillRect/>
                          </a:stretch>
                        </pic:blipFill>
                        <pic:spPr>
                          <a:xfrm>
                            <a:off x="0" y="0"/>
                            <a:ext cx="4474" cy="204011"/>
                          </a:xfrm>
                          <a:prstGeom prst="rect">
                            <a:avLst/>
                          </a:prstGeom>
                        </pic:spPr>
                      </pic:pic>
                    </a:graphicData>
                  </a:graphic>
                </wp:inline>
              </w:drawing>
            </w:r>
            <w:r>
              <w:rPr>
                <w:position w:val="-7"/>
              </w:rPr>
              <w:drawing>
                <wp:inline distT="0" distB="0" distL="0" distR="0">
                  <wp:extent cx="4445" cy="5715"/>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78"/>
                          <a:stretch>
                            <a:fillRect/>
                          </a:stretch>
                        </pic:blipFill>
                        <pic:spPr>
                          <a:xfrm>
                            <a:off x="0" y="0"/>
                            <a:ext cx="4474" cy="6090"/>
                          </a:xfrm>
                          <a:prstGeom prst="rect">
                            <a:avLst/>
                          </a:prstGeom>
                        </pic:spPr>
                      </pic:pic>
                    </a:graphicData>
                  </a:graphic>
                </wp:inline>
              </w:drawing>
            </w:r>
            <w:r>
              <w:rPr>
                <w:spacing w:val="-97"/>
              </w:rPr>
              <w:t xml:space="preserve"> </w:t>
            </w:r>
            <w:r>
              <w:rPr>
                <w:spacing w:val="-10"/>
              </w:rPr>
              <w:t>万</w:t>
            </w:r>
            <w:r>
              <w:t xml:space="preserve"> </w:t>
            </w:r>
            <w:r>
              <w:rPr>
                <w:spacing w:val="-1"/>
              </w:rPr>
              <w:t>元以下的罚款； 情节严重的，暂停或者撤销相关业务许可。给其他</w:t>
            </w:r>
            <w:r>
              <w:rPr>
                <w:spacing w:val="14"/>
              </w:rPr>
              <w:t xml:space="preserve"> </w:t>
            </w:r>
            <w:r>
              <w:rPr>
                <w:spacing w:val="-1"/>
              </w:rPr>
              <w:t>证券承销机构或者投资者造成损失的， 依法承</w:t>
            </w:r>
            <w:r>
              <w:rPr>
                <w:spacing w:val="-2"/>
              </w:rPr>
              <w:t>担赔偿责任</w:t>
            </w:r>
            <w:r>
              <w:rPr>
                <w:spacing w:val="-2"/>
                <w:u w:val="single" w:color="auto"/>
              </w:rPr>
              <w:t>。</w:t>
            </w:r>
            <w:r>
              <w:rPr>
                <w:position w:val="-8"/>
              </w:rPr>
              <w:drawing>
                <wp:inline distT="0" distB="0" distL="0" distR="0">
                  <wp:extent cx="5715" cy="5715"/>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95"/>
                          <a:stretch>
                            <a:fillRect/>
                          </a:stretch>
                        </pic:blipFill>
                        <pic:spPr>
                          <a:xfrm>
                            <a:off x="0" y="0"/>
                            <a:ext cx="6088" cy="6090"/>
                          </a:xfrm>
                          <a:prstGeom prst="rect">
                            <a:avLst/>
                          </a:prstGeom>
                        </pic:spPr>
                      </pic:pic>
                    </a:graphicData>
                  </a:graphic>
                </wp:inline>
              </w:drawing>
            </w:r>
            <w:r>
              <w:rPr>
                <w:spacing w:val="-107"/>
              </w:rPr>
              <w:t xml:space="preserve"> </w:t>
            </w:r>
            <w:r>
              <w:rPr>
                <w:spacing w:val="-2"/>
              </w:rPr>
              <w:t>对直接</w:t>
            </w:r>
            <w:r>
              <w:t xml:space="preserve"> </w:t>
            </w:r>
            <w:r>
              <w:rPr>
                <w:spacing w:val="2"/>
              </w:rPr>
              <w:t>负责的主管人员和其他直接责任人员给予警告，可以并处</w:t>
            </w:r>
            <w:r>
              <w:rPr>
                <w:position w:val="-6"/>
              </w:rPr>
              <w:drawing>
                <wp:inline distT="0" distB="0" distL="0" distR="0">
                  <wp:extent cx="8890" cy="197485"/>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76"/>
                          <a:stretch>
                            <a:fillRect/>
                          </a:stretch>
                        </pic:blipFill>
                        <pic:spPr>
                          <a:xfrm>
                            <a:off x="0" y="0"/>
                            <a:ext cx="9524" cy="197921"/>
                          </a:xfrm>
                          <a:prstGeom prst="rect">
                            <a:avLst/>
                          </a:prstGeom>
                        </pic:spPr>
                      </pic:pic>
                    </a:graphicData>
                  </a:graphic>
                </wp:inline>
              </w:drawing>
            </w:r>
            <w:r>
              <w:rPr>
                <w:spacing w:val="2"/>
                <w:shd w:val="clear" w:fill="D9D9D9"/>
              </w:rPr>
              <w:t>三</w:t>
            </w:r>
            <w:r>
              <w:rPr>
                <w:position w:val="-6"/>
              </w:rPr>
              <w:drawing>
                <wp:inline distT="0" distB="0" distL="0" distR="0">
                  <wp:extent cx="9525" cy="197485"/>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76"/>
                          <a:stretch>
                            <a:fillRect/>
                          </a:stretch>
                        </pic:blipFill>
                        <pic:spPr>
                          <a:xfrm>
                            <a:off x="0" y="0"/>
                            <a:ext cx="9525" cy="197921"/>
                          </a:xfrm>
                          <a:prstGeom prst="rect">
                            <a:avLst/>
                          </a:prstGeom>
                        </pic:spPr>
                      </pic:pic>
                    </a:graphicData>
                  </a:graphic>
                </wp:inline>
              </w:drawing>
            </w:r>
            <w:r>
              <w:rPr>
                <w:spacing w:val="2"/>
              </w:rPr>
              <w:t>万元以</w:t>
            </w:r>
          </w:p>
        </w:tc>
        <w:tc>
          <w:tcPr>
            <w:tcW w:w="6815" w:type="dxa"/>
            <w:vMerge w:val="restart"/>
            <w:tcBorders>
              <w:top w:val="single" w:color="000000" w:sz="6" w:space="0"/>
              <w:left w:val="single" w:color="000000" w:sz="6" w:space="0"/>
              <w:bottom w:val="nil"/>
              <w:right w:val="single" w:color="000000" w:sz="6" w:space="0"/>
            </w:tcBorders>
            <w:vAlign w:val="top"/>
          </w:tcPr>
          <w:p>
            <w:pPr>
              <w:pStyle w:val="8"/>
              <w:spacing w:before="24" w:line="236" w:lineRule="auto"/>
              <w:ind w:left="16" w:right="3" w:firstLine="482"/>
              <w:jc w:val="both"/>
            </w:pPr>
            <w:r>
              <w:rPr>
                <w:rFonts w:ascii="黑体" w:hAnsi="黑体" w:eastAsia="黑体" w:cs="黑体"/>
                <w:spacing w:val="2"/>
              </w:rPr>
              <w:t xml:space="preserve">第一百八十四条  </w:t>
            </w:r>
            <w:r>
              <w:rPr>
                <w:spacing w:val="2"/>
              </w:rPr>
              <w:t>证券公司承销证券</w:t>
            </w:r>
            <w:r>
              <w:rPr>
                <w:rFonts w:ascii="黑体" w:hAnsi="黑体" w:eastAsia="黑体" w:cs="黑体"/>
                <w:spacing w:val="2"/>
              </w:rPr>
              <w:t>违反本法第二十九</w:t>
            </w:r>
            <w:r>
              <w:rPr>
                <w:rFonts w:ascii="黑体" w:hAnsi="黑体" w:eastAsia="黑体" w:cs="黑体"/>
                <w:spacing w:val="1"/>
              </w:rPr>
              <w:t>条规</w:t>
            </w:r>
            <w:r>
              <w:rPr>
                <w:rFonts w:ascii="黑体" w:hAnsi="黑体" w:eastAsia="黑体" w:cs="黑体"/>
              </w:rPr>
              <w:t xml:space="preserve"> </w:t>
            </w:r>
            <w:r>
              <w:rPr>
                <w:rFonts w:ascii="黑体" w:hAnsi="黑体" w:eastAsia="黑体" w:cs="黑体"/>
                <w:spacing w:val="-6"/>
              </w:rPr>
              <w:t>定</w:t>
            </w:r>
            <w:r>
              <w:rPr>
                <w:spacing w:val="-6"/>
              </w:rPr>
              <w:t>的， 责令改正，给予警告， 没收违法所得，可以并处</w:t>
            </w:r>
            <w:r>
              <w:rPr>
                <w:rFonts w:ascii="黑体" w:hAnsi="黑体" w:eastAsia="黑体" w:cs="黑体"/>
                <w:spacing w:val="-6"/>
              </w:rPr>
              <w:t>五</w:t>
            </w:r>
            <w:r>
              <w:rPr>
                <w:spacing w:val="-7"/>
              </w:rPr>
              <w:t>十万元</w:t>
            </w:r>
            <w:r>
              <w:t xml:space="preserve"> </w:t>
            </w:r>
            <w:r>
              <w:rPr>
                <w:spacing w:val="-6"/>
              </w:rPr>
              <w:t>以上</w:t>
            </w:r>
            <w:r>
              <w:rPr>
                <w:rFonts w:ascii="黑体" w:hAnsi="黑体" w:eastAsia="黑体" w:cs="黑体"/>
                <w:spacing w:val="-6"/>
              </w:rPr>
              <w:t>五百</w:t>
            </w:r>
            <w:r>
              <w:rPr>
                <w:spacing w:val="-6"/>
              </w:rPr>
              <w:t>万元以下的罚款； 情节严重的， 暂停或者</w:t>
            </w:r>
            <w:r>
              <w:rPr>
                <w:spacing w:val="-7"/>
              </w:rPr>
              <w:t>撤销相关业务</w:t>
            </w:r>
            <w:r>
              <w:t xml:space="preserve"> </w:t>
            </w:r>
            <w:r>
              <w:rPr>
                <w:spacing w:val="1"/>
              </w:rPr>
              <w:t>许可。对直接负责的主管人员和其他直接责任人员给予警告，可</w:t>
            </w:r>
            <w:r>
              <w:rPr>
                <w:spacing w:val="4"/>
              </w:rPr>
              <w:t xml:space="preserve"> </w:t>
            </w:r>
            <w:r>
              <w:rPr>
                <w:spacing w:val="-6"/>
              </w:rPr>
              <w:t>以并处</w:t>
            </w:r>
            <w:r>
              <w:rPr>
                <w:rFonts w:ascii="黑体" w:hAnsi="黑体" w:eastAsia="黑体" w:cs="黑体"/>
                <w:spacing w:val="-6"/>
              </w:rPr>
              <w:t>二十</w:t>
            </w:r>
            <w:r>
              <w:rPr>
                <w:spacing w:val="-6"/>
              </w:rPr>
              <w:t>万元以上</w:t>
            </w:r>
            <w:r>
              <w:rPr>
                <w:rFonts w:ascii="黑体" w:hAnsi="黑体" w:eastAsia="黑体" w:cs="黑体"/>
                <w:spacing w:val="-6"/>
              </w:rPr>
              <w:t>二百</w:t>
            </w:r>
            <w:r>
              <w:rPr>
                <w:spacing w:val="-6"/>
              </w:rPr>
              <w:t xml:space="preserve">万元以下的罚款； 情节严重的， </w:t>
            </w:r>
            <w:r>
              <w:rPr>
                <w:rFonts w:ascii="黑体" w:hAnsi="黑体" w:eastAsia="黑体" w:cs="黑体"/>
                <w:spacing w:val="-6"/>
              </w:rPr>
              <w:t>并</w:t>
            </w:r>
            <w:r>
              <w:rPr>
                <w:rFonts w:ascii="黑体" w:hAnsi="黑体" w:eastAsia="黑体" w:cs="黑体"/>
                <w:spacing w:val="-7"/>
              </w:rPr>
              <w:t>处以</w:t>
            </w:r>
            <w:r>
              <w:rPr>
                <w:rFonts w:ascii="黑体" w:hAnsi="黑体" w:eastAsia="黑体" w:cs="黑体"/>
              </w:rPr>
              <w:t xml:space="preserve"> </w:t>
            </w:r>
            <w:r>
              <w:rPr>
                <w:rFonts w:ascii="黑体" w:hAnsi="黑体" w:eastAsia="黑体" w:cs="黑体"/>
                <w:spacing w:val="-1"/>
              </w:rPr>
              <w:t>五十万元以上五百万元以下的罚款</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7" w:type="dxa"/>
            <w:tcBorders>
              <w:top w:val="nil"/>
              <w:left w:val="single" w:color="000000" w:sz="6" w:space="0"/>
            </w:tcBorders>
            <w:vAlign w:val="top"/>
          </w:tcPr>
          <w:p>
            <w:pPr>
              <w:pStyle w:val="8"/>
              <w:spacing w:before="31" w:line="213" w:lineRule="auto"/>
              <w:jc w:val="right"/>
            </w:pPr>
            <w:r>
              <w:rPr>
                <w:spacing w:val="-16"/>
              </w:rPr>
              <w:t>上</w:t>
            </w:r>
          </w:p>
        </w:tc>
        <w:tc>
          <w:tcPr>
            <w:tcW w:w="488" w:type="dxa"/>
            <w:gridSpan w:val="2"/>
            <w:shd w:val="clear" w:color="auto" w:fill="D9D9D9"/>
            <w:vAlign w:val="top"/>
          </w:tcPr>
          <w:p>
            <w:pPr>
              <w:pStyle w:val="8"/>
              <w:spacing w:before="31" w:line="213" w:lineRule="auto"/>
              <w:jc w:val="right"/>
            </w:pPr>
            <w:r>
              <w:rPr>
                <w:spacing w:val="-14"/>
              </w:rPr>
              <w:t>三十</w:t>
            </w:r>
          </w:p>
        </w:tc>
        <w:tc>
          <w:tcPr>
            <w:tcW w:w="3409" w:type="dxa"/>
            <w:gridSpan w:val="3"/>
            <w:vMerge w:val="restart"/>
            <w:tcBorders>
              <w:top w:val="nil"/>
              <w:left w:val="nil"/>
              <w:bottom w:val="nil"/>
              <w:right w:val="nil"/>
            </w:tcBorders>
            <w:vAlign w:val="top"/>
          </w:tcPr>
          <w:p>
            <w:pPr>
              <w:pStyle w:val="8"/>
              <w:spacing w:before="30" w:line="217" w:lineRule="auto"/>
              <w:ind w:left="23"/>
            </w:pPr>
            <w:r>
              <w:t>万元以下的罚款；情节严重的，</w:t>
            </w:r>
          </w:p>
        </w:tc>
        <w:tc>
          <w:tcPr>
            <w:tcW w:w="2928" w:type="dxa"/>
            <w:gridSpan w:val="5"/>
            <w:tcBorders>
              <w:right w:val="single" w:color="000000" w:sz="6" w:space="0"/>
            </w:tcBorders>
            <w:shd w:val="clear" w:color="auto" w:fill="D9D9D9"/>
            <w:vAlign w:val="top"/>
          </w:tcPr>
          <w:p>
            <w:pPr>
              <w:pStyle w:val="8"/>
              <w:spacing w:before="31" w:line="213" w:lineRule="auto"/>
              <w:ind w:left="12"/>
            </w:pPr>
            <w:r>
              <w:rPr>
                <w:spacing w:val="1"/>
              </w:rPr>
              <w:t>撤销任职资格或者证券从业</w:t>
            </w: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514" w:type="dxa"/>
            <w:gridSpan w:val="2"/>
            <w:tcBorders>
              <w:left w:val="single" w:color="000000" w:sz="6" w:space="0"/>
            </w:tcBorders>
            <w:shd w:val="clear" w:color="auto" w:fill="D9D9D9"/>
            <w:vAlign w:val="top"/>
          </w:tcPr>
          <w:p>
            <w:pPr>
              <w:pStyle w:val="8"/>
              <w:spacing w:before="39" w:line="217" w:lineRule="auto"/>
              <w:jc w:val="right"/>
            </w:pPr>
            <w:r>
              <w:rPr>
                <w:spacing w:val="-5"/>
              </w:rPr>
              <w:t>资格</w:t>
            </w:r>
          </w:p>
        </w:tc>
        <w:tc>
          <w:tcPr>
            <w:tcW w:w="241" w:type="dxa"/>
            <w:tcBorders>
              <w:right w:val="nil"/>
            </w:tcBorders>
            <w:vAlign w:val="top"/>
          </w:tcPr>
          <w:p>
            <w:pPr>
              <w:pStyle w:val="8"/>
              <w:spacing w:before="132" w:line="150" w:lineRule="exact"/>
              <w:ind w:left="18"/>
              <w:rPr>
                <w:sz w:val="11"/>
                <w:szCs w:val="11"/>
              </w:rPr>
            </w:pPr>
            <w:r>
              <w:rPr>
                <w:position w:val="3"/>
                <w:sz w:val="11"/>
                <w:szCs w:val="11"/>
              </w:rPr>
              <w:t>:</w:t>
            </w:r>
          </w:p>
        </w:tc>
        <w:tc>
          <w:tcPr>
            <w:tcW w:w="3409" w:type="dxa"/>
            <w:gridSpan w:val="3"/>
            <w:vMerge w:val="continue"/>
            <w:tcBorders>
              <w:top w:val="nil"/>
              <w:left w:val="nil"/>
              <w:right w:val="nil"/>
            </w:tcBorders>
            <w:vAlign w:val="top"/>
          </w:tcPr>
          <w:p>
            <w:pPr>
              <w:rPr>
                <w:rFonts w:ascii="Arial"/>
                <w:sz w:val="21"/>
              </w:rPr>
            </w:pPr>
          </w:p>
        </w:tc>
        <w:tc>
          <w:tcPr>
            <w:tcW w:w="2928" w:type="dxa"/>
            <w:gridSpan w:val="5"/>
            <w:tcBorders>
              <w:left w:val="nil"/>
              <w:right w:val="single" w:color="000000" w:sz="6" w:space="0"/>
            </w:tcBorders>
            <w:vAlign w:val="top"/>
          </w:tcPr>
          <w:p>
            <w:pPr>
              <w:rPr>
                <w:rFonts w:ascii="Arial"/>
                <w:sz w:val="21"/>
              </w:rPr>
            </w:pP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14" w:type="dxa"/>
            <w:gridSpan w:val="2"/>
            <w:tcBorders>
              <w:left w:val="single" w:color="000000" w:sz="6" w:space="0"/>
            </w:tcBorders>
            <w:vAlign w:val="top"/>
          </w:tcPr>
          <w:p>
            <w:pPr>
              <w:rPr>
                <w:rFonts w:ascii="Arial"/>
                <w:sz w:val="21"/>
              </w:rPr>
            </w:pPr>
          </w:p>
        </w:tc>
        <w:tc>
          <w:tcPr>
            <w:tcW w:w="6578" w:type="dxa"/>
            <w:gridSpan w:val="9"/>
            <w:tcBorders>
              <w:right w:val="single" w:color="000000" w:sz="6" w:space="0"/>
            </w:tcBorders>
            <w:shd w:val="clear" w:color="auto" w:fill="D9D9D9"/>
            <w:vAlign w:val="top"/>
          </w:tcPr>
          <w:p>
            <w:pPr>
              <w:pStyle w:val="8"/>
              <w:spacing w:before="33" w:line="213" w:lineRule="auto"/>
              <w:ind w:left="4"/>
            </w:pPr>
            <w:r>
              <w:rPr>
                <w:spacing w:val="2"/>
              </w:rPr>
              <w:t>（一）进行虚假的或者误导投资者的广告或者其他宣传推介活</w:t>
            </w: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14" w:type="dxa"/>
            <w:gridSpan w:val="2"/>
            <w:tcBorders>
              <w:left w:val="single" w:color="000000" w:sz="6" w:space="0"/>
            </w:tcBorders>
            <w:shd w:val="clear" w:color="auto" w:fill="D9D9D9"/>
            <w:vAlign w:val="top"/>
          </w:tcPr>
          <w:p>
            <w:pPr>
              <w:pStyle w:val="8"/>
              <w:spacing w:before="38" w:line="215" w:lineRule="auto"/>
              <w:ind w:left="36"/>
            </w:pPr>
            <w:r>
              <w:rPr>
                <w:spacing w:val="-22"/>
              </w:rPr>
              <w:t>动；</w:t>
            </w:r>
          </w:p>
        </w:tc>
        <w:tc>
          <w:tcPr>
            <w:tcW w:w="4331" w:type="dxa"/>
            <w:gridSpan w:val="6"/>
            <w:tcBorders>
              <w:right w:val="nil"/>
            </w:tcBorders>
            <w:vAlign w:val="top"/>
          </w:tcPr>
          <w:p>
            <w:pPr>
              <w:rPr>
                <w:rFonts w:ascii="Arial"/>
                <w:sz w:val="21"/>
              </w:rPr>
            </w:pPr>
          </w:p>
        </w:tc>
        <w:tc>
          <w:tcPr>
            <w:tcW w:w="240" w:type="dxa"/>
            <w:vMerge w:val="restart"/>
            <w:tcBorders>
              <w:left w:val="nil"/>
              <w:bottom w:val="nil"/>
              <w:right w:val="nil"/>
            </w:tcBorders>
            <w:vAlign w:val="top"/>
          </w:tcPr>
          <w:p>
            <w:pPr>
              <w:rPr>
                <w:rFonts w:ascii="Arial"/>
                <w:sz w:val="21"/>
              </w:rPr>
            </w:pPr>
          </w:p>
        </w:tc>
        <w:tc>
          <w:tcPr>
            <w:tcW w:w="2007" w:type="dxa"/>
            <w:gridSpan w:val="2"/>
            <w:vMerge w:val="restart"/>
            <w:tcBorders>
              <w:left w:val="nil"/>
              <w:bottom w:val="nil"/>
              <w:right w:val="single" w:color="000000" w:sz="6" w:space="0"/>
            </w:tcBorders>
            <w:vAlign w:val="top"/>
          </w:tcPr>
          <w:p>
            <w:pPr>
              <w:rPr>
                <w:rFonts w:ascii="Arial"/>
                <w:sz w:val="21"/>
              </w:rPr>
            </w:pP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14" w:type="dxa"/>
            <w:gridSpan w:val="2"/>
            <w:vMerge w:val="restart"/>
            <w:tcBorders>
              <w:left w:val="single" w:color="000000" w:sz="6" w:space="0"/>
              <w:bottom w:val="nil"/>
            </w:tcBorders>
            <w:vAlign w:val="top"/>
          </w:tcPr>
          <w:p>
            <w:pPr>
              <w:rPr>
                <w:rFonts w:ascii="Arial"/>
                <w:sz w:val="21"/>
              </w:rPr>
            </w:pPr>
          </w:p>
        </w:tc>
        <w:tc>
          <w:tcPr>
            <w:tcW w:w="4331" w:type="dxa"/>
            <w:gridSpan w:val="6"/>
            <w:shd w:val="clear" w:color="auto" w:fill="D9D9D9"/>
            <w:vAlign w:val="top"/>
          </w:tcPr>
          <w:p>
            <w:pPr>
              <w:pStyle w:val="8"/>
              <w:spacing w:before="37" w:line="209" w:lineRule="auto"/>
              <w:ind w:left="4"/>
            </w:pPr>
            <w:r>
              <w:rPr>
                <w:spacing w:val="-4"/>
              </w:rPr>
              <w:t>（二）以不正当竞争手段招揽承销业务；</w:t>
            </w:r>
          </w:p>
        </w:tc>
        <w:tc>
          <w:tcPr>
            <w:tcW w:w="240" w:type="dxa"/>
            <w:vMerge w:val="continue"/>
            <w:tcBorders>
              <w:top w:val="nil"/>
              <w:left w:val="nil"/>
              <w:right w:val="nil"/>
            </w:tcBorders>
            <w:vAlign w:val="top"/>
          </w:tcPr>
          <w:p>
            <w:pPr>
              <w:rPr>
                <w:rFonts w:ascii="Arial"/>
                <w:sz w:val="21"/>
              </w:rPr>
            </w:pPr>
          </w:p>
        </w:tc>
        <w:tc>
          <w:tcPr>
            <w:tcW w:w="2007" w:type="dxa"/>
            <w:gridSpan w:val="2"/>
            <w:vMerge w:val="continue"/>
            <w:tcBorders>
              <w:top w:val="nil"/>
              <w:left w:val="nil"/>
              <w:bottom w:val="nil"/>
              <w:right w:val="single" w:color="000000" w:sz="6" w:space="0"/>
            </w:tcBorders>
            <w:vAlign w:val="top"/>
          </w:tcPr>
          <w:p>
            <w:pPr>
              <w:rPr>
                <w:rFonts w:ascii="Arial"/>
                <w:sz w:val="21"/>
              </w:rPr>
            </w:pP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14" w:type="dxa"/>
            <w:gridSpan w:val="2"/>
            <w:vMerge w:val="continue"/>
            <w:tcBorders>
              <w:top w:val="nil"/>
              <w:left w:val="single" w:color="000000" w:sz="6" w:space="0"/>
              <w:bottom w:val="single" w:color="000000" w:sz="6" w:space="0"/>
            </w:tcBorders>
            <w:vAlign w:val="top"/>
          </w:tcPr>
          <w:p>
            <w:pPr>
              <w:rPr>
                <w:rFonts w:ascii="Arial"/>
                <w:sz w:val="21"/>
              </w:rPr>
            </w:pPr>
          </w:p>
        </w:tc>
        <w:tc>
          <w:tcPr>
            <w:tcW w:w="4571" w:type="dxa"/>
            <w:gridSpan w:val="7"/>
            <w:tcBorders>
              <w:bottom w:val="single" w:color="000000" w:sz="6" w:space="0"/>
            </w:tcBorders>
            <w:shd w:val="clear" w:color="auto" w:fill="D9D9D9"/>
            <w:vAlign w:val="top"/>
          </w:tcPr>
          <w:p>
            <w:pPr>
              <w:pStyle w:val="8"/>
              <w:spacing w:before="43" w:line="211" w:lineRule="auto"/>
              <w:ind w:left="4"/>
            </w:pPr>
            <w:r>
              <w:rPr>
                <w:spacing w:val="-3"/>
              </w:rPr>
              <w:t>（三）其他违反证券承销业务规定的行为。</w:t>
            </w:r>
          </w:p>
        </w:tc>
        <w:tc>
          <w:tcPr>
            <w:tcW w:w="2007" w:type="dxa"/>
            <w:gridSpan w:val="2"/>
            <w:vMerge w:val="continue"/>
            <w:tcBorders>
              <w:top w:val="nil"/>
              <w:left w:val="nil"/>
              <w:bottom w:val="single" w:color="000000" w:sz="6" w:space="0"/>
              <w:right w:val="single" w:color="000000" w:sz="6" w:space="0"/>
            </w:tcBorders>
            <w:vAlign w:val="top"/>
          </w:tcPr>
          <w:p>
            <w:pPr>
              <w:rPr>
                <w:rFonts w:ascii="Arial"/>
                <w:sz w:val="21"/>
              </w:rPr>
            </w:pPr>
          </w:p>
        </w:tc>
        <w:tc>
          <w:tcPr>
            <w:tcW w:w="6815"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195" w:type="dxa"/>
            <w:gridSpan w:val="5"/>
            <w:tcBorders>
              <w:top w:val="single" w:color="000000" w:sz="6" w:space="0"/>
              <w:left w:val="single" w:color="000000" w:sz="6" w:space="0"/>
              <w:bottom w:val="nil"/>
            </w:tcBorders>
            <w:vAlign w:val="top"/>
          </w:tcPr>
          <w:p>
            <w:pPr>
              <w:pStyle w:val="8"/>
              <w:spacing w:before="53" w:line="193" w:lineRule="auto"/>
              <w:ind w:right="10"/>
              <w:jc w:val="right"/>
            </w:pPr>
            <w:r>
              <w:rPr>
                <w:rFonts w:ascii="黑体" w:hAnsi="黑体" w:eastAsia="黑体" w:cs="黑体"/>
                <w:spacing w:val="1"/>
              </w:rPr>
              <w:t xml:space="preserve">第一百九十四条  </w:t>
            </w:r>
            <w:r>
              <w:rPr>
                <w:spacing w:val="1"/>
              </w:rPr>
              <w:t>发行人</w:t>
            </w:r>
          </w:p>
        </w:tc>
        <w:tc>
          <w:tcPr>
            <w:tcW w:w="1225" w:type="dxa"/>
            <w:gridSpan w:val="2"/>
            <w:tcBorders>
              <w:top w:val="single" w:color="000000" w:sz="6" w:space="0"/>
            </w:tcBorders>
            <w:shd w:val="clear" w:color="auto" w:fill="D9D9D9"/>
            <w:vAlign w:val="top"/>
          </w:tcPr>
          <w:p>
            <w:pPr>
              <w:pStyle w:val="8"/>
              <w:spacing w:before="54" w:line="192" w:lineRule="auto"/>
              <w:ind w:left="26"/>
            </w:pPr>
            <w:r>
              <w:rPr>
                <w:spacing w:val="-5"/>
              </w:rPr>
              <w:t>、上市公司</w:t>
            </w:r>
          </w:p>
        </w:tc>
        <w:tc>
          <w:tcPr>
            <w:tcW w:w="2672" w:type="dxa"/>
            <w:gridSpan w:val="4"/>
            <w:tcBorders>
              <w:top w:val="single" w:color="000000" w:sz="6" w:space="0"/>
              <w:bottom w:val="nil"/>
              <w:right w:val="single" w:color="000000" w:sz="6" w:space="0"/>
            </w:tcBorders>
            <w:vAlign w:val="top"/>
          </w:tcPr>
          <w:p>
            <w:pPr>
              <w:pStyle w:val="8"/>
              <w:spacing w:before="54" w:line="192" w:lineRule="auto"/>
              <w:jc w:val="right"/>
            </w:pPr>
            <w:r>
              <w:rPr>
                <w:spacing w:val="1"/>
              </w:rPr>
              <w:t>擅自改变公开发行证券所</w:t>
            </w:r>
          </w:p>
        </w:tc>
        <w:tc>
          <w:tcPr>
            <w:tcW w:w="6815" w:type="dxa"/>
            <w:vMerge w:val="restart"/>
            <w:tcBorders>
              <w:top w:val="single" w:color="000000" w:sz="6" w:space="0"/>
              <w:left w:val="single" w:color="000000" w:sz="6" w:space="0"/>
              <w:bottom w:val="nil"/>
              <w:right w:val="single" w:color="000000" w:sz="6" w:space="0"/>
            </w:tcBorders>
            <w:vAlign w:val="top"/>
          </w:tcPr>
          <w:p>
            <w:pPr>
              <w:pStyle w:val="8"/>
              <w:spacing w:before="41" w:line="235" w:lineRule="auto"/>
              <w:ind w:left="15" w:right="4" w:firstLine="503"/>
              <w:jc w:val="both"/>
            </w:pPr>
            <w:r>
              <w:rPr>
                <w:rFonts w:ascii="黑体" w:hAnsi="黑体" w:eastAsia="黑体" w:cs="黑体"/>
                <w:spacing w:val="1"/>
              </w:rPr>
              <w:t xml:space="preserve">第一百八十五条  </w:t>
            </w:r>
            <w:r>
              <w:rPr>
                <w:spacing w:val="1"/>
              </w:rPr>
              <w:t>发行人</w:t>
            </w:r>
            <w:r>
              <w:rPr>
                <w:rFonts w:ascii="黑体" w:hAnsi="黑体" w:eastAsia="黑体" w:cs="黑体"/>
                <w:spacing w:val="1"/>
              </w:rPr>
              <w:t>违反本法第十四条、第十五条的规</w:t>
            </w:r>
            <w:r>
              <w:rPr>
                <w:rFonts w:ascii="黑体" w:hAnsi="黑体" w:eastAsia="黑体" w:cs="黑体"/>
                <w:spacing w:val="8"/>
              </w:rPr>
              <w:t xml:space="preserve"> </w:t>
            </w:r>
            <w:r>
              <w:rPr>
                <w:rFonts w:ascii="黑体" w:hAnsi="黑体" w:eastAsia="黑体" w:cs="黑体"/>
                <w:spacing w:val="-2"/>
              </w:rPr>
              <w:t>定</w:t>
            </w:r>
            <w:r>
              <w:rPr>
                <w:spacing w:val="-2"/>
              </w:rPr>
              <w:t>擅自改变公开发行证券所募集资金的用途的， 责</w:t>
            </w:r>
            <w:r>
              <w:rPr>
                <w:spacing w:val="-3"/>
              </w:rPr>
              <w:t>令改正，</w:t>
            </w:r>
            <w:r>
              <w:rPr>
                <w:rFonts w:ascii="黑体" w:hAnsi="黑体" w:eastAsia="黑体" w:cs="黑体"/>
                <w:spacing w:val="-3"/>
              </w:rPr>
              <w:t>处以</w:t>
            </w:r>
            <w:r>
              <w:rPr>
                <w:rFonts w:ascii="黑体" w:hAnsi="黑体" w:eastAsia="黑体" w:cs="黑体"/>
              </w:rPr>
              <w:t xml:space="preserve"> </w:t>
            </w:r>
            <w:r>
              <w:rPr>
                <w:rFonts w:ascii="黑体" w:hAnsi="黑体" w:eastAsia="黑体" w:cs="黑体"/>
                <w:spacing w:val="2"/>
              </w:rPr>
              <w:t>五十万元以上五百万元以下的罚款</w:t>
            </w:r>
            <w:r>
              <w:rPr>
                <w:spacing w:val="2"/>
              </w:rPr>
              <w:t xml:space="preserve">；对直接负责的主管人员和其 </w:t>
            </w:r>
            <w:r>
              <w:rPr>
                <w:spacing w:val="-2"/>
              </w:rPr>
              <w:t>他直接责任人员给予警告， 并处以</w:t>
            </w:r>
            <w:r>
              <w:rPr>
                <w:rFonts w:ascii="黑体" w:hAnsi="黑体" w:eastAsia="黑体" w:cs="黑体"/>
                <w:spacing w:val="-2"/>
              </w:rPr>
              <w:t>十</w:t>
            </w:r>
            <w:r>
              <w:rPr>
                <w:spacing w:val="-2"/>
              </w:rPr>
              <w:t>万元以上</w:t>
            </w:r>
            <w:r>
              <w:rPr>
                <w:rFonts w:ascii="黑体" w:hAnsi="黑体" w:eastAsia="黑体" w:cs="黑体"/>
                <w:spacing w:val="-2"/>
              </w:rPr>
              <w:t>一百</w:t>
            </w:r>
            <w:r>
              <w:rPr>
                <w:spacing w:val="-3"/>
              </w:rPr>
              <w:t>万元以下的罚</w:t>
            </w:r>
            <w:r>
              <w:t xml:space="preserve"> </w:t>
            </w:r>
            <w:r>
              <w:rPr>
                <w:spacing w:val="-14"/>
              </w:rPr>
              <w:t>款。</w:t>
            </w:r>
          </w:p>
          <w:p>
            <w:pPr>
              <w:pStyle w:val="8"/>
              <w:spacing w:before="26" w:line="232" w:lineRule="auto"/>
              <w:ind w:left="21" w:right="4" w:firstLine="497"/>
              <w:jc w:val="both"/>
              <w:rPr>
                <w:rFonts w:ascii="黑体" w:hAnsi="黑体" w:eastAsia="黑体" w:cs="黑体"/>
              </w:rPr>
            </w:pPr>
            <w:r>
              <w:rPr>
                <w:spacing w:val="-3"/>
              </w:rPr>
              <w:t>发行人的控股股东、实际控制人</w:t>
            </w:r>
            <w:r>
              <w:rPr>
                <w:rFonts w:ascii="黑体" w:hAnsi="黑体" w:eastAsia="黑体" w:cs="黑体"/>
                <w:spacing w:val="-3"/>
              </w:rPr>
              <w:t xml:space="preserve">从事或者组织、 </w:t>
            </w:r>
            <w:r>
              <w:rPr>
                <w:spacing w:val="-3"/>
              </w:rPr>
              <w:t>指</w:t>
            </w:r>
            <w:r>
              <w:rPr>
                <w:spacing w:val="-4"/>
              </w:rPr>
              <w:t>使从事前</w:t>
            </w:r>
            <w:r>
              <w:t xml:space="preserve"> </w:t>
            </w:r>
            <w:r>
              <w:rPr>
                <w:spacing w:val="-2"/>
              </w:rPr>
              <w:t>款违法行为的，给予警告， 并处以</w:t>
            </w:r>
            <w:r>
              <w:rPr>
                <w:rFonts w:ascii="黑体" w:hAnsi="黑体" w:eastAsia="黑体" w:cs="黑体"/>
                <w:spacing w:val="-2"/>
              </w:rPr>
              <w:t>五</w:t>
            </w:r>
            <w:r>
              <w:rPr>
                <w:spacing w:val="-2"/>
              </w:rPr>
              <w:t>十万</w:t>
            </w:r>
            <w:r>
              <w:rPr>
                <w:spacing w:val="-3"/>
              </w:rPr>
              <w:t>元以上</w:t>
            </w:r>
            <w:r>
              <w:rPr>
                <w:rFonts w:ascii="黑体" w:hAnsi="黑体" w:eastAsia="黑体" w:cs="黑体"/>
                <w:spacing w:val="-3"/>
              </w:rPr>
              <w:t>五百</w:t>
            </w:r>
            <w:r>
              <w:rPr>
                <w:spacing w:val="-3"/>
              </w:rPr>
              <w:t>万元以下的</w:t>
            </w:r>
            <w:r>
              <w:t xml:space="preserve"> </w:t>
            </w:r>
            <w:r>
              <w:rPr>
                <w:spacing w:val="2"/>
              </w:rPr>
              <w:t>罚款；</w:t>
            </w:r>
            <w:r>
              <w:rPr>
                <w:rFonts w:ascii="黑体" w:hAnsi="黑体" w:eastAsia="黑体" w:cs="黑体"/>
                <w:spacing w:val="2"/>
              </w:rPr>
              <w:t>对直接负责的主管人员和其他直接责任人员</w:t>
            </w:r>
            <w:r>
              <w:rPr>
                <w:rFonts w:ascii="黑体" w:hAnsi="黑体" w:eastAsia="黑体" w:cs="黑体"/>
                <w:spacing w:val="1"/>
              </w:rPr>
              <w:t>，处以十万元</w:t>
            </w:r>
            <w:r>
              <w:rPr>
                <w:rFonts w:ascii="黑体" w:hAnsi="黑体" w:eastAsia="黑体" w:cs="黑体"/>
              </w:rPr>
              <w:t xml:space="preserve"> </w:t>
            </w:r>
            <w:r>
              <w:rPr>
                <w:rFonts w:ascii="黑体" w:hAnsi="黑体" w:eastAsia="黑体" w:cs="黑体"/>
                <w:spacing w:val="-4"/>
              </w:rPr>
              <w:t>以上一百万元以下的罚款。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7092" w:type="dxa"/>
            <w:gridSpan w:val="11"/>
            <w:tcBorders>
              <w:top w:val="nil"/>
              <w:left w:val="single" w:color="000000" w:sz="6" w:space="0"/>
              <w:right w:val="single" w:color="000000" w:sz="6" w:space="0"/>
            </w:tcBorders>
            <w:vAlign w:val="top"/>
          </w:tcPr>
          <w:p>
            <w:pPr>
              <w:pStyle w:val="8"/>
              <w:spacing w:before="52" w:line="232" w:lineRule="auto"/>
              <w:ind w:left="20" w:hanging="7"/>
            </w:pPr>
            <w:r>
              <w:pict>
                <v:shape id="_x0000_s1114" o:spid="_x0000_s1114" o:spt="202" type="#_x0000_t202" style="position:absolute;left:0pt;margin-left:143.2pt;margin-top:15.35pt;height:18.6pt;width:15pt;z-index:2517442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4" w:type="dxa"/>
                              <w:vAlign w:val="top"/>
                            </w:tcPr>
                            <w:p>
                              <w:pPr>
                                <w:pStyle w:val="8"/>
                                <w:spacing w:before="41" w:line="207" w:lineRule="auto"/>
                                <w:jc w:val="right"/>
                              </w:pPr>
                              <w:r>
                                <w:rPr>
                                  <w:spacing w:val="-28"/>
                                  <w:shd w:val="clear" w:fill="D9D9D9"/>
                                </w:rPr>
                                <w:t>三</w:t>
                              </w:r>
                            </w:p>
                          </w:tc>
                        </w:tr>
                      </w:tbl>
                      <w:p>
                        <w:pPr>
                          <w:rPr>
                            <w:rFonts w:ascii="Arial"/>
                            <w:sz w:val="21"/>
                          </w:rPr>
                        </w:pPr>
                      </w:p>
                    </w:txbxContent>
                  </v:textbox>
                </v:shape>
              </w:pict>
            </w:r>
            <w:r>
              <w:pict>
                <v:shape id="_x0000_s1115" o:spid="_x0000_s1115" o:spt="202" type="#_x0000_t202" style="position:absolute;left:0pt;margin-left:204.2pt;margin-top:15.35pt;height:18.6pt;width:27pt;z-index:2517432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4" w:type="dxa"/>
                              <w:vAlign w:val="top"/>
                            </w:tcPr>
                            <w:p>
                              <w:pPr>
                                <w:pStyle w:val="8"/>
                                <w:spacing w:before="41" w:line="207" w:lineRule="auto"/>
                                <w:jc w:val="right"/>
                              </w:pPr>
                              <w:r>
                                <w:rPr>
                                  <w:spacing w:val="-14"/>
                                  <w:shd w:val="clear" w:fill="D9D9D9"/>
                                </w:rPr>
                                <w:t>三十</w:t>
                              </w:r>
                            </w:p>
                          </w:tc>
                        </w:tr>
                      </w:tbl>
                      <w:p>
                        <w:pPr>
                          <w:rPr>
                            <w:rFonts w:ascii="Arial"/>
                            <w:sz w:val="21"/>
                          </w:rPr>
                        </w:pPr>
                      </w:p>
                    </w:txbxContent>
                  </v:textbox>
                </v:shape>
              </w:pict>
            </w:r>
            <w:r>
              <w:pict>
                <v:shape id="_x0000_s1116" o:spid="_x0000_s1116" style="position:absolute;left:0pt;margin-left:220.15pt;margin-top:49.85pt;height:0.5pt;width:24.15pt;mso-position-horizontal-relative:page;mso-position-vertical-relative:page;z-index:-251582464;mso-width-relative:page;mso-height-relative:page;" fillcolor="#000000" filled="t" stroked="f" coordsize="482,10" path="m0,0l482,0,482,9,0,9,0,0xe">
                  <v:path/>
                  <v:fill on="t" focussize="0,0"/>
                  <v:stroke on="f"/>
                  <v:imagedata o:title=""/>
                  <o:lock v:ext="edit"/>
                </v:shape>
              </w:pict>
            </w:r>
            <w:r>
              <w:pict>
                <v:group id="_x0000_s1117" o:spid="_x0000_s1117" o:spt="203" style="position:absolute;left:0pt;margin-left:341.7pt;margin-top:49.85pt;height:16.1pt;width:12.5pt;mso-position-horizontal-relative:page;mso-position-vertical-relative:page;z-index:251747328;mso-width-relative:page;mso-height-relative:page;" coordsize="250,322">
                  <o:lock v:ext="edit"/>
                  <v:rect id="_x0000_s1118" o:spid="_x0000_s1118" o:spt="1" style="position:absolute;left:9;top:9;height:312;width:237;" fillcolor="#D9D9D9" filled="t" stroked="f" coordsize="21600,21600">
                    <v:path/>
                    <v:fill on="t" focussize="0,0"/>
                    <v:stroke on="f"/>
                    <v:imagedata o:title=""/>
                    <o:lock v:ext="edit"/>
                  </v:rect>
                  <v:shape id="_x0000_s1119" o:spid="_x0000_s1119" o:spt="202" type="#_x0000_t202" style="position:absolute;left:-20;top:-10;height:362;width:290;" filled="f" stroked="f" coordsize="21600,21600">
                    <v:path/>
                    <v:fill on="f" focussize="0,0"/>
                    <v:stroke on="f"/>
                    <v:imagedata o:title=""/>
                    <o:lock v:ext="edit" aspectratio="f"/>
                    <v:textbox inset="0mm,0mm,0mm,0mm">
                      <w:txbxContent>
                        <w:p>
                          <w:pPr>
                            <w:pStyle w:val="8"/>
                            <w:spacing w:before="20"/>
                            <w:ind w:left="20"/>
                          </w:pPr>
                          <w:r>
                            <w:rPr>
                              <w:position w:val="-6"/>
                            </w:rPr>
                            <w:drawing>
                              <wp:inline distT="0" distB="0" distL="0" distR="0">
                                <wp:extent cx="5715" cy="1981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96"/>
                                        <a:stretch>
                                          <a:fillRect/>
                                        </a:stretch>
                                      </pic:blipFill>
                                      <pic:spPr>
                                        <a:xfrm>
                                          <a:off x="0" y="0"/>
                                          <a:ext cx="6096" cy="198120"/>
                                        </a:xfrm>
                                        <a:prstGeom prst="rect">
                                          <a:avLst/>
                                        </a:prstGeom>
                                      </pic:spPr>
                                    </pic:pic>
                                  </a:graphicData>
                                </a:graphic>
                              </wp:inline>
                            </w:drawing>
                          </w:r>
                          <w:r>
                            <w:t>对</w:t>
                          </w:r>
                        </w:p>
                      </w:txbxContent>
                    </v:textbox>
                  </v:shape>
                  <v:shape id="_x0000_s1120" o:spid="_x0000_s1120" style="position:absolute;left:0;top:0;height:10;width:247;" fillcolor="#000000" filled="t" stroked="f" coordsize="247,10" path="m0,0l9,0,9,9,0,9,0,0xem0,0l9,0,9,9,0,9,0,0xem9,0l247,0,247,9,9,9,9,0xe">
                    <v:path/>
                    <v:fill on="t" focussize="0,0"/>
                    <v:stroke on="f"/>
                    <v:imagedata o:title=""/>
                    <o:lock v:ext="edit"/>
                  </v:shape>
                </v:group>
              </w:pict>
            </w:r>
            <w:r>
              <w:rPr>
                <w:spacing w:val="3"/>
              </w:rPr>
              <w:t>募集资金的用途的，责令改正，对直接负责的主管人员和其他直接</w:t>
            </w:r>
            <w:r>
              <w:rPr>
                <w:spacing w:val="15"/>
              </w:rPr>
              <w:t xml:space="preserve"> </w:t>
            </w:r>
            <w:r>
              <w:rPr>
                <w:spacing w:val="-3"/>
              </w:rPr>
              <w:t>责任人员给予警告，并处以  万元以上</w:t>
            </w:r>
            <w:r>
              <w:rPr>
                <w:spacing w:val="12"/>
              </w:rPr>
              <w:t xml:space="preserve">    </w:t>
            </w:r>
            <w:r>
              <w:rPr>
                <w:spacing w:val="-3"/>
              </w:rPr>
              <w:t>万元以下的罚款。</w:t>
            </w:r>
          </w:p>
          <w:p>
            <w:pPr>
              <w:pStyle w:val="8"/>
              <w:spacing w:before="51" w:line="226" w:lineRule="auto"/>
              <w:ind w:left="13" w:firstLine="499"/>
            </w:pPr>
            <w:r>
              <w:pict>
                <v:shape id="_x0000_s1121" o:spid="_x0000_s1121" o:spt="202" type="#_x0000_t202" style="position:absolute;left:0pt;margin-left:60.55pt;margin-top:-0.75pt;height:18.6pt;width:63.7pt;z-index:2517401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122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1228" w:type="dxa"/>
                              <w:vAlign w:val="top"/>
                            </w:tcPr>
                            <w:p>
                              <w:pPr>
                                <w:pStyle w:val="8"/>
                                <w:spacing w:before="41" w:line="207" w:lineRule="auto"/>
                                <w:ind w:left="33"/>
                              </w:pPr>
                              <w:r>
                                <w:rPr>
                                  <w:spacing w:val="-5"/>
                                  <w:shd w:val="clear" w:fill="D9D9D9"/>
                                </w:rPr>
                                <w:t>、上市公司</w:t>
                              </w:r>
                            </w:p>
                          </w:tc>
                        </w:tr>
                      </w:tbl>
                      <w:p>
                        <w:pPr>
                          <w:rPr>
                            <w:rFonts w:ascii="Arial"/>
                            <w:sz w:val="21"/>
                          </w:rPr>
                        </w:pPr>
                      </w:p>
                    </w:txbxContent>
                  </v:textbox>
                </v:shape>
              </w:pict>
            </w:r>
            <w:r>
              <w:pict>
                <v:shape id="_x0000_s1122" o:spid="_x0000_s1122" o:spt="202" type="#_x0000_t202" style="position:absolute;left:0pt;margin-left:144.55pt;margin-top:15.75pt;height:18.6pt;width:15.1pt;z-index:251741184;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6"/>
                            <w:shd w:val="clear" w:fill="D9D9D9"/>
                          </w:rPr>
                          <w:drawing>
                            <wp:inline distT="0" distB="0" distL="0" distR="0">
                              <wp:extent cx="6350" cy="203835"/>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70"/>
                                      <a:stretch>
                                        <a:fillRect/>
                                      </a:stretch>
                                    </pic:blipFill>
                                    <pic:spPr>
                                      <a:xfrm>
                                        <a:off x="0" y="0"/>
                                        <a:ext cx="6857" cy="204216"/>
                                      </a:xfrm>
                                      <a:prstGeom prst="rect">
                                        <a:avLst/>
                                      </a:prstGeom>
                                    </pic:spPr>
                                  </pic:pic>
                                </a:graphicData>
                              </a:graphic>
                            </wp:inline>
                          </w:drawing>
                        </w:r>
                        <w:r>
                          <w:rPr>
                            <w:shd w:val="clear" w:fill="D9D9D9"/>
                          </w:rPr>
                          <w:t>三</w:t>
                        </w:r>
                        <w:r>
                          <w:rPr>
                            <w:position w:val="-6"/>
                            <w:shd w:val="clear" w:fill="D9D9D9"/>
                          </w:rPr>
                          <w:drawing>
                            <wp:inline distT="0" distB="0" distL="0" distR="0">
                              <wp:extent cx="6350" cy="203835"/>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83"/>
                                      <a:stretch>
                                        <a:fillRect/>
                                      </a:stretch>
                                    </pic:blipFill>
                                    <pic:spPr>
                                      <a:xfrm>
                                        <a:off x="0" y="0"/>
                                        <a:ext cx="6857" cy="204216"/>
                                      </a:xfrm>
                                      <a:prstGeom prst="rect">
                                        <a:avLst/>
                                      </a:prstGeom>
                                    </pic:spPr>
                                  </pic:pic>
                                </a:graphicData>
                              </a:graphic>
                            </wp:inline>
                          </w:drawing>
                        </w:r>
                      </w:p>
                    </w:txbxContent>
                  </v:textbox>
                </v:shape>
              </w:pict>
            </w:r>
            <w:r>
              <w:pict>
                <v:shape id="_x0000_s1123" o:spid="_x0000_s1123" o:spt="202" type="#_x0000_t202" style="position:absolute;left:0pt;margin-left:218.25pt;margin-top:15.75pt;height:18.6pt;width:27.1pt;z-index:251742208;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6"/>
                            <w:shd w:val="clear" w:fill="D9D9D9"/>
                          </w:rPr>
                          <w:drawing>
                            <wp:inline distT="0" distB="0" distL="0" distR="0">
                              <wp:extent cx="6350" cy="203835"/>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76"/>
                                      <a:stretch>
                                        <a:fillRect/>
                                      </a:stretch>
                                    </pic:blipFill>
                                    <pic:spPr>
                                      <a:xfrm>
                                        <a:off x="0" y="0"/>
                                        <a:ext cx="6858" cy="204216"/>
                                      </a:xfrm>
                                      <a:prstGeom prst="rect">
                                        <a:avLst/>
                                      </a:prstGeom>
                                    </pic:spPr>
                                  </pic:pic>
                                </a:graphicData>
                              </a:graphic>
                            </wp:inline>
                          </w:drawing>
                        </w:r>
                        <w:r>
                          <w:rPr>
                            <w:spacing w:val="-1"/>
                            <w:shd w:val="clear" w:fill="D9D9D9"/>
                          </w:rPr>
                          <w:t>六十</w:t>
                        </w:r>
                        <w:r>
                          <w:rPr>
                            <w:position w:val="-6"/>
                            <w:shd w:val="clear" w:fill="D9D9D9"/>
                          </w:rPr>
                          <w:drawing>
                            <wp:inline distT="0" distB="0" distL="0" distR="0">
                              <wp:extent cx="6350" cy="203835"/>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70"/>
                                      <a:stretch>
                                        <a:fillRect/>
                                      </a:stretch>
                                    </pic:blipFill>
                                    <pic:spPr>
                                      <a:xfrm>
                                        <a:off x="0" y="0"/>
                                        <a:ext cx="6858" cy="204216"/>
                                      </a:xfrm>
                                      <a:prstGeom prst="rect">
                                        <a:avLst/>
                                      </a:prstGeom>
                                    </pic:spPr>
                                  </pic:pic>
                                </a:graphicData>
                              </a:graphic>
                            </wp:inline>
                          </w:drawing>
                        </w:r>
                      </w:p>
                    </w:txbxContent>
                  </v:textbox>
                </v:shape>
              </w:pict>
            </w:r>
            <w:r>
              <w:rPr>
                <w:spacing w:val="-5"/>
              </w:rPr>
              <w:t>发行人</w:t>
            </w:r>
            <w:r>
              <w:rPr>
                <w:spacing w:val="7"/>
              </w:rPr>
              <w:t xml:space="preserve">          </w:t>
            </w:r>
            <w:r>
              <w:rPr>
                <w:spacing w:val="-5"/>
              </w:rPr>
              <w:t>的控股股东、 实际控制人指使从事前款违法</w:t>
            </w:r>
            <w:r>
              <w:rPr>
                <w:spacing w:val="8"/>
              </w:rPr>
              <w:t xml:space="preserve"> </w:t>
            </w:r>
            <w:r>
              <w:rPr>
                <w:spacing w:val="-4"/>
              </w:rPr>
              <w:t>行为的， 给予警告，并处以  十万元以上</w:t>
            </w:r>
            <w:r>
              <w:rPr>
                <w:spacing w:val="12"/>
              </w:rPr>
              <w:t xml:space="preserve">    </w:t>
            </w:r>
            <w:r>
              <w:rPr>
                <w:spacing w:val="-4"/>
              </w:rPr>
              <w:t>万元以下的罚款。</w:t>
            </w: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755" w:type="dxa"/>
            <w:gridSpan w:val="10"/>
            <w:tcBorders>
              <w:left w:val="single" w:color="000000" w:sz="6" w:space="0"/>
            </w:tcBorders>
            <w:shd w:val="clear" w:color="auto" w:fill="D9D9D9"/>
            <w:vAlign w:val="top"/>
          </w:tcPr>
          <w:p>
            <w:pPr>
              <w:pStyle w:val="8"/>
              <w:spacing w:before="59" w:line="191" w:lineRule="auto"/>
              <w:ind w:left="32"/>
            </w:pPr>
            <w:r>
              <w:rPr>
                <w:spacing w:val="-3"/>
              </w:rPr>
              <w:t>直接负责的主管人员和其他直接责任人员依照前款的规定处罚。</w:t>
            </w:r>
          </w:p>
        </w:tc>
        <w:tc>
          <w:tcPr>
            <w:tcW w:w="337" w:type="dxa"/>
            <w:tcBorders>
              <w:top w:val="nil"/>
              <w:bottom w:val="nil"/>
              <w:right w:val="single" w:color="000000" w:sz="6" w:space="0"/>
            </w:tcBorders>
            <w:vAlign w:val="top"/>
          </w:tcPr>
          <w:p>
            <w:pPr>
              <w:rPr>
                <w:rFonts w:ascii="Arial"/>
                <w:sz w:val="21"/>
              </w:rPr>
            </w:pPr>
          </w:p>
        </w:tc>
        <w:tc>
          <w:tcPr>
            <w:tcW w:w="6815"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092" w:type="dxa"/>
            <w:gridSpan w:val="11"/>
            <w:tcBorders>
              <w:left w:val="single" w:color="000000" w:sz="6" w:space="0"/>
              <w:bottom w:val="single" w:color="000000" w:sz="6" w:space="0"/>
              <w:right w:val="single" w:color="000000" w:sz="6" w:space="0"/>
            </w:tcBorders>
            <w:vAlign w:val="top"/>
          </w:tcPr>
          <w:p>
            <w:pPr>
              <w:rPr>
                <w:rFonts w:ascii="Arial"/>
                <w:sz w:val="21"/>
              </w:rPr>
            </w:pPr>
          </w:p>
        </w:tc>
        <w:tc>
          <w:tcPr>
            <w:tcW w:w="6815"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2"/>
        <w:gridCol w:w="451"/>
        <w:gridCol w:w="4423"/>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096" w:type="dxa"/>
            <w:gridSpan w:val="3"/>
            <w:tcBorders>
              <w:bottom w:val="single" w:color="000000" w:sz="2" w:space="0"/>
            </w:tcBorders>
            <w:vAlign w:val="top"/>
          </w:tcPr>
          <w:p>
            <w:pPr>
              <w:pStyle w:val="8"/>
              <w:spacing w:before="15" w:line="239" w:lineRule="auto"/>
              <w:ind w:left="34" w:right="7" w:firstLine="479"/>
            </w:pPr>
            <w:r>
              <w:rPr>
                <w:rFonts w:ascii="黑体" w:hAnsi="黑体" w:eastAsia="黑体" w:cs="黑体"/>
                <w:spacing w:val="7"/>
                <w:position w:val="8"/>
              </w:rPr>
              <w:t xml:space="preserve">第二百零四条  </w:t>
            </w:r>
            <w:r>
              <w:rPr>
                <w:spacing w:val="7"/>
                <w:position w:val="8"/>
              </w:rPr>
              <w:t>违反</w:t>
            </w:r>
            <w:r>
              <w:drawing>
                <wp:inline distT="0" distB="0" distL="0" distR="0">
                  <wp:extent cx="11430" cy="202565"/>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70"/>
                          <a:stretch>
                            <a:fillRect/>
                          </a:stretch>
                        </pic:blipFill>
                        <pic:spPr>
                          <a:xfrm>
                            <a:off x="0" y="0"/>
                            <a:ext cx="12001" cy="202970"/>
                          </a:xfrm>
                          <a:prstGeom prst="rect">
                            <a:avLst/>
                          </a:prstGeom>
                        </pic:spPr>
                      </pic:pic>
                    </a:graphicData>
                  </a:graphic>
                </wp:inline>
              </w:drawing>
            </w:r>
            <w:r>
              <w:rPr>
                <w:spacing w:val="7"/>
                <w:position w:val="8"/>
                <w:u w:val="single" w:color="auto"/>
                <w:shd w:val="clear" w:fill="D9D9D9"/>
              </w:rPr>
              <w:t>法律</w:t>
            </w:r>
            <w:r>
              <w:drawing>
                <wp:inline distT="0" distB="0" distL="0" distR="0">
                  <wp:extent cx="11430" cy="202565"/>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70"/>
                          <a:stretch>
                            <a:fillRect/>
                          </a:stretch>
                        </pic:blipFill>
                        <pic:spPr>
                          <a:xfrm>
                            <a:off x="0" y="0"/>
                            <a:ext cx="12001" cy="202970"/>
                          </a:xfrm>
                          <a:prstGeom prst="rect">
                            <a:avLst/>
                          </a:prstGeom>
                        </pic:spPr>
                      </pic:pic>
                    </a:graphicData>
                  </a:graphic>
                </wp:inline>
              </w:drawing>
            </w:r>
            <w:r>
              <w:rPr>
                <w:spacing w:val="7"/>
                <w:position w:val="8"/>
              </w:rPr>
              <w:t>规定，在限制转让期</w:t>
            </w:r>
            <w:r>
              <w:drawing>
                <wp:inline distT="0" distB="0" distL="0" distR="0">
                  <wp:extent cx="11430" cy="202565"/>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76"/>
                          <a:stretch>
                            <a:fillRect/>
                          </a:stretch>
                        </pic:blipFill>
                        <pic:spPr>
                          <a:xfrm>
                            <a:off x="0" y="0"/>
                            <a:ext cx="12001" cy="202970"/>
                          </a:xfrm>
                          <a:prstGeom prst="rect">
                            <a:avLst/>
                          </a:prstGeom>
                        </pic:spPr>
                      </pic:pic>
                    </a:graphicData>
                  </a:graphic>
                </wp:inline>
              </w:drawing>
            </w:r>
            <w:r>
              <w:rPr>
                <w:spacing w:val="7"/>
                <w:position w:val="8"/>
                <w:u w:val="single" w:color="auto"/>
                <w:shd w:val="clear" w:fill="D9D9D9"/>
              </w:rPr>
              <w:t>限</w:t>
            </w:r>
            <w:r>
              <w:drawing>
                <wp:inline distT="0" distB="0" distL="0" distR="0">
                  <wp:extent cx="11430" cy="202565"/>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83"/>
                          <a:stretch>
                            <a:fillRect/>
                          </a:stretch>
                        </pic:blipFill>
                        <pic:spPr>
                          <a:xfrm>
                            <a:off x="0" y="0"/>
                            <a:ext cx="12001" cy="202970"/>
                          </a:xfrm>
                          <a:prstGeom prst="rect">
                            <a:avLst/>
                          </a:prstGeom>
                        </pic:spPr>
                      </pic:pic>
                    </a:graphicData>
                  </a:graphic>
                </wp:inline>
              </w:drawing>
            </w:r>
            <w:r>
              <w:rPr>
                <w:spacing w:val="7"/>
                <w:position w:val="8"/>
              </w:rPr>
              <w:t>内</w:t>
            </w:r>
            <w:r>
              <w:drawing>
                <wp:inline distT="0" distB="0" distL="0" distR="0">
                  <wp:extent cx="11430" cy="202565"/>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83"/>
                          <a:stretch>
                            <a:fillRect/>
                          </a:stretch>
                        </pic:blipFill>
                        <pic:spPr>
                          <a:xfrm>
                            <a:off x="0" y="0"/>
                            <a:ext cx="12001" cy="202970"/>
                          </a:xfrm>
                          <a:prstGeom prst="rect">
                            <a:avLst/>
                          </a:prstGeom>
                        </pic:spPr>
                      </pic:pic>
                    </a:graphicData>
                  </a:graphic>
                </wp:inline>
              </w:drawing>
            </w:r>
            <w:r>
              <w:rPr>
                <w:spacing w:val="7"/>
                <w:position w:val="8"/>
                <w:u w:val="single" w:color="auto"/>
                <w:shd w:val="clear" w:fill="D9D9D9"/>
              </w:rPr>
              <w:t>买卖</w:t>
            </w:r>
            <w:r>
              <w:rPr>
                <w:spacing w:val="-111"/>
                <w:position w:val="8"/>
                <w:u w:val="single" w:color="auto"/>
                <w:shd w:val="clear" w:fill="D9D9D9"/>
              </w:rPr>
              <w:t xml:space="preserve"> </w:t>
            </w:r>
            <w:r>
              <w:drawing>
                <wp:inline distT="0" distB="0" distL="0" distR="0">
                  <wp:extent cx="11430" cy="5715"/>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72"/>
                          <a:stretch>
                            <a:fillRect/>
                          </a:stretch>
                        </pic:blipFill>
                        <pic:spPr>
                          <a:xfrm>
                            <a:off x="0" y="0"/>
                            <a:ext cx="12001" cy="6049"/>
                          </a:xfrm>
                          <a:prstGeom prst="rect">
                            <a:avLst/>
                          </a:prstGeom>
                        </pic:spPr>
                      </pic:pic>
                    </a:graphicData>
                  </a:graphic>
                </wp:inline>
              </w:drawing>
            </w:r>
            <w:r>
              <w:rPr>
                <w:spacing w:val="-113"/>
                <w:position w:val="8"/>
                <w:u w:val="single" w:color="auto"/>
                <w:shd w:val="clear" w:fill="D9D9D9"/>
              </w:rPr>
              <w:t xml:space="preserve"> </w:t>
            </w:r>
            <w:r>
              <w:rPr>
                <w:spacing w:val="7"/>
                <w:position w:val="8"/>
                <w:u w:val="single" w:color="auto"/>
                <w:shd w:val="clear" w:fill="D9D9D9"/>
              </w:rPr>
              <w:t>证券</w:t>
            </w:r>
            <w:r>
              <w:rPr>
                <w:position w:val="8"/>
              </w:rPr>
              <w:t xml:space="preserve"> </w:t>
            </w:r>
            <w:r>
              <w:rPr>
                <w:spacing w:val="-12"/>
              </w:rPr>
              <w:t>的，</w:t>
            </w:r>
            <w:r>
              <w:rPr>
                <w:spacing w:val="-27"/>
              </w:rPr>
              <w:t xml:space="preserve"> </w:t>
            </w:r>
            <w:r>
              <w:rPr>
                <w:spacing w:val="-12"/>
              </w:rPr>
              <w:t>责令改正， 给予警告， 并处以买卖证券等值以下的罚款</w:t>
            </w:r>
            <w:r>
              <w:rPr>
                <w:spacing w:val="-13"/>
              </w:rPr>
              <w:t xml:space="preserve">。 </w:t>
            </w:r>
            <w:r>
              <w:rPr>
                <w:position w:val="-6"/>
              </w:rPr>
              <w:drawing>
                <wp:inline distT="0" distB="0" distL="0" distR="0">
                  <wp:extent cx="5715" cy="196215"/>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88"/>
                          <a:stretch>
                            <a:fillRect/>
                          </a:stretch>
                        </pic:blipFill>
                        <pic:spPr>
                          <a:xfrm>
                            <a:off x="0" y="0"/>
                            <a:ext cx="6096" cy="196618"/>
                          </a:xfrm>
                          <a:prstGeom prst="rect">
                            <a:avLst/>
                          </a:prstGeom>
                        </pic:spPr>
                      </pic:pic>
                    </a:graphicData>
                  </a:graphic>
                </wp:inline>
              </w:drawing>
            </w:r>
            <w:r>
              <w:rPr>
                <w:spacing w:val="-13"/>
                <w:shd w:val="clear" w:fill="D9D9D9"/>
              </w:rPr>
              <w:t>对直</w:t>
            </w:r>
          </w:p>
        </w:tc>
        <w:tc>
          <w:tcPr>
            <w:tcW w:w="6811" w:type="dxa"/>
            <w:vMerge w:val="restart"/>
            <w:tcBorders>
              <w:bottom w:val="nil"/>
            </w:tcBorders>
            <w:vAlign w:val="top"/>
          </w:tcPr>
          <w:p>
            <w:pPr>
              <w:pStyle w:val="8"/>
              <w:spacing w:before="41" w:line="234" w:lineRule="auto"/>
              <w:ind w:left="14" w:right="3" w:firstLine="500"/>
              <w:jc w:val="both"/>
            </w:pPr>
            <w:r>
              <w:rPr>
                <w:rFonts w:ascii="黑体" w:hAnsi="黑体" w:eastAsia="黑体" w:cs="黑体"/>
                <w:spacing w:val="1"/>
              </w:rPr>
              <w:t xml:space="preserve">第一百八十六条  </w:t>
            </w:r>
            <w:r>
              <w:rPr>
                <w:spacing w:val="1"/>
              </w:rPr>
              <w:t>违反</w:t>
            </w:r>
            <w:r>
              <w:rPr>
                <w:rFonts w:ascii="黑体" w:hAnsi="黑体" w:eastAsia="黑体" w:cs="黑体"/>
                <w:spacing w:val="1"/>
              </w:rPr>
              <w:t>本法第三十六</w:t>
            </w:r>
            <w:r>
              <w:rPr>
                <w:spacing w:val="1"/>
              </w:rPr>
              <w:t>条规定，在限制转让期</w:t>
            </w:r>
            <w:r>
              <w:rPr>
                <w:spacing w:val="6"/>
              </w:rPr>
              <w:t xml:space="preserve"> </w:t>
            </w:r>
            <w:r>
              <w:rPr>
                <w:spacing w:val="-2"/>
              </w:rPr>
              <w:t xml:space="preserve">内转让证券， </w:t>
            </w:r>
            <w:r>
              <w:rPr>
                <w:rFonts w:ascii="黑体" w:hAnsi="黑体" w:eastAsia="黑体" w:cs="黑体"/>
                <w:spacing w:val="-2"/>
              </w:rPr>
              <w:t>或者转让股票不符合法律、</w:t>
            </w:r>
            <w:r>
              <w:rPr>
                <w:rFonts w:ascii="黑体" w:hAnsi="黑体" w:eastAsia="黑体" w:cs="黑体"/>
                <w:spacing w:val="-3"/>
              </w:rPr>
              <w:t>行政法规和国务院证券</w:t>
            </w:r>
            <w:r>
              <w:rPr>
                <w:rFonts w:ascii="黑体" w:hAnsi="黑体" w:eastAsia="黑体" w:cs="黑体"/>
              </w:rPr>
              <w:t xml:space="preserve"> </w:t>
            </w:r>
            <w:r>
              <w:rPr>
                <w:rFonts w:ascii="黑体" w:hAnsi="黑体" w:eastAsia="黑体" w:cs="黑体"/>
                <w:spacing w:val="-2"/>
              </w:rPr>
              <w:t>监督管理机构规定的</w:t>
            </w:r>
            <w:r>
              <w:rPr>
                <w:spacing w:val="-2"/>
              </w:rPr>
              <w:t>，责令改正， 给予警告，</w:t>
            </w:r>
            <w:r>
              <w:rPr>
                <w:rFonts w:ascii="黑体" w:hAnsi="黑体" w:eastAsia="黑体" w:cs="黑体"/>
                <w:spacing w:val="-2"/>
              </w:rPr>
              <w:t>没收</w:t>
            </w:r>
            <w:r>
              <w:rPr>
                <w:rFonts w:ascii="黑体" w:hAnsi="黑体" w:eastAsia="黑体" w:cs="黑体"/>
                <w:spacing w:val="-3"/>
              </w:rPr>
              <w:t>违法所得，</w:t>
            </w:r>
            <w:r>
              <w:rPr>
                <w:spacing w:val="-3"/>
              </w:rPr>
              <w:t>并</w:t>
            </w:r>
            <w:r>
              <w:t xml:space="preserve"> </w:t>
            </w:r>
            <w:r>
              <w:rPr>
                <w:spacing w:val="-4"/>
              </w:rPr>
              <w:t>处以买卖证券等值以下的罚款。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96" w:type="dxa"/>
            <w:gridSpan w:val="3"/>
            <w:tcBorders>
              <w:top w:val="single" w:color="000000" w:sz="2" w:space="0"/>
              <w:bottom w:val="single" w:color="000000" w:sz="2" w:space="0"/>
            </w:tcBorders>
            <w:shd w:val="clear" w:color="auto" w:fill="D9D9D9"/>
            <w:vAlign w:val="top"/>
          </w:tcPr>
          <w:p>
            <w:pPr>
              <w:pStyle w:val="8"/>
              <w:spacing w:before="45" w:line="208" w:lineRule="auto"/>
              <w:ind w:left="23"/>
            </w:pPr>
            <w:r>
              <w:rPr>
                <w:spacing w:val="-1"/>
              </w:rPr>
              <w:t>接负责的主管人员和其他直接责任人员给予警告， 并处</w:t>
            </w:r>
            <w:r>
              <w:rPr>
                <w:spacing w:val="-2"/>
              </w:rPr>
              <w:t>以三万元以</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673" w:type="dxa"/>
            <w:gridSpan w:val="2"/>
            <w:tcBorders>
              <w:top w:val="single" w:color="000000" w:sz="2" w:space="0"/>
              <w:bottom w:val="single" w:color="000000" w:sz="2" w:space="0"/>
              <w:right w:val="single" w:color="000000" w:sz="2" w:space="0"/>
            </w:tcBorders>
            <w:shd w:val="clear" w:color="auto" w:fill="D9D9D9"/>
            <w:vAlign w:val="top"/>
          </w:tcPr>
          <w:p>
            <w:pPr>
              <w:pStyle w:val="8"/>
              <w:spacing w:before="45" w:line="200" w:lineRule="auto"/>
              <w:ind w:left="28"/>
            </w:pPr>
            <w:r>
              <w:rPr>
                <w:spacing w:val="-6"/>
              </w:rPr>
              <w:t>上三十万元以下的罚款。</w:t>
            </w:r>
          </w:p>
        </w:tc>
        <w:tc>
          <w:tcPr>
            <w:tcW w:w="4423" w:type="dxa"/>
            <w:vMerge w:val="restart"/>
            <w:tcBorders>
              <w:top w:val="single" w:color="000000" w:sz="2" w:space="0"/>
              <w:left w:val="nil"/>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2673" w:type="dxa"/>
            <w:gridSpan w:val="2"/>
            <w:tcBorders>
              <w:top w:val="single" w:color="000000" w:sz="2" w:space="0"/>
              <w:right w:val="nil"/>
            </w:tcBorders>
            <w:vAlign w:val="top"/>
          </w:tcPr>
          <w:p>
            <w:pPr>
              <w:rPr>
                <w:rFonts w:ascii="Arial"/>
                <w:sz w:val="21"/>
              </w:rPr>
            </w:pPr>
          </w:p>
        </w:tc>
        <w:tc>
          <w:tcPr>
            <w:tcW w:w="4423" w:type="dxa"/>
            <w:vMerge w:val="continue"/>
            <w:tcBorders>
              <w:top w:val="nil"/>
              <w:left w:val="nil"/>
            </w:tcBorders>
            <w:vAlign w:val="top"/>
          </w:tcPr>
          <w:p>
            <w:pPr>
              <w:rPr>
                <w:rFonts w:ascii="Arial"/>
                <w:sz w:val="21"/>
              </w:rPr>
            </w:pP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2" w:hRule="atLeast"/>
        </w:trPr>
        <w:tc>
          <w:tcPr>
            <w:tcW w:w="7096" w:type="dxa"/>
            <w:gridSpan w:val="3"/>
            <w:vAlign w:val="top"/>
          </w:tcPr>
          <w:p>
            <w:pPr>
              <w:pStyle w:val="8"/>
              <w:spacing w:before="33" w:line="236" w:lineRule="auto"/>
              <w:ind w:left="15" w:firstLine="497"/>
              <w:jc w:val="both"/>
            </w:pPr>
            <w:r>
              <w:drawing>
                <wp:anchor distT="0" distB="0" distL="0" distR="0" simplePos="0" relativeHeight="251749376" behindDoc="1" locked="0" layoutInCell="1" allowOverlap="1">
                  <wp:simplePos x="0" y="0"/>
                  <wp:positionH relativeFrom="rightMargin">
                    <wp:posOffset>-1238885</wp:posOffset>
                  </wp:positionH>
                  <wp:positionV relativeFrom="topMargin">
                    <wp:posOffset>396240</wp:posOffset>
                  </wp:positionV>
                  <wp:extent cx="309245" cy="6350"/>
                  <wp:effectExtent l="0" t="0" r="0" b="0"/>
                  <wp:wrapNone/>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27"/>
                          <a:stretch>
                            <a:fillRect/>
                          </a:stretch>
                        </pic:blipFill>
                        <pic:spPr>
                          <a:xfrm>
                            <a:off x="0" y="0"/>
                            <a:ext cx="309371" cy="6350"/>
                          </a:xfrm>
                          <a:prstGeom prst="rect">
                            <a:avLst/>
                          </a:prstGeom>
                        </pic:spPr>
                      </pic:pic>
                    </a:graphicData>
                  </a:graphic>
                </wp:anchor>
              </w:drawing>
            </w:r>
            <w:r>
              <w:rPr>
                <w:rFonts w:ascii="黑体" w:hAnsi="黑体" w:eastAsia="黑体" w:cs="黑体"/>
                <w:spacing w:val="3"/>
              </w:rPr>
              <w:t xml:space="preserve">第一百九十九条  </w:t>
            </w:r>
            <w:r>
              <w:rPr>
                <w:spacing w:val="3"/>
              </w:rPr>
              <w:t>法律、行政法规规定禁止参与股票交易的人</w:t>
            </w:r>
            <w:r>
              <w:t xml:space="preserve"> </w:t>
            </w:r>
            <w:r>
              <w:rPr>
                <w:spacing w:val="3"/>
              </w:rPr>
              <w:t>员，直接或者以化名、借他人名义持有、买卖股票的，责令依法处</w:t>
            </w:r>
            <w:r>
              <w:rPr>
                <w:spacing w:val="17"/>
              </w:rPr>
              <w:t xml:space="preserve"> </w:t>
            </w:r>
            <w:r>
              <w:rPr>
                <w:spacing w:val="-3"/>
              </w:rPr>
              <w:t>理非法持有的股票， 没收违法所得，并处以买卖</w:t>
            </w:r>
            <w:r>
              <w:rPr>
                <w:spacing w:val="-110"/>
              </w:rPr>
              <w:t xml:space="preserve"> </w:t>
            </w:r>
            <w:r>
              <w:rPr>
                <w:position w:val="24"/>
              </w:rPr>
              <w:drawing>
                <wp:inline distT="0" distB="0" distL="0" distR="0">
                  <wp:extent cx="1905" cy="5715"/>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72"/>
                          <a:stretch>
                            <a:fillRect/>
                          </a:stretch>
                        </pic:blipFill>
                        <pic:spPr>
                          <a:xfrm>
                            <a:off x="0" y="0"/>
                            <a:ext cx="2030" cy="6096"/>
                          </a:xfrm>
                          <a:prstGeom prst="rect">
                            <a:avLst/>
                          </a:prstGeom>
                        </pic:spPr>
                      </pic:pic>
                    </a:graphicData>
                  </a:graphic>
                </wp:inline>
              </w:drawing>
            </w:r>
            <w:r>
              <w:rPr>
                <w:position w:val="-7"/>
              </w:rPr>
              <w:drawing>
                <wp:inline distT="0" distB="0" distL="0" distR="0">
                  <wp:extent cx="1905" cy="203835"/>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10"/>
                          <a:stretch>
                            <a:fillRect/>
                          </a:stretch>
                        </pic:blipFill>
                        <pic:spPr>
                          <a:xfrm>
                            <a:off x="0" y="0"/>
                            <a:ext cx="2030" cy="204215"/>
                          </a:xfrm>
                          <a:prstGeom prst="rect">
                            <a:avLst/>
                          </a:prstGeom>
                        </pic:spPr>
                      </pic:pic>
                    </a:graphicData>
                  </a:graphic>
                </wp:inline>
              </w:drawing>
            </w:r>
            <w:r>
              <w:rPr>
                <w:position w:val="-7"/>
              </w:rPr>
              <w:drawing>
                <wp:inline distT="0" distB="0" distL="0" distR="0">
                  <wp:extent cx="1905" cy="5715"/>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99"/>
                          <a:stretch>
                            <a:fillRect/>
                          </a:stretch>
                        </pic:blipFill>
                        <pic:spPr>
                          <a:xfrm>
                            <a:off x="0" y="0"/>
                            <a:ext cx="2030" cy="6096"/>
                          </a:xfrm>
                          <a:prstGeom prst="rect">
                            <a:avLst/>
                          </a:prstGeom>
                        </pic:spPr>
                      </pic:pic>
                    </a:graphicData>
                  </a:graphic>
                </wp:inline>
              </w:drawing>
            </w:r>
            <w:r>
              <w:rPr>
                <w:spacing w:val="-110"/>
                <w:u w:val="single" w:color="auto"/>
                <w:shd w:val="clear" w:fill="D9D9D9"/>
              </w:rPr>
              <w:t xml:space="preserve"> </w:t>
            </w:r>
            <w:r>
              <w:rPr>
                <w:spacing w:val="-3"/>
                <w:u w:val="single" w:color="auto"/>
                <w:shd w:val="clear" w:fill="D9D9D9"/>
              </w:rPr>
              <w:t>股票</w:t>
            </w:r>
            <w:r>
              <w:rPr>
                <w:spacing w:val="-112"/>
                <w:u w:val="single" w:color="auto"/>
                <w:shd w:val="clear" w:fill="D9D9D9"/>
              </w:rPr>
              <w:t xml:space="preserve"> </w:t>
            </w:r>
            <w:r>
              <w:rPr>
                <w:position w:val="24"/>
              </w:rPr>
              <w:drawing>
                <wp:inline distT="0" distB="0" distL="0" distR="0">
                  <wp:extent cx="1905" cy="5715"/>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75"/>
                          <a:stretch>
                            <a:fillRect/>
                          </a:stretch>
                        </pic:blipFill>
                        <pic:spPr>
                          <a:xfrm>
                            <a:off x="0" y="0"/>
                            <a:ext cx="2030" cy="6096"/>
                          </a:xfrm>
                          <a:prstGeom prst="rect">
                            <a:avLst/>
                          </a:prstGeom>
                        </pic:spPr>
                      </pic:pic>
                    </a:graphicData>
                  </a:graphic>
                </wp:inline>
              </w:drawing>
            </w:r>
            <w:r>
              <w:rPr>
                <w:position w:val="-7"/>
              </w:rPr>
              <w:drawing>
                <wp:inline distT="0" distB="0" distL="0" distR="0">
                  <wp:extent cx="1905" cy="203835"/>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17"/>
                          <a:stretch>
                            <a:fillRect/>
                          </a:stretch>
                        </pic:blipFill>
                        <pic:spPr>
                          <a:xfrm>
                            <a:off x="0" y="0"/>
                            <a:ext cx="2030" cy="204215"/>
                          </a:xfrm>
                          <a:prstGeom prst="rect">
                            <a:avLst/>
                          </a:prstGeom>
                        </pic:spPr>
                      </pic:pic>
                    </a:graphicData>
                  </a:graphic>
                </wp:inline>
              </w:drawing>
            </w:r>
            <w:r>
              <w:rPr>
                <w:position w:val="-7"/>
              </w:rPr>
              <w:drawing>
                <wp:inline distT="0" distB="0" distL="0" distR="0">
                  <wp:extent cx="1905" cy="5715"/>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04"/>
                          <a:stretch>
                            <a:fillRect/>
                          </a:stretch>
                        </pic:blipFill>
                        <pic:spPr>
                          <a:xfrm>
                            <a:off x="0" y="0"/>
                            <a:ext cx="2030" cy="6096"/>
                          </a:xfrm>
                          <a:prstGeom prst="rect">
                            <a:avLst/>
                          </a:prstGeom>
                        </pic:spPr>
                      </pic:pic>
                    </a:graphicData>
                  </a:graphic>
                </wp:inline>
              </w:drawing>
            </w:r>
            <w:r>
              <w:rPr>
                <w:spacing w:val="-100"/>
              </w:rPr>
              <w:t xml:space="preserve"> </w:t>
            </w:r>
            <w:r>
              <w:rPr>
                <w:spacing w:val="-3"/>
              </w:rPr>
              <w:t>等值以下的罚</w:t>
            </w:r>
            <w:r>
              <w:t xml:space="preserve"> </w:t>
            </w:r>
            <w:r>
              <w:rPr>
                <w:spacing w:val="-3"/>
              </w:rPr>
              <w:t>款；属于国家工作人员的，还应当依法给予行政处分。</w:t>
            </w:r>
          </w:p>
        </w:tc>
        <w:tc>
          <w:tcPr>
            <w:tcW w:w="6811" w:type="dxa"/>
            <w:vAlign w:val="top"/>
          </w:tcPr>
          <w:p>
            <w:pPr>
              <w:pStyle w:val="8"/>
              <w:spacing w:before="36" w:line="236" w:lineRule="auto"/>
              <w:ind w:left="17" w:right="4" w:firstLine="497"/>
              <w:jc w:val="both"/>
            </w:pPr>
            <w:r>
              <w:rPr>
                <w:rFonts w:ascii="黑体" w:hAnsi="黑体" w:eastAsia="黑体" w:cs="黑体"/>
                <w:spacing w:val="1"/>
              </w:rPr>
              <w:t xml:space="preserve">第一百八十七条  </w:t>
            </w:r>
            <w:r>
              <w:rPr>
                <w:spacing w:val="1"/>
              </w:rPr>
              <w:t>法律、行政法规规定禁止参与股票交易的</w:t>
            </w:r>
            <w:r>
              <w:rPr>
                <w:spacing w:val="8"/>
              </w:rPr>
              <w:t xml:space="preserve"> </w:t>
            </w:r>
            <w:r>
              <w:rPr>
                <w:spacing w:val="2"/>
              </w:rPr>
              <w:t>人员，</w:t>
            </w:r>
            <w:r>
              <w:rPr>
                <w:rFonts w:ascii="黑体" w:hAnsi="黑体" w:eastAsia="黑体" w:cs="黑体"/>
                <w:spacing w:val="2"/>
              </w:rPr>
              <w:t>违反本法第四十条的规定</w:t>
            </w:r>
            <w:r>
              <w:rPr>
                <w:spacing w:val="2"/>
              </w:rPr>
              <w:t>，直接或者以化名</w:t>
            </w:r>
            <w:r>
              <w:rPr>
                <w:spacing w:val="1"/>
              </w:rPr>
              <w:t>、借他人名义</w:t>
            </w:r>
            <w:r>
              <w:t xml:space="preserve"> </w:t>
            </w:r>
            <w:r>
              <w:rPr>
                <w:spacing w:val="-3"/>
              </w:rPr>
              <w:t>持有、买卖股票</w:t>
            </w:r>
            <w:r>
              <w:rPr>
                <w:rFonts w:ascii="黑体" w:hAnsi="黑体" w:eastAsia="黑体" w:cs="黑体"/>
                <w:spacing w:val="-3"/>
              </w:rPr>
              <w:t xml:space="preserve">或者其他股权性质的证券的， </w:t>
            </w:r>
            <w:r>
              <w:rPr>
                <w:spacing w:val="-3"/>
              </w:rPr>
              <w:t>责令依法处理非法</w:t>
            </w:r>
            <w:r>
              <w:rPr>
                <w:spacing w:val="17"/>
              </w:rPr>
              <w:t xml:space="preserve"> </w:t>
            </w:r>
            <w:r>
              <w:rPr>
                <w:spacing w:val="-6"/>
              </w:rPr>
              <w:t xml:space="preserve">持有的股票、 </w:t>
            </w:r>
            <w:r>
              <w:rPr>
                <w:rFonts w:ascii="黑体" w:hAnsi="黑体" w:eastAsia="黑体" w:cs="黑体"/>
                <w:spacing w:val="-6"/>
              </w:rPr>
              <w:t>其他具有股权性质的证券</w:t>
            </w:r>
            <w:r>
              <w:rPr>
                <w:spacing w:val="-6"/>
              </w:rPr>
              <w:t>，没收违</w:t>
            </w:r>
            <w:r>
              <w:rPr>
                <w:spacing w:val="-7"/>
              </w:rPr>
              <w:t>法所得， 并处以</w:t>
            </w:r>
            <w:r>
              <w:t xml:space="preserve"> </w:t>
            </w:r>
            <w:r>
              <w:rPr>
                <w:spacing w:val="-6"/>
              </w:rPr>
              <w:t>买卖</w:t>
            </w:r>
            <w:r>
              <w:rPr>
                <w:rFonts w:ascii="黑体" w:hAnsi="黑体" w:eastAsia="黑体" w:cs="黑体"/>
                <w:spacing w:val="-6"/>
              </w:rPr>
              <w:t>证券</w:t>
            </w:r>
            <w:r>
              <w:rPr>
                <w:spacing w:val="-6"/>
              </w:rPr>
              <w:t>等值以下的罚款； 属于国家工作人</w:t>
            </w:r>
            <w:r>
              <w:rPr>
                <w:spacing w:val="-7"/>
              </w:rPr>
              <w:t>员的， 还应当依法给</w:t>
            </w:r>
            <w:r>
              <w:t xml:space="preserve"> </w:t>
            </w:r>
            <w:r>
              <w:rPr>
                <w:spacing w:val="-12"/>
              </w:rPr>
              <w:t>予处分。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22" w:type="dxa"/>
            <w:tcBorders>
              <w:bottom w:val="single" w:color="000000" w:sz="2" w:space="0"/>
              <w:right w:val="single" w:color="000000" w:sz="2" w:space="0"/>
            </w:tcBorders>
            <w:vAlign w:val="top"/>
          </w:tcPr>
          <w:p>
            <w:pPr>
              <w:spacing w:before="46" w:line="192" w:lineRule="auto"/>
              <w:ind w:left="513"/>
              <w:rPr>
                <w:rFonts w:ascii="黑体" w:hAnsi="黑体" w:eastAsia="黑体" w:cs="黑体"/>
                <w:sz w:val="24"/>
                <w:szCs w:val="24"/>
              </w:rPr>
            </w:pPr>
            <w:r>
              <w:rPr>
                <w:rFonts w:ascii="黑体" w:hAnsi="黑体" w:eastAsia="黑体" w:cs="黑体"/>
                <w:sz w:val="24"/>
                <w:szCs w:val="24"/>
              </w:rPr>
              <w:t>第二百零一条</w:t>
            </w:r>
          </w:p>
        </w:tc>
        <w:tc>
          <w:tcPr>
            <w:tcW w:w="4874" w:type="dxa"/>
            <w:gridSpan w:val="2"/>
            <w:tcBorders>
              <w:left w:val="single" w:color="000000" w:sz="2" w:space="0"/>
              <w:bottom w:val="single" w:color="000000" w:sz="2" w:space="0"/>
            </w:tcBorders>
            <w:shd w:val="clear" w:color="auto" w:fill="D9D9D9"/>
            <w:vAlign w:val="top"/>
          </w:tcPr>
          <w:p>
            <w:pPr>
              <w:pStyle w:val="8"/>
              <w:spacing w:before="47" w:line="191" w:lineRule="auto"/>
              <w:ind w:left="12"/>
            </w:pPr>
            <w:r>
              <w:rPr>
                <w:spacing w:val="1"/>
              </w:rPr>
              <w:t>为股票的发行、上市、交易出具审计报告、资</w:t>
            </w:r>
          </w:p>
        </w:tc>
        <w:tc>
          <w:tcPr>
            <w:tcW w:w="6811" w:type="dxa"/>
            <w:vMerge w:val="restart"/>
            <w:tcBorders>
              <w:bottom w:val="nil"/>
            </w:tcBorders>
            <w:vAlign w:val="top"/>
          </w:tcPr>
          <w:p>
            <w:pPr>
              <w:pStyle w:val="8"/>
              <w:spacing w:before="36" w:line="232" w:lineRule="auto"/>
              <w:ind w:left="29" w:right="6" w:firstLine="485"/>
              <w:jc w:val="both"/>
            </w:pPr>
            <w:r>
              <w:rPr>
                <w:rFonts w:ascii="黑体" w:hAnsi="黑体" w:eastAsia="黑体" w:cs="黑体"/>
                <w:spacing w:val="1"/>
              </w:rPr>
              <w:t xml:space="preserve">第一百八十八条  </w:t>
            </w:r>
            <w:r>
              <w:rPr>
                <w:spacing w:val="1"/>
              </w:rPr>
              <w:t>证券服务机构</w:t>
            </w:r>
            <w:r>
              <w:rPr>
                <w:rFonts w:ascii="黑体" w:hAnsi="黑体" w:eastAsia="黑体" w:cs="黑体"/>
                <w:spacing w:val="1"/>
              </w:rPr>
              <w:t>及其从业</w:t>
            </w:r>
            <w:r>
              <w:rPr>
                <w:spacing w:val="1"/>
              </w:rPr>
              <w:t>人员，违反本法第</w:t>
            </w:r>
            <w:r>
              <w:rPr>
                <w:spacing w:val="6"/>
              </w:rPr>
              <w:t xml:space="preserve"> </w:t>
            </w:r>
            <w:r>
              <w:rPr>
                <w:rFonts w:ascii="黑体" w:hAnsi="黑体" w:eastAsia="黑体" w:cs="黑体"/>
                <w:spacing w:val="-3"/>
              </w:rPr>
              <w:t>四十二</w:t>
            </w:r>
            <w:r>
              <w:rPr>
                <w:spacing w:val="-3"/>
              </w:rPr>
              <w:t>条的规定买卖</w:t>
            </w:r>
            <w:r>
              <w:rPr>
                <w:rFonts w:ascii="黑体" w:hAnsi="黑体" w:eastAsia="黑体" w:cs="黑体"/>
                <w:spacing w:val="-3"/>
              </w:rPr>
              <w:t>证券</w:t>
            </w:r>
            <w:r>
              <w:rPr>
                <w:spacing w:val="-3"/>
              </w:rPr>
              <w:t>的， 责令依法处</w:t>
            </w:r>
            <w:r>
              <w:rPr>
                <w:spacing w:val="-4"/>
              </w:rPr>
              <w:t>理非法持有的</w:t>
            </w:r>
            <w:r>
              <w:rPr>
                <w:rFonts w:ascii="黑体" w:hAnsi="黑体" w:eastAsia="黑体" w:cs="黑体"/>
                <w:spacing w:val="-4"/>
              </w:rPr>
              <w:t>证券</w:t>
            </w:r>
            <w:r>
              <w:rPr>
                <w:spacing w:val="-4"/>
              </w:rPr>
              <w:t>，没</w:t>
            </w:r>
            <w:r>
              <w:t xml:space="preserve"> </w:t>
            </w:r>
            <w:r>
              <w:rPr>
                <w:spacing w:val="-2"/>
              </w:rPr>
              <w:t>收违法所得，并处以买卖</w:t>
            </w:r>
            <w:r>
              <w:rPr>
                <w:rFonts w:ascii="黑体" w:hAnsi="黑体" w:eastAsia="黑体" w:cs="黑体"/>
                <w:spacing w:val="-2"/>
              </w:rPr>
              <w:t>证券</w:t>
            </w:r>
            <w:r>
              <w:rPr>
                <w:spacing w:val="-2"/>
              </w:rPr>
              <w:t>等值以下的罚款。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8" w:hRule="atLeast"/>
        </w:trPr>
        <w:tc>
          <w:tcPr>
            <w:tcW w:w="7096" w:type="dxa"/>
            <w:gridSpan w:val="3"/>
            <w:tcBorders>
              <w:top w:val="single" w:color="000000" w:sz="2" w:space="0"/>
            </w:tcBorders>
            <w:vAlign w:val="top"/>
          </w:tcPr>
          <w:p>
            <w:pPr>
              <w:pStyle w:val="8"/>
              <w:spacing w:before="30"/>
              <w:ind w:right="3"/>
              <w:jc w:val="right"/>
            </w:pPr>
            <w:r>
              <w:pict>
                <v:shape id="_x0000_s1124" o:spid="_x0000_s1124" style="position:absolute;left:0pt;margin-left:317.95pt;margin-top:17.9pt;height:0.5pt;width:24.25pt;mso-position-horizontal-relative:page;mso-position-vertical-relative:page;z-index:-251566080;mso-width-relative:page;mso-height-relative:page;" fillcolor="#000000" filled="t" stroked="f" coordsize="485,10" path="m0,0l484,0,484,9,0,9,0,0xe">
                  <v:path/>
                  <v:fill on="t" focussize="0,0"/>
                  <v:stroke on="f"/>
                  <v:imagedata o:title=""/>
                  <o:lock v:ext="edit"/>
                </v:shape>
              </w:pict>
            </w:r>
            <w:r>
              <w:pict>
                <v:shape id="_x0000_s1125" o:spid="_x0000_s1125" style="position:absolute;left:0pt;margin-left:1.1pt;margin-top:17.4pt;height:1pt;width:280.75pt;mso-position-horizontal-relative:page;mso-position-vertical-relative:page;z-index:-251568128;mso-width-relative:page;mso-height-relative:page;" fillcolor="#000000" filled="t" stroked="f" coordsize="5615,20" path="m0,0l3884,0,3884,9,0,9,0,0xem3884,0l3893,0,3893,9,3884,9,3884,0xem3884,0l3893,0,3893,9,3884,9,3884,0xem5352,0l5362,0,5362,9,5352,9,5352,0xem5352,0l5362,0,5362,9,5352,9,5352,0xem5362,0l5605,0,5605,9,5362,9,5362,0xem5605,0l5614,0,5614,9,5605,9,5605,0xem5605,0l5614,0,5614,9,5605,9,5605,0xem960,9l970,9,970,19,960,19,960,9xem960,9l970,9,970,19,960,19,960,9xem970,9l1212,9,1212,19,970,19,970,9xem1212,9l1221,9,1221,19,1212,19,1212,9xem1212,9l1221,9,1221,19,1212,19,1212,9xem2674,9l2683,9,2683,19,2674,19,2674,9xem2674,9l2683,9,2683,19,2674,19,2674,9xem2683,9l3168,9,3168,19,2683,19,2683,9xem3168,9l3177,9,3177,19,3168,19,3168,9xem3168,9l3177,9,3177,19,3168,19,3168,9xe">
                  <v:path/>
                  <v:fill on="t" focussize="0,0"/>
                  <v:stroke on="f"/>
                  <v:imagedata o:title=""/>
                  <o:lock v:ext="edit"/>
                </v:shape>
              </w:pict>
            </w:r>
            <w:r>
              <w:rPr>
                <w:spacing w:val="2"/>
                <w:shd w:val="clear" w:fill="D9D9D9"/>
              </w:rPr>
              <w:t>产评估报告或者法律意见书等文件的</w:t>
            </w:r>
            <w:r>
              <w:rPr>
                <w:position w:val="-6"/>
              </w:rPr>
              <w:drawing>
                <wp:inline distT="0" distB="0" distL="0" distR="0">
                  <wp:extent cx="8255" cy="1981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05"/>
                          <a:stretch>
                            <a:fillRect/>
                          </a:stretch>
                        </pic:blipFill>
                        <pic:spPr>
                          <a:xfrm>
                            <a:off x="0" y="0"/>
                            <a:ext cx="8305" cy="198373"/>
                          </a:xfrm>
                          <a:prstGeom prst="rect">
                            <a:avLst/>
                          </a:prstGeom>
                        </pic:spPr>
                      </pic:pic>
                    </a:graphicData>
                  </a:graphic>
                </wp:inline>
              </w:drawing>
            </w:r>
            <w:r>
              <w:rPr>
                <w:spacing w:val="2"/>
              </w:rPr>
              <w:t>证券服务机构</w:t>
            </w:r>
            <w:r>
              <w:rPr>
                <w:position w:val="-6"/>
              </w:rPr>
              <w:drawing>
                <wp:inline distT="0" distB="0" distL="0" distR="0">
                  <wp:extent cx="8255" cy="1981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05"/>
                          <a:stretch>
                            <a:fillRect/>
                          </a:stretch>
                        </pic:blipFill>
                        <pic:spPr>
                          <a:xfrm>
                            <a:off x="0" y="0"/>
                            <a:ext cx="8305" cy="198373"/>
                          </a:xfrm>
                          <a:prstGeom prst="rect">
                            <a:avLst/>
                          </a:prstGeom>
                        </pic:spPr>
                      </pic:pic>
                    </a:graphicData>
                  </a:graphic>
                </wp:inline>
              </w:drawing>
            </w:r>
            <w:r>
              <w:rPr>
                <w:spacing w:val="2"/>
                <w:shd w:val="clear" w:fill="D9D9D9"/>
              </w:rPr>
              <w:t>和</w:t>
            </w:r>
            <w:r>
              <w:rPr>
                <w:position w:val="-6"/>
              </w:rPr>
              <w:drawing>
                <wp:inline distT="0" distB="0" distL="0" distR="0">
                  <wp:extent cx="8255" cy="1981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76"/>
                          <a:stretch>
                            <a:fillRect/>
                          </a:stretch>
                        </pic:blipFill>
                        <pic:spPr>
                          <a:xfrm>
                            <a:off x="0" y="0"/>
                            <a:ext cx="8305" cy="198373"/>
                          </a:xfrm>
                          <a:prstGeom prst="rect">
                            <a:avLst/>
                          </a:prstGeom>
                        </pic:spPr>
                      </pic:pic>
                    </a:graphicData>
                  </a:graphic>
                </wp:inline>
              </w:drawing>
            </w:r>
            <w:r>
              <w:rPr>
                <w:spacing w:val="2"/>
              </w:rPr>
              <w:t>人员</w:t>
            </w:r>
            <w:r>
              <w:rPr>
                <w:spacing w:val="1"/>
              </w:rPr>
              <w:t>，违反本</w:t>
            </w:r>
          </w:p>
          <w:p>
            <w:pPr>
              <w:pStyle w:val="8"/>
              <w:jc w:val="right"/>
            </w:pPr>
            <w:r>
              <w:rPr>
                <w:spacing w:val="-2"/>
              </w:rPr>
              <w:t>法第四十</w:t>
            </w:r>
            <w:r>
              <w:rPr>
                <w:spacing w:val="-103"/>
              </w:rPr>
              <w:t xml:space="preserve"> </w:t>
            </w:r>
            <w:r>
              <w:rPr>
                <w:position w:val="-7"/>
              </w:rPr>
              <w:drawing>
                <wp:inline distT="0" distB="0" distL="0" distR="0">
                  <wp:extent cx="5715" cy="5715"/>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72"/>
                          <a:stretch>
                            <a:fillRect/>
                          </a:stretch>
                        </pic:blipFill>
                        <pic:spPr>
                          <a:xfrm>
                            <a:off x="0" y="0"/>
                            <a:ext cx="5734" cy="6096"/>
                          </a:xfrm>
                          <a:prstGeom prst="rect">
                            <a:avLst/>
                          </a:prstGeom>
                        </pic:spPr>
                      </pic:pic>
                    </a:graphicData>
                  </a:graphic>
                </wp:inline>
              </w:drawing>
            </w:r>
            <w:r>
              <w:rPr>
                <w:position w:val="-6"/>
              </w:rPr>
              <w:drawing>
                <wp:inline distT="0" distB="0" distL="0" distR="0">
                  <wp:extent cx="5715" cy="1981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05"/>
                          <a:stretch>
                            <a:fillRect/>
                          </a:stretch>
                        </pic:blipFill>
                        <pic:spPr>
                          <a:xfrm>
                            <a:off x="0" y="0"/>
                            <a:ext cx="5734" cy="198120"/>
                          </a:xfrm>
                          <a:prstGeom prst="rect">
                            <a:avLst/>
                          </a:prstGeom>
                        </pic:spPr>
                      </pic:pic>
                    </a:graphicData>
                  </a:graphic>
                </wp:inline>
              </w:drawing>
            </w:r>
            <w:r>
              <w:rPr>
                <w:spacing w:val="-2"/>
                <w:u w:val="single" w:color="auto"/>
                <w:shd w:val="clear" w:fill="D9D9D9"/>
              </w:rPr>
              <w:t>五</w:t>
            </w:r>
            <w:r>
              <w:rPr>
                <w:position w:val="-7"/>
              </w:rPr>
              <w:drawing>
                <wp:inline distT="0" distB="0" distL="0" distR="0">
                  <wp:extent cx="5715" cy="203835"/>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83"/>
                          <a:stretch>
                            <a:fillRect/>
                          </a:stretch>
                        </pic:blipFill>
                        <pic:spPr>
                          <a:xfrm>
                            <a:off x="0" y="0"/>
                            <a:ext cx="5734" cy="204216"/>
                          </a:xfrm>
                          <a:prstGeom prst="rect">
                            <a:avLst/>
                          </a:prstGeom>
                        </pic:spPr>
                      </pic:pic>
                    </a:graphicData>
                  </a:graphic>
                </wp:inline>
              </w:drawing>
            </w:r>
            <w:r>
              <w:rPr>
                <w:spacing w:val="-2"/>
              </w:rPr>
              <w:t>条的规定买卖</w:t>
            </w:r>
            <w:r>
              <w:rPr>
                <w:position w:val="-7"/>
              </w:rPr>
              <w:drawing>
                <wp:inline distT="0" distB="0" distL="0" distR="0">
                  <wp:extent cx="5715" cy="203835"/>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70"/>
                          <a:stretch>
                            <a:fillRect/>
                          </a:stretch>
                        </pic:blipFill>
                        <pic:spPr>
                          <a:xfrm>
                            <a:off x="0" y="0"/>
                            <a:ext cx="5734" cy="204216"/>
                          </a:xfrm>
                          <a:prstGeom prst="rect">
                            <a:avLst/>
                          </a:prstGeom>
                        </pic:spPr>
                      </pic:pic>
                    </a:graphicData>
                  </a:graphic>
                </wp:inline>
              </w:drawing>
            </w:r>
            <w:r>
              <w:rPr>
                <w:spacing w:val="-2"/>
                <w:u w:val="single" w:color="auto"/>
                <w:shd w:val="clear" w:fill="D9D9D9"/>
              </w:rPr>
              <w:t>股票</w:t>
            </w:r>
            <w:r>
              <w:rPr>
                <w:position w:val="-7"/>
              </w:rPr>
              <w:drawing>
                <wp:inline distT="0" distB="0" distL="0" distR="0">
                  <wp:extent cx="5715" cy="203835"/>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70"/>
                          <a:stretch>
                            <a:fillRect/>
                          </a:stretch>
                        </pic:blipFill>
                        <pic:spPr>
                          <a:xfrm>
                            <a:off x="0" y="0"/>
                            <a:ext cx="5734" cy="204216"/>
                          </a:xfrm>
                          <a:prstGeom prst="rect">
                            <a:avLst/>
                          </a:prstGeom>
                        </pic:spPr>
                      </pic:pic>
                    </a:graphicData>
                  </a:graphic>
                </wp:inline>
              </w:drawing>
            </w:r>
            <w:r>
              <w:rPr>
                <w:spacing w:val="-2"/>
                <w:u w:val="single" w:color="auto"/>
              </w:rPr>
              <w:t>的</w:t>
            </w:r>
            <w:r>
              <w:rPr>
                <w:spacing w:val="-2"/>
              </w:rPr>
              <w:t>，责令依法处理非法持有的</w:t>
            </w:r>
            <w:r>
              <w:rPr>
                <w:spacing w:val="-114"/>
              </w:rPr>
              <w:t xml:space="preserve"> </w:t>
            </w:r>
            <w:r>
              <w:rPr>
                <w:position w:val="-7"/>
              </w:rPr>
              <w:drawing>
                <wp:inline distT="0" distB="0" distL="0" distR="0">
                  <wp:extent cx="5715" cy="203835"/>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83"/>
                          <a:stretch>
                            <a:fillRect/>
                          </a:stretch>
                        </pic:blipFill>
                        <pic:spPr>
                          <a:xfrm>
                            <a:off x="0" y="0"/>
                            <a:ext cx="5734" cy="204216"/>
                          </a:xfrm>
                          <a:prstGeom prst="rect">
                            <a:avLst/>
                          </a:prstGeom>
                        </pic:spPr>
                      </pic:pic>
                    </a:graphicData>
                  </a:graphic>
                </wp:inline>
              </w:drawing>
            </w:r>
            <w:r>
              <w:rPr>
                <w:position w:val="24"/>
              </w:rPr>
              <w:drawing>
                <wp:inline distT="0" distB="0" distL="0" distR="0">
                  <wp:extent cx="5715" cy="5715"/>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78"/>
                          <a:stretch>
                            <a:fillRect/>
                          </a:stretch>
                        </pic:blipFill>
                        <pic:spPr>
                          <a:xfrm>
                            <a:off x="0" y="0"/>
                            <a:ext cx="5734" cy="6096"/>
                          </a:xfrm>
                          <a:prstGeom prst="rect">
                            <a:avLst/>
                          </a:prstGeom>
                        </pic:spPr>
                      </pic:pic>
                    </a:graphicData>
                  </a:graphic>
                </wp:inline>
              </w:drawing>
            </w:r>
            <w:r>
              <w:rPr>
                <w:spacing w:val="-110"/>
                <w:u w:val="single" w:color="auto"/>
                <w:shd w:val="clear" w:fill="D9D9D9"/>
              </w:rPr>
              <w:t xml:space="preserve"> </w:t>
            </w:r>
            <w:r>
              <w:rPr>
                <w:spacing w:val="-2"/>
                <w:u w:val="single" w:color="auto"/>
                <w:shd w:val="clear" w:fill="D9D9D9"/>
              </w:rPr>
              <w:t>股票</w:t>
            </w:r>
            <w:r>
              <w:rPr>
                <w:position w:val="-7"/>
              </w:rPr>
              <w:drawing>
                <wp:inline distT="0" distB="0" distL="0" distR="0">
                  <wp:extent cx="5715" cy="210185"/>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01"/>
                          <a:stretch>
                            <a:fillRect/>
                          </a:stretch>
                        </pic:blipFill>
                        <pic:spPr>
                          <a:xfrm>
                            <a:off x="0" y="0"/>
                            <a:ext cx="5734" cy="210312"/>
                          </a:xfrm>
                          <a:prstGeom prst="rect">
                            <a:avLst/>
                          </a:prstGeom>
                        </pic:spPr>
                      </pic:pic>
                    </a:graphicData>
                  </a:graphic>
                </wp:inline>
              </w:drawing>
            </w:r>
            <w:r>
              <w:rPr>
                <w:spacing w:val="-2"/>
              </w:rPr>
              <w:t>，</w:t>
            </w:r>
          </w:p>
          <w:p>
            <w:pPr>
              <w:pStyle w:val="8"/>
              <w:spacing w:before="9"/>
              <w:ind w:left="23"/>
            </w:pPr>
            <w:r>
              <w:pict>
                <v:shape id="_x0000_s1126" o:spid="_x0000_s1126" o:spt="202" type="#_x0000_t202" style="position:absolute;left:0pt;margin-left:169.2pt;margin-top:1.3pt;height:16.15pt;width:94.55pt;z-index:251757568;mso-width-relative:page;mso-height-relative:page;" filled="f" stroked="f" coordsize="21600,21600">
                  <v:path/>
                  <v:fill on="f" focussize="0,0"/>
                  <v:stroke on="f"/>
                  <v:imagedata o:title=""/>
                  <o:lock v:ext="edit" aspectratio="f"/>
                  <v:textbox inset="0mm,0mm,0mm,0mm">
                    <w:txbxContent>
                      <w:p>
                        <w:pPr>
                          <w:pStyle w:val="8"/>
                          <w:spacing w:before="20" w:line="217" w:lineRule="auto"/>
                          <w:ind w:left="20"/>
                        </w:pPr>
                        <w:r>
                          <w:rPr>
                            <w:spacing w:val="-8"/>
                          </w:rPr>
                          <w:t>等值以下的罚款。</w:t>
                        </w:r>
                      </w:p>
                    </w:txbxContent>
                  </v:textbox>
                </v:shape>
              </w:pict>
            </w:r>
            <w:r>
              <w:rPr>
                <w:spacing w:val="-2"/>
              </w:rPr>
              <w:t>没收违法所得，并处以买卖</w:t>
            </w:r>
            <w:r>
              <w:rPr>
                <w:position w:val="-7"/>
              </w:rPr>
              <w:drawing>
                <wp:inline distT="0" distB="0" distL="0" distR="0">
                  <wp:extent cx="5715" cy="203835"/>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76"/>
                          <a:stretch>
                            <a:fillRect/>
                          </a:stretch>
                        </pic:blipFill>
                        <pic:spPr>
                          <a:xfrm>
                            <a:off x="0" y="0"/>
                            <a:ext cx="6222" cy="204216"/>
                          </a:xfrm>
                          <a:prstGeom prst="rect">
                            <a:avLst/>
                          </a:prstGeom>
                        </pic:spPr>
                      </pic:pic>
                    </a:graphicData>
                  </a:graphic>
                </wp:inline>
              </w:drawing>
            </w:r>
            <w:r>
              <w:rPr>
                <w:spacing w:val="-2"/>
                <w:u w:val="single" w:color="auto"/>
                <w:shd w:val="clear" w:fill="D9D9D9"/>
              </w:rPr>
              <w:t>股票</w:t>
            </w:r>
            <w:r>
              <w:rPr>
                <w:position w:val="-7"/>
              </w:rPr>
              <w:drawing>
                <wp:inline distT="0" distB="0" distL="0" distR="0">
                  <wp:extent cx="5715" cy="203835"/>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83"/>
                          <a:stretch>
                            <a:fillRect/>
                          </a:stretch>
                        </pic:blipFill>
                        <pic:spPr>
                          <a:xfrm>
                            <a:off x="0" y="0"/>
                            <a:ext cx="6222" cy="204216"/>
                          </a:xfrm>
                          <a:prstGeom prst="rect">
                            <a:avLst/>
                          </a:prstGeom>
                        </pic:spPr>
                      </pic:pic>
                    </a:graphicData>
                  </a:graphic>
                </wp:inline>
              </w:drawing>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096" w:type="dxa"/>
            <w:gridSpan w:val="3"/>
            <w:vAlign w:val="top"/>
          </w:tcPr>
          <w:p>
            <w:pPr>
              <w:pStyle w:val="8"/>
              <w:spacing w:before="56" w:line="221" w:lineRule="auto"/>
              <w:ind w:right="9"/>
              <w:jc w:val="right"/>
            </w:pPr>
            <w:r>
              <w:pict>
                <v:shape id="_x0000_s1127" o:spid="_x0000_s1127" o:spt="202" type="#_x0000_t202" style="position:absolute;left:0pt;margin-left:169.95pt;margin-top:0pt;height:19.1pt;width:15.15pt;z-index:251754496;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shd w:val="clear" w:fill="D9D9D9"/>
                          </w:rPr>
                          <w:drawing>
                            <wp:inline distT="0" distB="0" distL="0" distR="0">
                              <wp:extent cx="6985" cy="203835"/>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70"/>
                                      <a:stretch>
                                        <a:fillRect/>
                                      </a:stretch>
                                    </pic:blipFill>
                                    <pic:spPr>
                                      <a:xfrm>
                                        <a:off x="0" y="0"/>
                                        <a:ext cx="7048" cy="204215"/>
                                      </a:xfrm>
                                      <a:prstGeom prst="rect">
                                        <a:avLst/>
                                      </a:prstGeom>
                                    </pic:spPr>
                                  </pic:pic>
                                </a:graphicData>
                              </a:graphic>
                            </wp:inline>
                          </w:drawing>
                        </w:r>
                        <w:r>
                          <w:rPr>
                            <w:u w:val="single" w:color="auto"/>
                            <w:shd w:val="clear" w:fill="D9D9D9"/>
                          </w:rPr>
                          <w:t>的</w:t>
                        </w:r>
                        <w:r>
                          <w:rPr>
                            <w:position w:val="-7"/>
                            <w:shd w:val="clear" w:fill="D9D9D9"/>
                          </w:rPr>
                          <w:drawing>
                            <wp:inline distT="0" distB="0" distL="0" distR="0">
                              <wp:extent cx="6985" cy="203835"/>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83"/>
                                      <a:stretch>
                                        <a:fillRect/>
                                      </a:stretch>
                                    </pic:blipFill>
                                    <pic:spPr>
                                      <a:xfrm>
                                        <a:off x="0" y="0"/>
                                        <a:ext cx="7048" cy="204215"/>
                                      </a:xfrm>
                                      <a:prstGeom prst="rect">
                                        <a:avLst/>
                                      </a:prstGeom>
                                    </pic:spPr>
                                  </pic:pic>
                                </a:graphicData>
                              </a:graphic>
                            </wp:inline>
                          </w:drawing>
                        </w:r>
                      </w:p>
                    </w:txbxContent>
                  </v:textbox>
                </v:shape>
              </w:pict>
            </w:r>
            <w:r>
              <w:rPr>
                <w:rFonts w:ascii="黑体" w:hAnsi="黑体" w:eastAsia="黑体" w:cs="黑体"/>
                <w:spacing w:val="1"/>
              </w:rPr>
              <w:t xml:space="preserve">第一百九十五条  </w:t>
            </w:r>
            <w:r>
              <w:rPr>
                <w:spacing w:val="1"/>
              </w:rPr>
              <w:t>上市公司</w:t>
            </w:r>
            <w:r>
              <w:rPr>
                <w:spacing w:val="24"/>
              </w:rPr>
              <w:t xml:space="preserve">  </w:t>
            </w:r>
            <w:r>
              <w:rPr>
                <w:spacing w:val="1"/>
              </w:rPr>
              <w:t>董事、监事、高级管理人员、持</w:t>
            </w:r>
          </w:p>
          <w:p>
            <w:pPr>
              <w:pStyle w:val="8"/>
              <w:spacing w:before="45" w:line="215" w:lineRule="auto"/>
              <w:jc w:val="right"/>
            </w:pPr>
            <w:r>
              <w:pict>
                <v:shape id="_x0000_s1128" o:spid="_x0000_s1128" o:spt="202" type="#_x0000_t202" style="position:absolute;left:0pt;margin-left:11.35pt;margin-top:-1.05pt;height:35.15pt;width:27.2pt;z-index:2517565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8"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
                          <w:gridCol w:w="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8" w:type="dxa"/>
                              <w:gridSpan w:val="2"/>
                              <w:shd w:val="clear" w:color="auto" w:fill="D9D9D9"/>
                              <w:vAlign w:val="top"/>
                            </w:tcPr>
                            <w:p>
                              <w:pPr>
                                <w:pStyle w:val="8"/>
                                <w:spacing w:before="41" w:line="207" w:lineRule="auto"/>
                                <w:jc w:val="right"/>
                              </w:pPr>
                              <w:r>
                                <w:rPr>
                                  <w:spacing w:val="-4"/>
                                </w:rPr>
                                <w:t>上市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44" w:type="dxa"/>
                              <w:tcBorders>
                                <w:left w:val="nil"/>
                                <w:bottom w:val="nil"/>
                              </w:tcBorders>
                              <w:vAlign w:val="top"/>
                            </w:tcPr>
                            <w:p>
                              <w:pPr>
                                <w:rPr>
                                  <w:rFonts w:ascii="Arial"/>
                                  <w:sz w:val="21"/>
                                </w:rPr>
                              </w:pPr>
                            </w:p>
                          </w:tc>
                          <w:tc>
                            <w:tcPr>
                              <w:tcW w:w="254" w:type="dxa"/>
                              <w:shd w:val="clear" w:color="auto" w:fill="D9D9D9"/>
                              <w:vAlign w:val="top"/>
                            </w:tcPr>
                            <w:p>
                              <w:pPr>
                                <w:pStyle w:val="8"/>
                                <w:spacing w:before="48" w:line="206" w:lineRule="auto"/>
                                <w:jc w:val="right"/>
                              </w:pPr>
                              <w:r>
                                <w:rPr>
                                  <w:spacing w:val="-10"/>
                                </w:rPr>
                                <w:t>本</w:t>
                              </w:r>
                            </w:p>
                          </w:tc>
                        </w:tr>
                      </w:tbl>
                      <w:p>
                        <w:pPr>
                          <w:rPr>
                            <w:rFonts w:ascii="Arial"/>
                            <w:sz w:val="21"/>
                          </w:rPr>
                        </w:pPr>
                      </w:p>
                    </w:txbxContent>
                  </v:textbox>
                </v:shape>
              </w:pict>
            </w:r>
            <w:r>
              <w:pict>
                <v:shape id="_x0000_s1129" o:spid="_x0000_s1129" o:spt="202" type="#_x0000_t202" style="position:absolute;left:0pt;margin-left:60.75pt;margin-top:-1.05pt;height:18.6pt;width:27.2pt;z-index:2517555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8" w:type="dxa"/>
                              <w:vAlign w:val="top"/>
                            </w:tcPr>
                            <w:p>
                              <w:pPr>
                                <w:pStyle w:val="8"/>
                                <w:spacing w:before="41" w:line="207" w:lineRule="auto"/>
                                <w:ind w:left="14"/>
                              </w:pPr>
                              <w:r>
                                <w:rPr>
                                  <w:spacing w:val="-3"/>
                                  <w:shd w:val="clear" w:fill="D9D9D9"/>
                                </w:rPr>
                                <w:t>股份</w:t>
                              </w:r>
                            </w:p>
                          </w:tc>
                        </w:tr>
                      </w:tbl>
                      <w:p>
                        <w:pPr>
                          <w:rPr>
                            <w:rFonts w:ascii="Arial"/>
                            <w:sz w:val="21"/>
                          </w:rPr>
                        </w:pPr>
                      </w:p>
                    </w:txbxContent>
                  </v:textbox>
                </v:shape>
              </w:pict>
            </w:r>
            <w:r>
              <w:pict>
                <v:shape id="_x0000_s1130" o:spid="_x0000_s1130" o:spt="202" type="#_x0000_t202" style="position:absolute;left:0pt;margin-left:267.55pt;margin-top:-1.05pt;height:19.05pt;width:51.45pt;z-index:2517534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98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0" w:hRule="atLeast"/>
                          </w:trPr>
                          <w:tc>
                            <w:tcPr>
                              <w:tcW w:w="983" w:type="dxa"/>
                              <w:vAlign w:val="top"/>
                            </w:tcPr>
                            <w:p>
                              <w:pPr>
                                <w:pStyle w:val="8"/>
                                <w:spacing w:before="41" w:line="214" w:lineRule="auto"/>
                                <w:ind w:right="6"/>
                                <w:jc w:val="right"/>
                              </w:pPr>
                              <w:r>
                                <w:rPr>
                                  <w:spacing w:val="-8"/>
                                  <w:shd w:val="clear" w:fill="D9D9D9"/>
                                </w:rPr>
                                <w:t>四十七条</w:t>
                              </w:r>
                            </w:p>
                          </w:tc>
                        </w:tr>
                      </w:tbl>
                      <w:p>
                        <w:pPr>
                          <w:rPr>
                            <w:rFonts w:ascii="Arial"/>
                            <w:sz w:val="21"/>
                          </w:rPr>
                        </w:pPr>
                      </w:p>
                    </w:txbxContent>
                  </v:textbox>
                </v:shape>
              </w:pict>
            </w:r>
            <w:r>
              <w:rPr>
                <w:spacing w:val="-1"/>
              </w:rPr>
              <w:t>有    公司</w:t>
            </w:r>
            <w:r>
              <w:rPr>
                <w:spacing w:val="16"/>
              </w:rPr>
              <w:t xml:space="preserve">    </w:t>
            </w:r>
            <w:r>
              <w:rPr>
                <w:spacing w:val="-1"/>
              </w:rPr>
              <w:t>百分之五以上的股东，违反本法第</w:t>
            </w:r>
            <w:r>
              <w:rPr>
                <w:spacing w:val="7"/>
              </w:rPr>
              <w:t xml:space="preserve">        </w:t>
            </w:r>
            <w:r>
              <w:rPr>
                <w:spacing w:val="-1"/>
              </w:rPr>
              <w:t>的规定</w:t>
            </w:r>
          </w:p>
          <w:p>
            <w:pPr>
              <w:pStyle w:val="8"/>
              <w:spacing w:before="14"/>
              <w:jc w:val="right"/>
            </w:pPr>
            <w:r>
              <w:pict>
                <v:shape id="_x0000_s1131" o:spid="_x0000_s1131" o:spt="202" type="#_x0000_t202" style="position:absolute;left:0pt;margin-left:218.5pt;margin-top:-0.75pt;height:18.6pt;width:15.1pt;z-index:25175142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6" w:type="dxa"/>
                              <w:vAlign w:val="top"/>
                            </w:tcPr>
                            <w:p>
                              <w:pPr>
                                <w:pStyle w:val="8"/>
                                <w:spacing w:before="41" w:line="207" w:lineRule="auto"/>
                                <w:jc w:val="right"/>
                              </w:pPr>
                              <w:r>
                                <w:rPr>
                                  <w:spacing w:val="-28"/>
                                  <w:shd w:val="clear" w:fill="D9D9D9"/>
                                </w:rPr>
                                <w:t>三</w:t>
                              </w:r>
                            </w:p>
                          </w:tc>
                        </w:tr>
                      </w:tbl>
                      <w:p>
                        <w:pPr>
                          <w:rPr>
                            <w:rFonts w:ascii="Arial"/>
                            <w:sz w:val="21"/>
                          </w:rPr>
                        </w:pPr>
                      </w:p>
                    </w:txbxContent>
                  </v:textbox>
                </v:shape>
              </w:pict>
            </w:r>
            <w:r>
              <w:pict>
                <v:shape id="_x0000_s1132" o:spid="_x0000_s1132" o:spt="202" type="#_x0000_t202" style="position:absolute;left:0pt;margin-left:169.25pt;margin-top:-0.75pt;height:18.6pt;width:27.15pt;z-index:2517524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7"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7" w:type="dxa"/>
                              <w:vAlign w:val="top"/>
                            </w:tcPr>
                            <w:p>
                              <w:pPr>
                                <w:pStyle w:val="8"/>
                                <w:spacing w:before="41" w:line="207" w:lineRule="auto"/>
                                <w:jc w:val="right"/>
                              </w:pPr>
                              <w:r>
                                <w:rPr>
                                  <w:spacing w:val="-10"/>
                                  <w:shd w:val="clear" w:fill="D9D9D9"/>
                                </w:rPr>
                                <w:t>可以</w:t>
                              </w:r>
                            </w:p>
                          </w:tc>
                        </w:tr>
                      </w:tbl>
                      <w:p>
                        <w:pPr>
                          <w:rPr>
                            <w:rFonts w:ascii="Arial"/>
                            <w:sz w:val="21"/>
                          </w:rPr>
                        </w:pPr>
                      </w:p>
                    </w:txbxContent>
                  </v:textbox>
                </v:shape>
              </w:pict>
            </w:r>
            <w:r>
              <w:rPr>
                <w:spacing w:val="-9"/>
              </w:rPr>
              <w:t>买卖  公司股票的，</w:t>
            </w:r>
            <w:r>
              <w:rPr>
                <w:spacing w:val="22"/>
              </w:rPr>
              <w:t xml:space="preserve"> </w:t>
            </w:r>
            <w:r>
              <w:rPr>
                <w:spacing w:val="-9"/>
              </w:rPr>
              <w:t>给予警告，</w:t>
            </w:r>
            <w:r>
              <w:rPr>
                <w:spacing w:val="2"/>
              </w:rPr>
              <w:t xml:space="preserve">     </w:t>
            </w:r>
            <w:r>
              <w:rPr>
                <w:spacing w:val="-9"/>
              </w:rPr>
              <w:t>并处</w:t>
            </w:r>
            <w:r>
              <w:rPr>
                <w:spacing w:val="23"/>
              </w:rPr>
              <w:t xml:space="preserve">  </w:t>
            </w:r>
            <w:r>
              <w:rPr>
                <w:spacing w:val="-9"/>
              </w:rPr>
              <w:t>万元以上</w:t>
            </w:r>
            <w:r>
              <w:rPr>
                <w:position w:val="-7"/>
              </w:rPr>
              <w:drawing>
                <wp:inline distT="0" distB="0" distL="0" distR="0">
                  <wp:extent cx="6350" cy="20447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80"/>
                          <a:stretch>
                            <a:fillRect/>
                          </a:stretch>
                        </pic:blipFill>
                        <pic:spPr>
                          <a:xfrm>
                            <a:off x="0" y="0"/>
                            <a:ext cx="6857" cy="204597"/>
                          </a:xfrm>
                          <a:prstGeom prst="rect">
                            <a:avLst/>
                          </a:prstGeom>
                        </pic:spPr>
                      </pic:pic>
                    </a:graphicData>
                  </a:graphic>
                </wp:inline>
              </w:drawing>
            </w:r>
            <w:r>
              <w:rPr>
                <w:spacing w:val="-9"/>
                <w:u w:val="single" w:color="auto"/>
                <w:shd w:val="clear" w:fill="D9D9D9"/>
              </w:rPr>
              <w:t>十</w:t>
            </w:r>
            <w:r>
              <w:rPr>
                <w:position w:val="-7"/>
              </w:rPr>
              <w:drawing>
                <wp:inline distT="0" distB="0" distL="0" distR="0">
                  <wp:extent cx="6350" cy="20447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77"/>
                          <a:stretch>
                            <a:fillRect/>
                          </a:stretch>
                        </pic:blipFill>
                        <pic:spPr>
                          <a:xfrm>
                            <a:off x="0" y="0"/>
                            <a:ext cx="6857" cy="204597"/>
                          </a:xfrm>
                          <a:prstGeom prst="rect">
                            <a:avLst/>
                          </a:prstGeom>
                        </pic:spPr>
                      </pic:pic>
                    </a:graphicData>
                  </a:graphic>
                </wp:inline>
              </w:drawing>
            </w:r>
            <w:r>
              <w:rPr>
                <w:spacing w:val="-10"/>
              </w:rPr>
              <w:t>万元以下的</w:t>
            </w:r>
          </w:p>
          <w:p>
            <w:pPr>
              <w:pStyle w:val="8"/>
              <w:spacing w:before="34" w:line="218" w:lineRule="auto"/>
              <w:ind w:left="26"/>
            </w:pPr>
            <w:r>
              <w:rPr>
                <w:spacing w:val="-16"/>
              </w:rPr>
              <w:t>罚款。</w:t>
            </w:r>
          </w:p>
        </w:tc>
        <w:tc>
          <w:tcPr>
            <w:tcW w:w="6811" w:type="dxa"/>
            <w:vAlign w:val="top"/>
          </w:tcPr>
          <w:p>
            <w:pPr>
              <w:pStyle w:val="8"/>
              <w:spacing w:before="44" w:line="236" w:lineRule="auto"/>
              <w:ind w:left="15" w:right="6" w:firstLine="499"/>
            </w:pPr>
            <w:r>
              <w:rPr>
                <w:rFonts w:ascii="黑体" w:hAnsi="黑体" w:eastAsia="黑体" w:cs="黑体"/>
                <w:spacing w:val="1"/>
              </w:rPr>
              <w:t xml:space="preserve">第一百八十九条  </w:t>
            </w:r>
            <w:r>
              <w:rPr>
                <w:spacing w:val="1"/>
              </w:rPr>
              <w:t>上市公司</w:t>
            </w:r>
            <w:r>
              <w:rPr>
                <w:rFonts w:ascii="黑体" w:hAnsi="黑体" w:eastAsia="黑体" w:cs="黑体"/>
                <w:spacing w:val="1"/>
              </w:rPr>
              <w:t>、股票在国务院批准的其他全国</w:t>
            </w:r>
            <w:r>
              <w:rPr>
                <w:rFonts w:ascii="黑体" w:hAnsi="黑体" w:eastAsia="黑体" w:cs="黑体"/>
                <w:spacing w:val="6"/>
              </w:rPr>
              <w:t xml:space="preserve"> </w:t>
            </w:r>
            <w:r>
              <w:rPr>
                <w:rFonts w:ascii="黑体" w:hAnsi="黑体" w:eastAsia="黑体" w:cs="黑体"/>
                <w:spacing w:val="2"/>
              </w:rPr>
              <w:t>性证券交易场所交易的公司</w:t>
            </w:r>
            <w:r>
              <w:rPr>
                <w:spacing w:val="2"/>
              </w:rPr>
              <w:t>的董事、监事、高级管理</w:t>
            </w:r>
            <w:r>
              <w:rPr>
                <w:spacing w:val="1"/>
              </w:rPr>
              <w:t>人员、持有</w:t>
            </w:r>
            <w:r>
              <w:t xml:space="preserve"> </w:t>
            </w:r>
            <w:r>
              <w:rPr>
                <w:rFonts w:ascii="黑体" w:hAnsi="黑体" w:eastAsia="黑体" w:cs="黑体"/>
                <w:spacing w:val="-3"/>
              </w:rPr>
              <w:t>该</w:t>
            </w:r>
            <w:r>
              <w:rPr>
                <w:spacing w:val="-3"/>
              </w:rPr>
              <w:t>公司百分之五以上股份的股东， 违反本法第</w:t>
            </w:r>
            <w:r>
              <w:rPr>
                <w:rFonts w:ascii="黑体" w:hAnsi="黑体" w:eastAsia="黑体" w:cs="黑体"/>
                <w:spacing w:val="-3"/>
              </w:rPr>
              <w:t>四十四</w:t>
            </w:r>
            <w:r>
              <w:rPr>
                <w:spacing w:val="-3"/>
              </w:rPr>
              <w:t>条的规定，</w:t>
            </w:r>
            <w:r>
              <w:rPr>
                <w:spacing w:val="17"/>
              </w:rPr>
              <w:t xml:space="preserve"> </w:t>
            </w:r>
            <w:r>
              <w:rPr>
                <w:spacing w:val="-2"/>
              </w:rPr>
              <w:t>买卖</w:t>
            </w:r>
            <w:r>
              <w:rPr>
                <w:rFonts w:ascii="黑体" w:hAnsi="黑体" w:eastAsia="黑体" w:cs="黑体"/>
                <w:spacing w:val="-2"/>
              </w:rPr>
              <w:t>该</w:t>
            </w:r>
            <w:r>
              <w:rPr>
                <w:spacing w:val="-2"/>
              </w:rPr>
              <w:t>公司股票</w:t>
            </w:r>
            <w:r>
              <w:rPr>
                <w:rFonts w:ascii="黑体" w:hAnsi="黑体" w:eastAsia="黑体" w:cs="黑体"/>
                <w:spacing w:val="-2"/>
              </w:rPr>
              <w:t>或者其他具有股权性质的证</w:t>
            </w:r>
            <w:r>
              <w:rPr>
                <w:rFonts w:ascii="黑体" w:hAnsi="黑体" w:eastAsia="黑体" w:cs="黑体"/>
                <w:spacing w:val="-3"/>
              </w:rPr>
              <w:t>券的</w:t>
            </w:r>
            <w:r>
              <w:rPr>
                <w:spacing w:val="-3"/>
              </w:rPr>
              <w:t>，给予警告， 并</w:t>
            </w:r>
            <w:r>
              <w:t xml:space="preserve"> </w:t>
            </w:r>
            <w:r>
              <w:rPr>
                <w:spacing w:val="-4"/>
              </w:rPr>
              <w:t>处以</w:t>
            </w:r>
            <w:r>
              <w:rPr>
                <w:rFonts w:ascii="黑体" w:hAnsi="黑体" w:eastAsia="黑体" w:cs="黑体"/>
                <w:spacing w:val="-4"/>
              </w:rPr>
              <w:t>十</w:t>
            </w:r>
            <w:r>
              <w:rPr>
                <w:spacing w:val="-4"/>
              </w:rPr>
              <w:t>万元以上</w:t>
            </w:r>
            <w:r>
              <w:rPr>
                <w:rFonts w:ascii="黑体" w:hAnsi="黑体" w:eastAsia="黑体" w:cs="黑体"/>
                <w:spacing w:val="-4"/>
              </w:rPr>
              <w:t>一百</w:t>
            </w:r>
            <w:r>
              <w:rPr>
                <w:spacing w:val="-4"/>
              </w:rPr>
              <w:t>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7096" w:type="dxa"/>
            <w:gridSpan w:val="3"/>
            <w:vAlign w:val="top"/>
          </w:tcPr>
          <w:p>
            <w:pPr>
              <w:rPr>
                <w:rFonts w:ascii="Arial"/>
                <w:sz w:val="21"/>
              </w:rPr>
            </w:pPr>
          </w:p>
        </w:tc>
        <w:tc>
          <w:tcPr>
            <w:tcW w:w="6811" w:type="dxa"/>
            <w:vAlign w:val="top"/>
          </w:tcPr>
          <w:p>
            <w:pPr>
              <w:spacing w:before="43" w:line="232" w:lineRule="auto"/>
              <w:ind w:left="16" w:right="4" w:firstLine="498"/>
              <w:jc w:val="both"/>
              <w:rPr>
                <w:rFonts w:ascii="黑体" w:hAnsi="黑体" w:eastAsia="黑体" w:cs="黑体"/>
                <w:sz w:val="24"/>
                <w:szCs w:val="24"/>
              </w:rPr>
            </w:pPr>
            <w:r>
              <w:rPr>
                <w:rFonts w:ascii="黑体" w:hAnsi="黑体" w:eastAsia="黑体" w:cs="黑体"/>
                <w:spacing w:val="1"/>
                <w:sz w:val="24"/>
                <w:szCs w:val="24"/>
              </w:rPr>
              <w:t>第一百九十条  违反本法第四十五条规定，采取程序化交易</w:t>
            </w:r>
            <w:r>
              <w:rPr>
                <w:rFonts w:ascii="黑体" w:hAnsi="黑体" w:eastAsia="黑体" w:cs="黑体"/>
                <w:spacing w:val="8"/>
                <w:sz w:val="24"/>
                <w:szCs w:val="24"/>
              </w:rPr>
              <w:t xml:space="preserve"> </w:t>
            </w:r>
            <w:r>
              <w:rPr>
                <w:rFonts w:ascii="黑体" w:hAnsi="黑体" w:eastAsia="黑体" w:cs="黑体"/>
                <w:spacing w:val="-3"/>
                <w:sz w:val="24"/>
                <w:szCs w:val="24"/>
              </w:rPr>
              <w:t>影响证券交易所系统安全或者正常交易秩序的，责令改正， 并处</w:t>
            </w:r>
            <w:r>
              <w:rPr>
                <w:rFonts w:ascii="黑体" w:hAnsi="黑体" w:eastAsia="黑体" w:cs="黑体"/>
                <w:spacing w:val="17"/>
                <w:sz w:val="24"/>
                <w:szCs w:val="24"/>
              </w:rPr>
              <w:t xml:space="preserve"> </w:t>
            </w:r>
            <w:r>
              <w:rPr>
                <w:rFonts w:ascii="黑体" w:hAnsi="黑体" w:eastAsia="黑体" w:cs="黑体"/>
                <w:spacing w:val="2"/>
                <w:sz w:val="24"/>
                <w:szCs w:val="24"/>
              </w:rPr>
              <w:t>以五十万元以上五百万元以下的罚款。对直接负责</w:t>
            </w:r>
            <w:r>
              <w:rPr>
                <w:rFonts w:ascii="黑体" w:hAnsi="黑体" w:eastAsia="黑体" w:cs="黑体"/>
                <w:spacing w:val="1"/>
                <w:sz w:val="24"/>
                <w:szCs w:val="24"/>
              </w:rPr>
              <w:t>的主管人员和</w:t>
            </w:r>
            <w:r>
              <w:rPr>
                <w:rFonts w:ascii="黑体" w:hAnsi="黑体" w:eastAsia="黑体" w:cs="黑体"/>
                <w:sz w:val="24"/>
                <w:szCs w:val="24"/>
              </w:rPr>
              <w:t xml:space="preserve"> </w:t>
            </w:r>
            <w:r>
              <w:rPr>
                <w:rFonts w:ascii="黑体" w:hAnsi="黑体" w:eastAsia="黑体" w:cs="黑体"/>
                <w:spacing w:val="2"/>
                <w:sz w:val="24"/>
                <w:szCs w:val="24"/>
              </w:rPr>
              <w:t>其他直接责任人员给予警告，并处以十万元以上一</w:t>
            </w:r>
            <w:r>
              <w:rPr>
                <w:rFonts w:ascii="黑体" w:hAnsi="黑体" w:eastAsia="黑体" w:cs="黑体"/>
                <w:spacing w:val="1"/>
                <w:sz w:val="24"/>
                <w:szCs w:val="24"/>
              </w:rPr>
              <w:t>百万元以下的</w:t>
            </w:r>
          </w:p>
        </w:tc>
      </w:tr>
    </w:tbl>
    <w:p>
      <w:pPr>
        <w:spacing w:before="97" w:line="186"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w:t>
      </w:r>
    </w:p>
    <w:p>
      <w:pPr>
        <w:spacing w:line="186" w:lineRule="auto"/>
        <w:rPr>
          <w:rFonts w:ascii="Times New Roman" w:hAnsi="Times New Roman" w:eastAsia="Times New Roman" w:cs="Times New Roman"/>
          <w:sz w:val="18"/>
          <w:szCs w:val="18"/>
        </w:rPr>
        <w:sectPr>
          <w:footerReference r:id="rId55"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6"/>
        <w:gridCol w:w="228"/>
        <w:gridCol w:w="501"/>
        <w:gridCol w:w="245"/>
        <w:gridCol w:w="1468"/>
        <w:gridCol w:w="252"/>
        <w:gridCol w:w="719"/>
        <w:gridCol w:w="494"/>
        <w:gridCol w:w="233"/>
        <w:gridCol w:w="252"/>
        <w:gridCol w:w="245"/>
        <w:gridCol w:w="1206"/>
        <w:gridCol w:w="257"/>
        <w:gridCol w:w="6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096" w:type="dxa"/>
            <w:gridSpan w:val="13"/>
            <w:vAlign w:val="top"/>
          </w:tcPr>
          <w:p>
            <w:pPr>
              <w:rPr>
                <w:rFonts w:ascii="Arial"/>
                <w:sz w:val="21"/>
              </w:rPr>
            </w:pPr>
          </w:p>
        </w:tc>
        <w:tc>
          <w:tcPr>
            <w:tcW w:w="6811" w:type="dxa"/>
            <w:vAlign w:val="top"/>
          </w:tcPr>
          <w:p>
            <w:pPr>
              <w:spacing w:before="40" w:line="222" w:lineRule="auto"/>
              <w:ind w:left="20"/>
              <w:rPr>
                <w:rFonts w:ascii="黑体" w:hAnsi="黑体" w:eastAsia="黑体" w:cs="黑体"/>
                <w:sz w:val="24"/>
                <w:szCs w:val="24"/>
              </w:rPr>
            </w:pPr>
            <w:r>
              <w:rPr>
                <w:rFonts w:ascii="黑体" w:hAnsi="黑体" w:eastAsia="黑体" w:cs="黑体"/>
                <w:spacing w:val="-11"/>
                <w:sz w:val="24"/>
                <w:szCs w:val="24"/>
              </w:rPr>
              <w:t>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96" w:type="dxa"/>
            <w:vMerge w:val="restart"/>
            <w:tcBorders>
              <w:bottom w:val="nil"/>
              <w:right w:val="nil"/>
            </w:tcBorders>
            <w:vAlign w:val="top"/>
          </w:tcPr>
          <w:p>
            <w:pPr>
              <w:pStyle w:val="8"/>
              <w:spacing w:before="31" w:line="228" w:lineRule="auto"/>
              <w:ind w:left="6" w:firstLine="507"/>
            </w:pPr>
            <w:r>
              <w:rPr>
                <w:rFonts w:ascii="黑体" w:hAnsi="黑体" w:eastAsia="黑体" w:cs="黑体"/>
                <w:spacing w:val="-3"/>
              </w:rPr>
              <w:t>第二</w:t>
            </w:r>
            <w:r>
              <w:rPr>
                <w:rFonts w:ascii="黑体" w:hAnsi="黑体" w:eastAsia="黑体" w:cs="黑体"/>
              </w:rPr>
              <w:t xml:space="preserve"> </w:t>
            </w:r>
            <w:r>
              <w:rPr>
                <w:spacing w:val="1"/>
              </w:rPr>
              <w:t>信息的人</w:t>
            </w:r>
          </w:p>
        </w:tc>
        <w:tc>
          <w:tcPr>
            <w:tcW w:w="6100" w:type="dxa"/>
            <w:gridSpan w:val="12"/>
            <w:tcBorders>
              <w:left w:val="nil"/>
              <w:bottom w:val="single" w:color="000000" w:sz="2" w:space="0"/>
            </w:tcBorders>
            <w:vAlign w:val="top"/>
          </w:tcPr>
          <w:p>
            <w:pPr>
              <w:pStyle w:val="8"/>
              <w:spacing w:before="30" w:line="209" w:lineRule="auto"/>
              <w:jc w:val="right"/>
            </w:pPr>
            <w:r>
              <w:rPr>
                <w:rFonts w:ascii="黑体" w:hAnsi="黑体" w:eastAsia="黑体" w:cs="黑体"/>
                <w:spacing w:val="2"/>
              </w:rPr>
              <w:t xml:space="preserve">百零二条  </w:t>
            </w:r>
            <w:r>
              <w:rPr>
                <w:spacing w:val="2"/>
              </w:rPr>
              <w:t>证券交易内幕信息的知情人或者非法获取内幕</w:t>
            </w:r>
          </w:p>
        </w:tc>
        <w:tc>
          <w:tcPr>
            <w:tcW w:w="6811" w:type="dxa"/>
            <w:vMerge w:val="restart"/>
            <w:tcBorders>
              <w:bottom w:val="nil"/>
            </w:tcBorders>
            <w:vAlign w:val="top"/>
          </w:tcPr>
          <w:p>
            <w:pPr>
              <w:pStyle w:val="8"/>
              <w:spacing w:before="25" w:line="237" w:lineRule="auto"/>
              <w:ind w:left="11" w:right="2" w:firstLine="503"/>
              <w:jc w:val="both"/>
            </w:pPr>
            <w:r>
              <w:rPr>
                <w:rFonts w:ascii="黑体" w:hAnsi="黑体" w:eastAsia="黑体" w:cs="黑体"/>
                <w:spacing w:val="1"/>
              </w:rPr>
              <w:t xml:space="preserve">第一百九十一条  </w:t>
            </w:r>
            <w:r>
              <w:rPr>
                <w:spacing w:val="1"/>
              </w:rPr>
              <w:t>证券交易内幕信息的知情人或者非法获取</w:t>
            </w:r>
            <w:r>
              <w:rPr>
                <w:spacing w:val="8"/>
              </w:rPr>
              <w:t xml:space="preserve"> </w:t>
            </w:r>
            <w:r>
              <w:rPr>
                <w:spacing w:val="2"/>
              </w:rPr>
              <w:t>内幕信息的人</w:t>
            </w:r>
            <w:r>
              <w:rPr>
                <w:rFonts w:ascii="黑体" w:hAnsi="黑体" w:eastAsia="黑体" w:cs="黑体"/>
                <w:spacing w:val="2"/>
              </w:rPr>
              <w:t>违反本法第五十三条的规定从事内幕交易的</w:t>
            </w:r>
            <w:r>
              <w:rPr>
                <w:spacing w:val="2"/>
              </w:rPr>
              <w:t xml:space="preserve">，责令 </w:t>
            </w:r>
            <w:r>
              <w:rPr>
                <w:spacing w:val="-2"/>
              </w:rPr>
              <w:t>依法处理非法持有的证券， 没收违法所得，并处</w:t>
            </w:r>
            <w:r>
              <w:rPr>
                <w:spacing w:val="-3"/>
              </w:rPr>
              <w:t>以违法所得一倍</w:t>
            </w:r>
            <w:r>
              <w:t xml:space="preserve"> </w:t>
            </w:r>
            <w:r>
              <w:rPr>
                <w:spacing w:val="2"/>
              </w:rPr>
              <w:t>以上</w:t>
            </w:r>
            <w:r>
              <w:rPr>
                <w:rFonts w:ascii="黑体" w:hAnsi="黑体" w:eastAsia="黑体" w:cs="黑体"/>
                <w:spacing w:val="2"/>
              </w:rPr>
              <w:t>十</w:t>
            </w:r>
            <w:r>
              <w:rPr>
                <w:spacing w:val="2"/>
              </w:rPr>
              <w:t>倍以下的罚款；没有违法所得或者违法所得不足</w:t>
            </w:r>
            <w:r>
              <w:rPr>
                <w:rFonts w:ascii="黑体" w:hAnsi="黑体" w:eastAsia="黑体" w:cs="黑体"/>
                <w:spacing w:val="2"/>
              </w:rPr>
              <w:t>五十</w:t>
            </w:r>
            <w:r>
              <w:rPr>
                <w:spacing w:val="2"/>
              </w:rPr>
              <w:t>万元</w:t>
            </w:r>
            <w:r>
              <w:t xml:space="preserve"> </w:t>
            </w:r>
            <w:r>
              <w:rPr>
                <w:spacing w:val="-2"/>
              </w:rPr>
              <w:t>的， 处以</w:t>
            </w:r>
            <w:r>
              <w:rPr>
                <w:rFonts w:ascii="黑体" w:hAnsi="黑体" w:eastAsia="黑体" w:cs="黑体"/>
                <w:spacing w:val="-2"/>
              </w:rPr>
              <w:t>五</w:t>
            </w:r>
            <w:r>
              <w:rPr>
                <w:spacing w:val="-2"/>
              </w:rPr>
              <w:t>十万元以上</w:t>
            </w:r>
            <w:r>
              <w:rPr>
                <w:rFonts w:ascii="黑体" w:hAnsi="黑体" w:eastAsia="黑体" w:cs="黑体"/>
                <w:spacing w:val="-2"/>
              </w:rPr>
              <w:t>五百</w:t>
            </w:r>
            <w:r>
              <w:rPr>
                <w:spacing w:val="-2"/>
              </w:rPr>
              <w:t>万元以下的罚款。单位从事</w:t>
            </w:r>
            <w:r>
              <w:rPr>
                <w:spacing w:val="-3"/>
              </w:rPr>
              <w:t>内幕交易</w:t>
            </w:r>
            <w:r>
              <w:t xml:space="preserve"> </w:t>
            </w:r>
            <w:r>
              <w:rPr>
                <w:spacing w:val="11"/>
              </w:rPr>
              <w:t>的，还应当对直接负责的主管人员和其他直接责任人员给予警</w:t>
            </w:r>
            <w:r>
              <w:rPr>
                <w:spacing w:val="3"/>
              </w:rPr>
              <w:t xml:space="preserve"> </w:t>
            </w:r>
            <w:r>
              <w:rPr>
                <w:spacing w:val="-6"/>
              </w:rPr>
              <w:t>告， 并处以</w:t>
            </w:r>
            <w:r>
              <w:rPr>
                <w:rFonts w:ascii="黑体" w:hAnsi="黑体" w:eastAsia="黑体" w:cs="黑体"/>
                <w:spacing w:val="-6"/>
              </w:rPr>
              <w:t>二十</w:t>
            </w:r>
            <w:r>
              <w:rPr>
                <w:spacing w:val="-6"/>
              </w:rPr>
              <w:t>万元以上</w:t>
            </w:r>
            <w:r>
              <w:rPr>
                <w:rFonts w:ascii="黑体" w:hAnsi="黑体" w:eastAsia="黑体" w:cs="黑体"/>
                <w:spacing w:val="-6"/>
              </w:rPr>
              <w:t>二百</w:t>
            </w:r>
            <w:r>
              <w:rPr>
                <w:spacing w:val="-6"/>
              </w:rPr>
              <w:t xml:space="preserve">万元以下的罚款。 </w:t>
            </w:r>
            <w:r>
              <w:rPr>
                <w:rFonts w:ascii="黑体" w:hAnsi="黑体" w:eastAsia="黑体" w:cs="黑体"/>
                <w:spacing w:val="-6"/>
              </w:rPr>
              <w:t>国务院</w:t>
            </w:r>
            <w:r>
              <w:rPr>
                <w:spacing w:val="-7"/>
              </w:rPr>
              <w:t>证券监督</w:t>
            </w:r>
            <w:r>
              <w:t xml:space="preserve"> </w:t>
            </w:r>
            <w:r>
              <w:rPr>
                <w:spacing w:val="-3"/>
              </w:rPr>
              <w:t>管理机构工作人员从事内幕交易的，从重处罚。</w:t>
            </w:r>
          </w:p>
          <w:p>
            <w:pPr>
              <w:spacing w:before="29" w:line="228" w:lineRule="auto"/>
              <w:ind w:left="14" w:right="58" w:firstLine="500"/>
              <w:jc w:val="both"/>
              <w:rPr>
                <w:rFonts w:ascii="黑体" w:hAnsi="黑体" w:eastAsia="黑体" w:cs="黑体"/>
                <w:sz w:val="24"/>
                <w:szCs w:val="24"/>
              </w:rPr>
            </w:pPr>
            <w:r>
              <w:rPr>
                <w:rFonts w:ascii="黑体" w:hAnsi="黑体" w:eastAsia="黑体" w:cs="黑体"/>
                <w:spacing w:val="-1"/>
                <w:sz w:val="24"/>
                <w:szCs w:val="24"/>
              </w:rPr>
              <w:t>违反本法第五十四条的规定，利用未公开信息进行交易的，</w:t>
            </w:r>
            <w:r>
              <w:rPr>
                <w:rFonts w:ascii="黑体" w:hAnsi="黑体" w:eastAsia="黑体" w:cs="黑体"/>
                <w:spacing w:val="7"/>
                <w:sz w:val="24"/>
                <w:szCs w:val="24"/>
              </w:rPr>
              <w:t xml:space="preserve"> </w:t>
            </w:r>
            <w:r>
              <w:rPr>
                <w:rFonts w:ascii="黑体" w:hAnsi="黑体" w:eastAsia="黑体" w:cs="黑体"/>
                <w:spacing w:val="-4"/>
                <w:sz w:val="24"/>
                <w:szCs w:val="24"/>
              </w:rPr>
              <w:t>依照前款的规定处罚。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96" w:type="dxa"/>
            <w:vMerge w:val="continue"/>
            <w:tcBorders>
              <w:top w:val="nil"/>
              <w:bottom w:val="single" w:color="000000" w:sz="2" w:space="0"/>
              <w:right w:val="nil"/>
            </w:tcBorders>
            <w:vAlign w:val="top"/>
          </w:tcPr>
          <w:p>
            <w:pPr>
              <w:rPr>
                <w:rFonts w:ascii="Arial"/>
                <w:sz w:val="21"/>
              </w:rPr>
            </w:pPr>
          </w:p>
        </w:tc>
        <w:tc>
          <w:tcPr>
            <w:tcW w:w="6100" w:type="dxa"/>
            <w:gridSpan w:val="12"/>
            <w:tcBorders>
              <w:top w:val="single" w:color="000000" w:sz="2" w:space="0"/>
              <w:left w:val="single" w:color="000000" w:sz="2" w:space="0"/>
              <w:bottom w:val="single" w:color="000000" w:sz="2" w:space="0"/>
            </w:tcBorders>
            <w:shd w:val="clear" w:color="auto" w:fill="D9D9D9"/>
            <w:vAlign w:val="top"/>
          </w:tcPr>
          <w:p>
            <w:pPr>
              <w:pStyle w:val="8"/>
              <w:spacing w:before="35" w:line="209" w:lineRule="auto"/>
              <w:ind w:left="28"/>
            </w:pPr>
            <w:r>
              <w:rPr>
                <w:spacing w:val="-1"/>
              </w:rPr>
              <w:t>,</w:t>
            </w:r>
            <w:r>
              <w:rPr>
                <w:spacing w:val="74"/>
              </w:rPr>
              <w:t xml:space="preserve"> </w:t>
            </w:r>
            <w:r>
              <w:rPr>
                <w:spacing w:val="-1"/>
              </w:rPr>
              <w:t>在涉及证券的发行、交易或者其他对证券的价格有重大</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6" w:type="dxa"/>
            <w:gridSpan w:val="13"/>
            <w:tcBorders>
              <w:top w:val="single" w:color="000000" w:sz="2" w:space="0"/>
              <w:bottom w:val="single" w:color="000000" w:sz="2" w:space="0"/>
            </w:tcBorders>
            <w:shd w:val="clear" w:color="auto" w:fill="D9D9D9"/>
            <w:vAlign w:val="top"/>
          </w:tcPr>
          <w:p>
            <w:pPr>
              <w:pStyle w:val="8"/>
              <w:spacing w:before="45" w:line="209" w:lineRule="auto"/>
              <w:ind w:left="30"/>
            </w:pPr>
            <w:r>
              <w:rPr>
                <w:spacing w:val="-5"/>
              </w:rPr>
              <w:t>影响的信息公开前， 买卖该证券， 或者泄露该信</w:t>
            </w:r>
            <w:r>
              <w:rPr>
                <w:spacing w:val="-6"/>
              </w:rPr>
              <w:t>息，或者建议他人</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725" w:type="dxa"/>
            <w:gridSpan w:val="3"/>
            <w:tcBorders>
              <w:top w:val="single" w:color="000000" w:sz="2" w:space="0"/>
              <w:bottom w:val="single" w:color="000000" w:sz="2" w:space="0"/>
              <w:right w:val="single" w:color="000000" w:sz="2" w:space="0"/>
            </w:tcBorders>
            <w:shd w:val="clear" w:color="auto" w:fill="D9D9D9"/>
            <w:vAlign w:val="top"/>
          </w:tcPr>
          <w:p>
            <w:pPr>
              <w:pStyle w:val="8"/>
              <w:spacing w:before="44" w:line="210" w:lineRule="auto"/>
              <w:ind w:left="36"/>
            </w:pPr>
            <w:r>
              <w:rPr>
                <w:spacing w:val="-6"/>
              </w:rPr>
              <w:t>买卖该证券的，</w:t>
            </w:r>
          </w:p>
        </w:tc>
        <w:tc>
          <w:tcPr>
            <w:tcW w:w="5371" w:type="dxa"/>
            <w:gridSpan w:val="10"/>
            <w:tcBorders>
              <w:top w:val="single" w:color="000000" w:sz="2" w:space="0"/>
              <w:left w:val="single" w:color="000000" w:sz="2" w:space="0"/>
              <w:bottom w:val="nil"/>
            </w:tcBorders>
            <w:vAlign w:val="top"/>
          </w:tcPr>
          <w:p>
            <w:pPr>
              <w:pStyle w:val="8"/>
              <w:spacing w:before="44" w:line="210" w:lineRule="auto"/>
              <w:ind w:left="24"/>
            </w:pPr>
            <w:r>
              <w:rPr>
                <w:spacing w:val="1"/>
              </w:rPr>
              <w:t>责令依法处理非法持有的证券，没收违法所得，并</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7096" w:type="dxa"/>
            <w:gridSpan w:val="13"/>
            <w:tcBorders>
              <w:top w:val="nil"/>
              <w:bottom w:val="nil"/>
            </w:tcBorders>
            <w:vAlign w:val="top"/>
          </w:tcPr>
          <w:p>
            <w:pPr>
              <w:pStyle w:val="8"/>
              <w:spacing w:before="32" w:line="235" w:lineRule="auto"/>
              <w:ind w:left="17" w:firstLine="5"/>
              <w:jc w:val="both"/>
            </w:pPr>
            <w:r>
              <w:drawing>
                <wp:anchor distT="0" distB="0" distL="0" distR="0" simplePos="0" relativeHeight="251758592" behindDoc="1" locked="0" layoutInCell="1" allowOverlap="1">
                  <wp:simplePos x="0" y="0"/>
                  <wp:positionH relativeFrom="rightMargin">
                    <wp:posOffset>-2625090</wp:posOffset>
                  </wp:positionH>
                  <wp:positionV relativeFrom="topMargin">
                    <wp:posOffset>603885</wp:posOffset>
                  </wp:positionV>
                  <wp:extent cx="307975" cy="6350"/>
                  <wp:effectExtent l="0" t="0" r="0" b="0"/>
                  <wp:wrapNone/>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28"/>
                          <a:stretch>
                            <a:fillRect/>
                          </a:stretch>
                        </pic:blipFill>
                        <pic:spPr>
                          <a:xfrm>
                            <a:off x="0" y="0"/>
                            <a:ext cx="307848" cy="6350"/>
                          </a:xfrm>
                          <a:prstGeom prst="rect">
                            <a:avLst/>
                          </a:prstGeom>
                        </pic:spPr>
                      </pic:pic>
                    </a:graphicData>
                  </a:graphic>
                </wp:anchor>
              </w:drawing>
            </w:r>
            <w:r>
              <w:rPr>
                <w:spacing w:val="-1"/>
              </w:rPr>
              <w:t>处以违</w:t>
            </w:r>
            <w:r>
              <w:rPr>
                <w:spacing w:val="-99"/>
                <w:shd w:val="clear" w:fill="000000"/>
              </w:rPr>
              <w:t xml:space="preserve"> </w:t>
            </w:r>
            <w:r>
              <w:rPr>
                <w:spacing w:val="-105"/>
                <w:u w:val="single" w:color="auto"/>
              </w:rPr>
              <w:t xml:space="preserve"> </w:t>
            </w:r>
            <w:r>
              <w:rPr>
                <w:spacing w:val="-1"/>
                <w:u w:val="single" w:color="auto"/>
              </w:rPr>
              <w:t>法</w:t>
            </w:r>
            <w:r>
              <w:rPr>
                <w:spacing w:val="-115"/>
                <w:u w:val="single" w:color="auto"/>
              </w:rPr>
              <w:t xml:space="preserve"> </w:t>
            </w:r>
            <w:r>
              <w:rPr>
                <w:position w:val="-7"/>
              </w:rPr>
              <w:drawing>
                <wp:inline distT="0" distB="0" distL="0" distR="0">
                  <wp:extent cx="5715" cy="5715"/>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74"/>
                          <a:stretch>
                            <a:fillRect/>
                          </a:stretch>
                        </pic:blipFill>
                        <pic:spPr>
                          <a:xfrm>
                            <a:off x="0" y="0"/>
                            <a:ext cx="6175" cy="6096"/>
                          </a:xfrm>
                          <a:prstGeom prst="rect">
                            <a:avLst/>
                          </a:prstGeom>
                        </pic:spPr>
                      </pic:pic>
                    </a:graphicData>
                  </a:graphic>
                </wp:inline>
              </w:drawing>
            </w:r>
            <w:r>
              <w:rPr>
                <w:spacing w:val="-1"/>
              </w:rPr>
              <w:t>所得一倍以上</w:t>
            </w:r>
            <w:r>
              <w:rPr>
                <w:position w:val="-7"/>
              </w:rPr>
              <w:drawing>
                <wp:inline distT="0" distB="0" distL="0" distR="0">
                  <wp:extent cx="5715" cy="5715"/>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72"/>
                          <a:stretch>
                            <a:fillRect/>
                          </a:stretch>
                        </pic:blipFill>
                        <pic:spPr>
                          <a:xfrm>
                            <a:off x="0" y="0"/>
                            <a:ext cx="6175" cy="6096"/>
                          </a:xfrm>
                          <a:prstGeom prst="rect">
                            <a:avLst/>
                          </a:prstGeom>
                        </pic:spPr>
                      </pic:pic>
                    </a:graphicData>
                  </a:graphic>
                </wp:inline>
              </w:drawing>
            </w:r>
            <w:r>
              <w:rPr>
                <w:spacing w:val="-112"/>
                <w:u w:val="single" w:color="auto"/>
              </w:rPr>
              <w:t xml:space="preserve"> </w:t>
            </w:r>
            <w:r>
              <w:rPr>
                <w:spacing w:val="-1"/>
                <w:u w:val="single" w:color="auto"/>
              </w:rPr>
              <w:t>五</w:t>
            </w:r>
            <w:r>
              <w:rPr>
                <w:spacing w:val="-1"/>
              </w:rPr>
              <w:t>倍以下的</w:t>
            </w:r>
            <w:r>
              <w:rPr>
                <w:spacing w:val="-109"/>
              </w:rPr>
              <w:t xml:space="preserve"> </w:t>
            </w:r>
            <w:r>
              <w:rPr>
                <w:position w:val="-7"/>
              </w:rPr>
              <w:drawing>
                <wp:inline distT="0" distB="0" distL="0" distR="0">
                  <wp:extent cx="5715" cy="5715"/>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72"/>
                          <a:stretch>
                            <a:fillRect/>
                          </a:stretch>
                        </pic:blipFill>
                        <pic:spPr>
                          <a:xfrm>
                            <a:off x="0" y="0"/>
                            <a:ext cx="6176" cy="6096"/>
                          </a:xfrm>
                          <a:prstGeom prst="rect">
                            <a:avLst/>
                          </a:prstGeom>
                        </pic:spPr>
                      </pic:pic>
                    </a:graphicData>
                  </a:graphic>
                </wp:inline>
              </w:drawing>
            </w:r>
            <w:r>
              <w:rPr>
                <w:spacing w:val="-113"/>
                <w:u w:val="single" w:color="auto"/>
              </w:rPr>
              <w:t xml:space="preserve"> </w:t>
            </w:r>
            <w:r>
              <w:rPr>
                <w:spacing w:val="-1"/>
                <w:u w:val="single" w:color="auto"/>
              </w:rPr>
              <w:t>罚款</w:t>
            </w:r>
            <w:r>
              <w:rPr>
                <w:spacing w:val="-100"/>
                <w:u w:val="single" w:color="auto"/>
              </w:rPr>
              <w:t xml:space="preserve"> </w:t>
            </w:r>
            <w:r>
              <w:rPr>
                <w:spacing w:val="-111"/>
                <w:shd w:val="clear" w:fill="000000"/>
              </w:rPr>
              <w:t xml:space="preserve"> </w:t>
            </w:r>
            <w:r>
              <w:rPr>
                <w:spacing w:val="-1"/>
              </w:rPr>
              <w:t>；没有违法所得或者违法所</w:t>
            </w:r>
            <w:r>
              <w:t xml:space="preserve"> </w:t>
            </w:r>
            <w:r>
              <w:rPr>
                <w:spacing w:val="-3"/>
              </w:rPr>
              <w:t>得不足</w:t>
            </w:r>
            <w:r>
              <w:rPr>
                <w:position w:val="-7"/>
              </w:rPr>
              <w:drawing>
                <wp:inline distT="0" distB="0" distL="0" distR="0">
                  <wp:extent cx="8255" cy="203835"/>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73"/>
                          <a:stretch>
                            <a:fillRect/>
                          </a:stretch>
                        </pic:blipFill>
                        <pic:spPr>
                          <a:xfrm>
                            <a:off x="0" y="0"/>
                            <a:ext cx="8303" cy="204216"/>
                          </a:xfrm>
                          <a:prstGeom prst="rect">
                            <a:avLst/>
                          </a:prstGeom>
                        </pic:spPr>
                      </pic:pic>
                    </a:graphicData>
                  </a:graphic>
                </wp:inline>
              </w:drawing>
            </w:r>
            <w:r>
              <w:rPr>
                <w:spacing w:val="-3"/>
                <w:shd w:val="clear" w:fill="D9D9D9"/>
              </w:rPr>
              <w:t>三</w:t>
            </w:r>
            <w:r>
              <w:rPr>
                <w:position w:val="-7"/>
              </w:rPr>
              <w:drawing>
                <wp:inline distT="0" distB="0" distL="0" distR="0">
                  <wp:extent cx="8255" cy="203835"/>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80"/>
                          <a:stretch>
                            <a:fillRect/>
                          </a:stretch>
                        </pic:blipFill>
                        <pic:spPr>
                          <a:xfrm>
                            <a:off x="0" y="0"/>
                            <a:ext cx="8303" cy="204216"/>
                          </a:xfrm>
                          <a:prstGeom prst="rect">
                            <a:avLst/>
                          </a:prstGeom>
                        </pic:spPr>
                      </pic:pic>
                    </a:graphicData>
                  </a:graphic>
                </wp:inline>
              </w:drawing>
            </w:r>
            <w:r>
              <w:rPr>
                <w:spacing w:val="-3"/>
              </w:rPr>
              <w:t>万元的， 处以</w:t>
            </w:r>
            <w:r>
              <w:rPr>
                <w:position w:val="-7"/>
              </w:rPr>
              <w:drawing>
                <wp:inline distT="0" distB="0" distL="0" distR="0">
                  <wp:extent cx="8255" cy="203835"/>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73"/>
                          <a:stretch>
                            <a:fillRect/>
                          </a:stretch>
                        </pic:blipFill>
                        <pic:spPr>
                          <a:xfrm>
                            <a:off x="0" y="0"/>
                            <a:ext cx="8303" cy="204216"/>
                          </a:xfrm>
                          <a:prstGeom prst="rect">
                            <a:avLst/>
                          </a:prstGeom>
                        </pic:spPr>
                      </pic:pic>
                    </a:graphicData>
                  </a:graphic>
                </wp:inline>
              </w:drawing>
            </w:r>
            <w:r>
              <w:rPr>
                <w:spacing w:val="-3"/>
                <w:shd w:val="clear" w:fill="D9D9D9"/>
              </w:rPr>
              <w:t>三</w:t>
            </w:r>
            <w:r>
              <w:rPr>
                <w:position w:val="-7"/>
              </w:rPr>
              <w:drawing>
                <wp:inline distT="0" distB="0" distL="0" distR="0">
                  <wp:extent cx="8255" cy="203835"/>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80"/>
                          <a:stretch>
                            <a:fillRect/>
                          </a:stretch>
                        </pic:blipFill>
                        <pic:spPr>
                          <a:xfrm>
                            <a:off x="0" y="0"/>
                            <a:ext cx="8303" cy="204216"/>
                          </a:xfrm>
                          <a:prstGeom prst="rect">
                            <a:avLst/>
                          </a:prstGeom>
                        </pic:spPr>
                      </pic:pic>
                    </a:graphicData>
                  </a:graphic>
                </wp:inline>
              </w:drawing>
            </w:r>
            <w:r>
              <w:rPr>
                <w:spacing w:val="-3"/>
              </w:rPr>
              <w:t>万元以上</w:t>
            </w:r>
            <w:r>
              <w:rPr>
                <w:position w:val="-7"/>
              </w:rPr>
              <w:drawing>
                <wp:inline distT="0" distB="0" distL="0" distR="0">
                  <wp:extent cx="8255" cy="203835"/>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73"/>
                          <a:stretch>
                            <a:fillRect/>
                          </a:stretch>
                        </pic:blipFill>
                        <pic:spPr>
                          <a:xfrm>
                            <a:off x="0" y="0"/>
                            <a:ext cx="8303" cy="204216"/>
                          </a:xfrm>
                          <a:prstGeom prst="rect">
                            <a:avLst/>
                          </a:prstGeom>
                        </pic:spPr>
                      </pic:pic>
                    </a:graphicData>
                  </a:graphic>
                </wp:inline>
              </w:drawing>
            </w:r>
            <w:r>
              <w:rPr>
                <w:spacing w:val="-3"/>
                <w:u w:val="single" w:color="auto"/>
                <w:shd w:val="clear" w:fill="D9D9D9"/>
              </w:rPr>
              <w:t>六十</w:t>
            </w:r>
            <w:r>
              <w:rPr>
                <w:position w:val="-7"/>
              </w:rPr>
              <w:drawing>
                <wp:inline distT="0" distB="0" distL="0" distR="0">
                  <wp:extent cx="8255" cy="203835"/>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73"/>
                          <a:stretch>
                            <a:fillRect/>
                          </a:stretch>
                        </pic:blipFill>
                        <pic:spPr>
                          <a:xfrm>
                            <a:off x="0" y="0"/>
                            <a:ext cx="8303" cy="204216"/>
                          </a:xfrm>
                          <a:prstGeom prst="rect">
                            <a:avLst/>
                          </a:prstGeom>
                        </pic:spPr>
                      </pic:pic>
                    </a:graphicData>
                  </a:graphic>
                </wp:inline>
              </w:drawing>
            </w:r>
            <w:r>
              <w:rPr>
                <w:spacing w:val="-3"/>
              </w:rPr>
              <w:t>万元以下</w:t>
            </w:r>
            <w:r>
              <w:rPr>
                <w:spacing w:val="-4"/>
              </w:rPr>
              <w:t>的罚款。单位从事</w:t>
            </w:r>
            <w:r>
              <w:t xml:space="preserve"> </w:t>
            </w:r>
            <w:r>
              <w:rPr>
                <w:spacing w:val="3"/>
              </w:rPr>
              <w:t>内幕交易的，还应当对直接负责的主管人员和其他直接责任人员给</w:t>
            </w:r>
            <w:r>
              <w:rPr>
                <w:spacing w:val="15"/>
              </w:rPr>
              <w:t xml:space="preserve"> </w:t>
            </w:r>
            <w:r>
              <w:rPr>
                <w:spacing w:val="-3"/>
              </w:rPr>
              <w:t>予警告， 并处以</w:t>
            </w:r>
            <w:r>
              <w:rPr>
                <w:position w:val="24"/>
              </w:rPr>
              <w:drawing>
                <wp:inline distT="0" distB="0" distL="0" distR="0">
                  <wp:extent cx="3175" cy="5715"/>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75"/>
                          <a:stretch>
                            <a:fillRect/>
                          </a:stretch>
                        </pic:blipFill>
                        <pic:spPr>
                          <a:xfrm>
                            <a:off x="0" y="0"/>
                            <a:ext cx="3267" cy="6096"/>
                          </a:xfrm>
                          <a:prstGeom prst="rect">
                            <a:avLst/>
                          </a:prstGeom>
                        </pic:spPr>
                      </pic:pic>
                    </a:graphicData>
                  </a:graphic>
                </wp:inline>
              </w:drawing>
            </w:r>
            <w:r>
              <w:rPr>
                <w:position w:val="-6"/>
              </w:rPr>
              <w:drawing>
                <wp:inline distT="0" distB="0" distL="0" distR="0">
                  <wp:extent cx="3175" cy="1981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96"/>
                          <a:stretch>
                            <a:fillRect/>
                          </a:stretch>
                        </pic:blipFill>
                        <pic:spPr>
                          <a:xfrm>
                            <a:off x="0" y="0"/>
                            <a:ext cx="3267" cy="198120"/>
                          </a:xfrm>
                          <a:prstGeom prst="rect">
                            <a:avLst/>
                          </a:prstGeom>
                        </pic:spPr>
                      </pic:pic>
                    </a:graphicData>
                  </a:graphic>
                </wp:inline>
              </w:drawing>
            </w:r>
            <w:r>
              <w:rPr>
                <w:spacing w:val="-3"/>
                <w:shd w:val="clear" w:fill="D9D9D9"/>
              </w:rPr>
              <w:t>三</w:t>
            </w:r>
            <w:r>
              <w:rPr>
                <w:spacing w:val="-105"/>
              </w:rPr>
              <w:t xml:space="preserve"> </w:t>
            </w:r>
            <w:r>
              <w:rPr>
                <w:position w:val="24"/>
              </w:rPr>
              <w:drawing>
                <wp:inline distT="0" distB="0" distL="0" distR="0">
                  <wp:extent cx="3175" cy="5715"/>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75"/>
                          <a:stretch>
                            <a:fillRect/>
                          </a:stretch>
                        </pic:blipFill>
                        <pic:spPr>
                          <a:xfrm>
                            <a:off x="0" y="0"/>
                            <a:ext cx="3267" cy="6096"/>
                          </a:xfrm>
                          <a:prstGeom prst="rect">
                            <a:avLst/>
                          </a:prstGeom>
                        </pic:spPr>
                      </pic:pic>
                    </a:graphicData>
                  </a:graphic>
                </wp:inline>
              </w:drawing>
            </w:r>
            <w:r>
              <w:rPr>
                <w:position w:val="-6"/>
              </w:rPr>
              <w:drawing>
                <wp:inline distT="0" distB="0" distL="0" distR="0">
                  <wp:extent cx="3175" cy="1981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96"/>
                          <a:stretch>
                            <a:fillRect/>
                          </a:stretch>
                        </pic:blipFill>
                        <pic:spPr>
                          <a:xfrm>
                            <a:off x="0" y="0"/>
                            <a:ext cx="3267" cy="198120"/>
                          </a:xfrm>
                          <a:prstGeom prst="rect">
                            <a:avLst/>
                          </a:prstGeom>
                        </pic:spPr>
                      </pic:pic>
                    </a:graphicData>
                  </a:graphic>
                </wp:inline>
              </w:drawing>
            </w:r>
            <w:r>
              <w:rPr>
                <w:spacing w:val="-3"/>
              </w:rPr>
              <w:t>万元以上</w:t>
            </w:r>
            <w:r>
              <w:rPr>
                <w:spacing w:val="-116"/>
              </w:rPr>
              <w:t xml:space="preserve"> </w:t>
            </w:r>
            <w:r>
              <w:rPr>
                <w:position w:val="24"/>
              </w:rPr>
              <w:drawing>
                <wp:inline distT="0" distB="0" distL="0" distR="0">
                  <wp:extent cx="3175" cy="5715"/>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74"/>
                          <a:stretch>
                            <a:fillRect/>
                          </a:stretch>
                        </pic:blipFill>
                        <pic:spPr>
                          <a:xfrm>
                            <a:off x="0" y="0"/>
                            <a:ext cx="3267" cy="6096"/>
                          </a:xfrm>
                          <a:prstGeom prst="rect">
                            <a:avLst/>
                          </a:prstGeom>
                        </pic:spPr>
                      </pic:pic>
                    </a:graphicData>
                  </a:graphic>
                </wp:inline>
              </w:drawing>
            </w:r>
            <w:r>
              <w:rPr>
                <w:position w:val="-6"/>
              </w:rPr>
              <w:drawing>
                <wp:inline distT="0" distB="0" distL="0" distR="0">
                  <wp:extent cx="3175" cy="1981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76"/>
                          <a:stretch>
                            <a:fillRect/>
                          </a:stretch>
                        </pic:blipFill>
                        <pic:spPr>
                          <a:xfrm>
                            <a:off x="0" y="0"/>
                            <a:ext cx="3267" cy="198120"/>
                          </a:xfrm>
                          <a:prstGeom prst="rect">
                            <a:avLst/>
                          </a:prstGeom>
                        </pic:spPr>
                      </pic:pic>
                    </a:graphicData>
                  </a:graphic>
                </wp:inline>
              </w:drawing>
            </w:r>
            <w:r>
              <w:rPr>
                <w:spacing w:val="-3"/>
                <w:shd w:val="clear" w:fill="D9D9D9"/>
              </w:rPr>
              <w:t>三十</w:t>
            </w:r>
            <w:r>
              <w:rPr>
                <w:spacing w:val="-115"/>
                <w:shd w:val="clear" w:fill="D9D9D9"/>
              </w:rPr>
              <w:t xml:space="preserve"> </w:t>
            </w:r>
            <w:r>
              <w:rPr>
                <w:position w:val="24"/>
              </w:rPr>
              <w:drawing>
                <wp:inline distT="0" distB="0" distL="0" distR="0">
                  <wp:extent cx="3175" cy="5715"/>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74"/>
                          <a:stretch>
                            <a:fillRect/>
                          </a:stretch>
                        </pic:blipFill>
                        <pic:spPr>
                          <a:xfrm>
                            <a:off x="0" y="0"/>
                            <a:ext cx="3267" cy="6096"/>
                          </a:xfrm>
                          <a:prstGeom prst="rect">
                            <a:avLst/>
                          </a:prstGeom>
                        </pic:spPr>
                      </pic:pic>
                    </a:graphicData>
                  </a:graphic>
                </wp:inline>
              </w:drawing>
            </w:r>
            <w:r>
              <w:rPr>
                <w:position w:val="-6"/>
              </w:rPr>
              <w:drawing>
                <wp:inline distT="0" distB="0" distL="0" distR="0">
                  <wp:extent cx="3175" cy="1981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76"/>
                          <a:stretch>
                            <a:fillRect/>
                          </a:stretch>
                        </pic:blipFill>
                        <pic:spPr>
                          <a:xfrm>
                            <a:off x="0" y="0"/>
                            <a:ext cx="3267" cy="198120"/>
                          </a:xfrm>
                          <a:prstGeom prst="rect">
                            <a:avLst/>
                          </a:prstGeom>
                        </pic:spPr>
                      </pic:pic>
                    </a:graphicData>
                  </a:graphic>
                </wp:inline>
              </w:drawing>
            </w:r>
            <w:r>
              <w:rPr>
                <w:spacing w:val="-3"/>
              </w:rPr>
              <w:t>万元以下的罚款。证券监督管理机</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24" w:type="dxa"/>
            <w:gridSpan w:val="2"/>
            <w:tcBorders>
              <w:top w:val="nil"/>
              <w:right w:val="single" w:color="000000" w:sz="2" w:space="0"/>
            </w:tcBorders>
            <w:vAlign w:val="top"/>
          </w:tcPr>
          <w:p>
            <w:pPr>
              <w:pStyle w:val="8"/>
              <w:spacing w:before="41" w:line="215" w:lineRule="auto"/>
              <w:ind w:left="13"/>
            </w:pPr>
            <w:r>
              <w:rPr>
                <w:spacing w:val="-2"/>
              </w:rPr>
              <w:t>构工作人员</w:t>
            </w:r>
          </w:p>
        </w:tc>
        <w:tc>
          <w:tcPr>
            <w:tcW w:w="501" w:type="dxa"/>
            <w:tcBorders>
              <w:top w:val="single" w:color="000000" w:sz="2" w:space="0"/>
              <w:left w:val="single" w:color="000000" w:sz="2" w:space="0"/>
              <w:right w:val="single" w:color="000000" w:sz="2" w:space="0"/>
            </w:tcBorders>
            <w:vAlign w:val="top"/>
          </w:tcPr>
          <w:p>
            <w:pPr>
              <w:pStyle w:val="8"/>
              <w:spacing w:before="41" w:line="216" w:lineRule="auto"/>
              <w:ind w:left="4"/>
            </w:pPr>
            <w:r>
              <w:rPr>
                <w:spacing w:val="-3"/>
                <w:u w:val="single" w:color="auto"/>
                <w:shd w:val="clear" w:fill="D9D9D9"/>
              </w:rPr>
              <w:t>进行</w:t>
            </w:r>
          </w:p>
        </w:tc>
        <w:tc>
          <w:tcPr>
            <w:tcW w:w="5371" w:type="dxa"/>
            <w:gridSpan w:val="10"/>
            <w:tcBorders>
              <w:top w:val="nil"/>
              <w:left w:val="single" w:color="000000" w:sz="2" w:space="0"/>
            </w:tcBorders>
            <w:vAlign w:val="top"/>
          </w:tcPr>
          <w:p>
            <w:pPr>
              <w:pStyle w:val="8"/>
              <w:spacing w:before="41" w:line="216" w:lineRule="auto"/>
              <w:ind w:left="27"/>
            </w:pPr>
            <w:r>
              <w:rPr>
                <w:spacing w:val="-8"/>
              </w:rPr>
              <w:t>内幕交易的，从重处罚。</w:t>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4409" w:type="dxa"/>
            <w:gridSpan w:val="7"/>
            <w:tcBorders>
              <w:bottom w:val="nil"/>
              <w:right w:val="single" w:color="000000" w:sz="2" w:space="0"/>
            </w:tcBorders>
            <w:vAlign w:val="top"/>
          </w:tcPr>
          <w:p>
            <w:pPr>
              <w:pStyle w:val="8"/>
              <w:spacing w:before="36" w:line="211" w:lineRule="auto"/>
              <w:ind w:right="9"/>
              <w:jc w:val="right"/>
            </w:pPr>
            <w:r>
              <w:rPr>
                <w:rFonts w:ascii="黑体" w:hAnsi="黑体" w:eastAsia="黑体" w:cs="黑体"/>
                <w:spacing w:val="-5"/>
              </w:rPr>
              <w:t xml:space="preserve">第二百零三条  </w:t>
            </w:r>
            <w:r>
              <w:rPr>
                <w:spacing w:val="-5"/>
              </w:rPr>
              <w:t>违反本法规定， 操纵</w:t>
            </w:r>
          </w:p>
        </w:tc>
        <w:tc>
          <w:tcPr>
            <w:tcW w:w="494" w:type="dxa"/>
            <w:tcBorders>
              <w:left w:val="single" w:color="000000" w:sz="2" w:space="0"/>
              <w:bottom w:val="single" w:color="000000" w:sz="2" w:space="0"/>
              <w:right w:val="single" w:color="000000" w:sz="2" w:space="0"/>
            </w:tcBorders>
            <w:shd w:val="clear" w:color="auto" w:fill="D9D9D9"/>
            <w:vAlign w:val="top"/>
          </w:tcPr>
          <w:p>
            <w:pPr>
              <w:pStyle w:val="8"/>
              <w:spacing w:before="37" w:line="210" w:lineRule="auto"/>
              <w:ind w:left="14"/>
            </w:pPr>
            <w:r>
              <w:rPr>
                <w:spacing w:val="-5"/>
              </w:rPr>
              <w:t>证券</w:t>
            </w:r>
          </w:p>
        </w:tc>
        <w:tc>
          <w:tcPr>
            <w:tcW w:w="2193" w:type="dxa"/>
            <w:gridSpan w:val="5"/>
            <w:tcBorders>
              <w:left w:val="single" w:color="000000" w:sz="2" w:space="0"/>
              <w:bottom w:val="nil"/>
            </w:tcBorders>
            <w:vAlign w:val="top"/>
          </w:tcPr>
          <w:p>
            <w:pPr>
              <w:pStyle w:val="8"/>
              <w:spacing w:before="37" w:line="210" w:lineRule="auto"/>
              <w:jc w:val="right"/>
            </w:pPr>
            <w:r>
              <w:rPr>
                <w:spacing w:val="-12"/>
              </w:rPr>
              <w:t>市场的， 责令依法处</w:t>
            </w:r>
          </w:p>
        </w:tc>
        <w:tc>
          <w:tcPr>
            <w:tcW w:w="6811" w:type="dxa"/>
            <w:vMerge w:val="restart"/>
            <w:tcBorders>
              <w:bottom w:val="nil"/>
            </w:tcBorders>
            <w:vAlign w:val="top"/>
          </w:tcPr>
          <w:p>
            <w:pPr>
              <w:pStyle w:val="8"/>
              <w:spacing w:before="23" w:line="236" w:lineRule="auto"/>
              <w:ind w:left="14" w:right="4" w:firstLine="500"/>
              <w:jc w:val="both"/>
            </w:pPr>
            <w:r>
              <w:rPr>
                <w:rFonts w:ascii="黑体" w:hAnsi="黑体" w:eastAsia="黑体" w:cs="黑体"/>
                <w:spacing w:val="1"/>
              </w:rPr>
              <w:t xml:space="preserve">第一百九十二条  </w:t>
            </w:r>
            <w:r>
              <w:rPr>
                <w:spacing w:val="1"/>
              </w:rPr>
              <w:t>违反本法第</w:t>
            </w:r>
            <w:r>
              <w:rPr>
                <w:rFonts w:ascii="黑体" w:hAnsi="黑体" w:eastAsia="黑体" w:cs="黑体"/>
                <w:spacing w:val="1"/>
              </w:rPr>
              <w:t>五十五</w:t>
            </w:r>
            <w:r>
              <w:rPr>
                <w:spacing w:val="1"/>
              </w:rPr>
              <w:t>条的规定，操纵证券市</w:t>
            </w:r>
            <w:r>
              <w:rPr>
                <w:spacing w:val="6"/>
              </w:rPr>
              <w:t xml:space="preserve"> </w:t>
            </w:r>
            <w:r>
              <w:rPr>
                <w:spacing w:val="-2"/>
              </w:rPr>
              <w:t xml:space="preserve">场的，责令依法处理其非法持有的证券， </w:t>
            </w:r>
            <w:r>
              <w:rPr>
                <w:spacing w:val="-3"/>
              </w:rPr>
              <w:t>没收违法所得，并处以</w:t>
            </w:r>
            <w:r>
              <w:t xml:space="preserve"> </w:t>
            </w:r>
            <w:r>
              <w:rPr>
                <w:spacing w:val="2"/>
              </w:rPr>
              <w:t>违法所得一倍以上</w:t>
            </w:r>
            <w:r>
              <w:rPr>
                <w:rFonts w:ascii="黑体" w:hAnsi="黑体" w:eastAsia="黑体" w:cs="黑体"/>
                <w:spacing w:val="2"/>
              </w:rPr>
              <w:t>十</w:t>
            </w:r>
            <w:r>
              <w:rPr>
                <w:spacing w:val="2"/>
              </w:rPr>
              <w:t>倍以下的罚款；没有违法所得或者违法所得</w:t>
            </w:r>
            <w:r>
              <w:t xml:space="preserve"> </w:t>
            </w:r>
            <w:r>
              <w:rPr>
                <w:spacing w:val="-2"/>
              </w:rPr>
              <w:t>不足</w:t>
            </w:r>
            <w:r>
              <w:rPr>
                <w:rFonts w:ascii="黑体" w:hAnsi="黑体" w:eastAsia="黑体" w:cs="黑体"/>
                <w:spacing w:val="-2"/>
              </w:rPr>
              <w:t>一百</w:t>
            </w:r>
            <w:r>
              <w:rPr>
                <w:spacing w:val="-2"/>
              </w:rPr>
              <w:t>万元的， 处以</w:t>
            </w:r>
            <w:r>
              <w:rPr>
                <w:rFonts w:ascii="黑体" w:hAnsi="黑体" w:eastAsia="黑体" w:cs="黑体"/>
                <w:spacing w:val="-2"/>
              </w:rPr>
              <w:t>一百</w:t>
            </w:r>
            <w:r>
              <w:rPr>
                <w:spacing w:val="-2"/>
              </w:rPr>
              <w:t>万元以上</w:t>
            </w:r>
            <w:r>
              <w:rPr>
                <w:rFonts w:ascii="黑体" w:hAnsi="黑体" w:eastAsia="黑体" w:cs="黑体"/>
                <w:spacing w:val="-2"/>
              </w:rPr>
              <w:t>一千</w:t>
            </w:r>
            <w:r>
              <w:rPr>
                <w:spacing w:val="-2"/>
              </w:rPr>
              <w:t>万</w:t>
            </w:r>
            <w:r>
              <w:rPr>
                <w:spacing w:val="-3"/>
              </w:rPr>
              <w:t>元以下的罚款。单位</w:t>
            </w:r>
            <w:r>
              <w:t xml:space="preserve"> </w:t>
            </w:r>
            <w:r>
              <w:rPr>
                <w:spacing w:val="-2"/>
              </w:rPr>
              <w:t>操纵证券市场的， 还应当对直接负责的主</w:t>
            </w:r>
            <w:r>
              <w:rPr>
                <w:spacing w:val="-3"/>
              </w:rPr>
              <w:t>管人员和其他直接责任</w:t>
            </w:r>
            <w:r>
              <w:t xml:space="preserve"> </w:t>
            </w:r>
            <w:r>
              <w:rPr>
                <w:spacing w:val="-2"/>
              </w:rPr>
              <w:t>人员给予警告，并处以</w:t>
            </w:r>
            <w:r>
              <w:rPr>
                <w:rFonts w:ascii="黑体" w:hAnsi="黑体" w:eastAsia="黑体" w:cs="黑体"/>
                <w:spacing w:val="-2"/>
              </w:rPr>
              <w:t>五十</w:t>
            </w:r>
            <w:r>
              <w:rPr>
                <w:spacing w:val="-2"/>
              </w:rPr>
              <w:t>万元以上</w:t>
            </w:r>
            <w:r>
              <w:rPr>
                <w:rFonts w:ascii="黑体" w:hAnsi="黑体" w:eastAsia="黑体" w:cs="黑体"/>
                <w:spacing w:val="-2"/>
              </w:rPr>
              <w:t>五百</w:t>
            </w:r>
            <w:r>
              <w:rPr>
                <w:spacing w:val="-2"/>
              </w:rPr>
              <w:t>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6839" w:type="dxa"/>
            <w:gridSpan w:val="12"/>
            <w:tcBorders>
              <w:top w:val="nil"/>
              <w:bottom w:val="nil"/>
              <w:right w:val="single" w:color="000000" w:sz="2" w:space="0"/>
            </w:tcBorders>
            <w:vAlign w:val="top"/>
          </w:tcPr>
          <w:p>
            <w:pPr>
              <w:pStyle w:val="8"/>
              <w:spacing w:before="43" w:line="203" w:lineRule="auto"/>
              <w:ind w:left="16"/>
            </w:pPr>
            <w:r>
              <w:rPr>
                <w:spacing w:val="3"/>
              </w:rPr>
              <w:t>理其非法持有的证券，没收违法所得，并处以违法所得一倍以上</w:t>
            </w:r>
          </w:p>
        </w:tc>
        <w:tc>
          <w:tcPr>
            <w:tcW w:w="257" w:type="dxa"/>
            <w:tcBorders>
              <w:top w:val="single" w:color="000000" w:sz="2" w:space="0"/>
              <w:left w:val="single" w:color="000000" w:sz="2" w:space="0"/>
              <w:bottom w:val="single" w:color="000000" w:sz="2" w:space="0"/>
            </w:tcBorders>
            <w:shd w:val="clear" w:color="auto" w:fill="D9D9D9"/>
            <w:vAlign w:val="top"/>
          </w:tcPr>
          <w:p>
            <w:pPr>
              <w:pStyle w:val="8"/>
              <w:spacing w:before="78" w:line="176" w:lineRule="auto"/>
              <w:jc w:val="right"/>
            </w:pPr>
            <w:r>
              <w:rPr>
                <w:spacing w:val="-18"/>
              </w:rPr>
              <w:t>五</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136" w:type="dxa"/>
            <w:gridSpan w:val="9"/>
            <w:tcBorders>
              <w:top w:val="nil"/>
              <w:bottom w:val="nil"/>
              <w:right w:val="single" w:color="000000" w:sz="2" w:space="0"/>
            </w:tcBorders>
            <w:vAlign w:val="top"/>
          </w:tcPr>
          <w:p>
            <w:pPr>
              <w:pStyle w:val="8"/>
              <w:spacing w:before="51" w:line="198" w:lineRule="auto"/>
              <w:ind w:left="10"/>
            </w:pPr>
            <w:r>
              <w:rPr>
                <w:spacing w:val="-3"/>
              </w:rPr>
              <w:t>倍以下的罚款； 没有违法所得或者违法所得不足</w:t>
            </w:r>
          </w:p>
        </w:tc>
        <w:tc>
          <w:tcPr>
            <w:tcW w:w="497"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1" w:line="198" w:lineRule="auto"/>
              <w:jc w:val="right"/>
            </w:pPr>
            <w:r>
              <w:rPr>
                <w:spacing w:val="-7"/>
              </w:rPr>
              <w:t>三十</w:t>
            </w:r>
          </w:p>
        </w:tc>
        <w:tc>
          <w:tcPr>
            <w:tcW w:w="1463" w:type="dxa"/>
            <w:gridSpan w:val="2"/>
            <w:tcBorders>
              <w:top w:val="nil"/>
              <w:left w:val="single" w:color="000000" w:sz="2" w:space="0"/>
              <w:bottom w:val="nil"/>
            </w:tcBorders>
            <w:vAlign w:val="top"/>
          </w:tcPr>
          <w:p>
            <w:pPr>
              <w:pStyle w:val="8"/>
              <w:spacing w:before="51" w:line="198" w:lineRule="auto"/>
              <w:jc w:val="right"/>
            </w:pPr>
            <w:r>
              <w:rPr>
                <w:spacing w:val="-19"/>
              </w:rPr>
              <w:t>万元的， 处以</w:t>
            </w: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2" w:hRule="atLeast"/>
        </w:trPr>
        <w:tc>
          <w:tcPr>
            <w:tcW w:w="7096" w:type="dxa"/>
            <w:gridSpan w:val="13"/>
            <w:tcBorders>
              <w:top w:val="nil"/>
            </w:tcBorders>
            <w:vAlign w:val="top"/>
          </w:tcPr>
          <w:p>
            <w:pPr>
              <w:pStyle w:val="8"/>
              <w:spacing w:before="60" w:line="242" w:lineRule="auto"/>
              <w:ind w:left="18" w:firstLine="512"/>
              <w:jc w:val="both"/>
            </w:pPr>
            <w:r>
              <w:pict>
                <v:shape id="_x0000_s1133" o:spid="_x0000_s1133" o:spt="202" type="#_x0000_t202" style="position:absolute;left:0pt;margin-left:72.9pt;margin-top:0.15pt;height:18.15pt;width:15.1pt;z-index:251765760;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shd w:val="clear" w:fill="D9D9D9"/>
                          </w:rPr>
                          <w:drawing>
                            <wp:inline distT="0" distB="0" distL="0" distR="0">
                              <wp:extent cx="6350" cy="20447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80"/>
                                      <a:stretch>
                                        <a:fillRect/>
                                      </a:stretch>
                                    </pic:blipFill>
                                    <pic:spPr>
                                      <a:xfrm>
                                        <a:off x="0" y="0"/>
                                        <a:ext cx="6857" cy="204470"/>
                                      </a:xfrm>
                                      <a:prstGeom prst="rect">
                                        <a:avLst/>
                                      </a:prstGeom>
                                    </pic:spPr>
                                  </pic:pic>
                                </a:graphicData>
                              </a:graphic>
                            </wp:inline>
                          </w:drawing>
                        </w:r>
                        <w:r>
                          <w:rPr>
                            <w:shd w:val="clear" w:fill="D9D9D9"/>
                          </w:rPr>
                          <w:t>三</w:t>
                        </w:r>
                        <w:r>
                          <w:rPr>
                            <w:position w:val="-7"/>
                            <w:shd w:val="clear" w:fill="D9D9D9"/>
                          </w:rPr>
                          <w:drawing>
                            <wp:inline distT="0" distB="0" distL="0" distR="0">
                              <wp:extent cx="6350" cy="20447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80"/>
                                      <a:stretch>
                                        <a:fillRect/>
                                      </a:stretch>
                                    </pic:blipFill>
                                    <pic:spPr>
                                      <a:xfrm>
                                        <a:off x="0" y="0"/>
                                        <a:ext cx="6857" cy="204470"/>
                                      </a:xfrm>
                                      <a:prstGeom prst="rect">
                                        <a:avLst/>
                                      </a:prstGeom>
                                    </pic:spPr>
                                  </pic:pic>
                                </a:graphicData>
                              </a:graphic>
                            </wp:inline>
                          </w:drawing>
                        </w:r>
                      </w:p>
                    </w:txbxContent>
                  </v:textbox>
                </v:shape>
              </w:pict>
            </w:r>
            <w:r>
              <w:pict>
                <v:shape id="_x0000_s1134" o:spid="_x0000_s1134" o:spt="202" type="#_x0000_t202" style="position:absolute;left:0pt;margin-left:1pt;margin-top:0.15pt;height:19.15pt;width:25.4pt;z-index:251766784;mso-width-relative:page;mso-height-relative:page;" filled="f" stroked="f" coordsize="21600,21600">
                  <v:path/>
                  <v:fill on="f" focussize="0,0"/>
                  <v:stroke on="f"/>
                  <v:imagedata o:title=""/>
                  <o:lock v:ext="edit" aspectratio="f"/>
                  <v:textbox inset="0mm,0mm,0mm,0mm">
                    <w:txbxContent>
                      <w:p>
                        <w:pPr>
                          <w:pStyle w:val="8"/>
                          <w:spacing w:before="20"/>
                          <w:ind w:left="20"/>
                        </w:pPr>
                        <w:r>
                          <w:rPr>
                            <w:spacing w:val="-14"/>
                            <w:u w:val="single" w:color="auto"/>
                            <w:shd w:val="clear" w:fill="D9D9D9"/>
                          </w:rPr>
                          <w:t>三十</w:t>
                        </w:r>
                        <w:r>
                          <w:rPr>
                            <w:position w:val="-7"/>
                            <w:shd w:val="clear" w:fill="D9D9D9"/>
                          </w:rPr>
                          <w:drawing>
                            <wp:inline distT="0" distB="0" distL="0" distR="0">
                              <wp:extent cx="8890" cy="20447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77"/>
                                      <a:stretch>
                                        <a:fillRect/>
                                      </a:stretch>
                                    </pic:blipFill>
                                    <pic:spPr>
                                      <a:xfrm>
                                        <a:off x="0" y="0"/>
                                        <a:ext cx="9448" cy="204470"/>
                                      </a:xfrm>
                                      <a:prstGeom prst="rect">
                                        <a:avLst/>
                                      </a:prstGeom>
                                    </pic:spPr>
                                  </pic:pic>
                                </a:graphicData>
                              </a:graphic>
                            </wp:inline>
                          </w:drawing>
                        </w:r>
                      </w:p>
                    </w:txbxContent>
                  </v:textbox>
                </v:shape>
              </w:pict>
            </w:r>
            <w:r>
              <w:pict>
                <v:shape id="_x0000_s1135" o:spid="_x0000_s1135" o:spt="202" type="#_x0000_t202" style="position:absolute;left:0pt;margin-left:328.05pt;margin-top:16.25pt;height:18.6pt;width:15.1pt;z-index:2517678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6" w:type="dxa"/>
                              <w:vAlign w:val="top"/>
                            </w:tcPr>
                            <w:p>
                              <w:pPr>
                                <w:pStyle w:val="8"/>
                                <w:spacing w:before="41" w:line="207" w:lineRule="auto"/>
                                <w:jc w:val="right"/>
                              </w:pPr>
                              <w:r>
                                <w:rPr>
                                  <w:spacing w:val="-20"/>
                                  <w:shd w:val="clear" w:fill="D9D9D9"/>
                                </w:rPr>
                                <w:t>十</w:t>
                              </w:r>
                            </w:p>
                          </w:tc>
                        </w:tr>
                      </w:tbl>
                      <w:p>
                        <w:pPr>
                          <w:rPr>
                            <w:rFonts w:ascii="Arial"/>
                            <w:sz w:val="21"/>
                          </w:rPr>
                        </w:pPr>
                      </w:p>
                    </w:txbxContent>
                  </v:textbox>
                </v:shape>
              </w:pict>
            </w:r>
            <w:r>
              <w:pict>
                <v:shape id="_x0000_s1136" o:spid="_x0000_s1136" o:spt="202" type="#_x0000_t202" style="position:absolute;left:0pt;margin-left:35.2pt;margin-top:32.8pt;height:18.6pt;width:27pt;z-index:2517688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4" w:type="dxa"/>
                              <w:vAlign w:val="top"/>
                            </w:tcPr>
                            <w:p>
                              <w:pPr>
                                <w:pStyle w:val="8"/>
                                <w:spacing w:before="41" w:line="207" w:lineRule="auto"/>
                                <w:jc w:val="right"/>
                              </w:pPr>
                              <w:r>
                                <w:rPr>
                                  <w:spacing w:val="-10"/>
                                  <w:shd w:val="clear" w:fill="D9D9D9"/>
                                </w:rPr>
                                <w:t>六十</w:t>
                              </w:r>
                            </w:p>
                          </w:tc>
                        </w:tr>
                      </w:tbl>
                      <w:p>
                        <w:pPr>
                          <w:rPr>
                            <w:rFonts w:ascii="Arial"/>
                            <w:sz w:val="21"/>
                          </w:rPr>
                        </w:pPr>
                      </w:p>
                    </w:txbxContent>
                  </v:textbox>
                </v:shape>
              </w:pict>
            </w:r>
            <w:r>
              <w:rPr>
                <w:spacing w:val="-2"/>
              </w:rPr>
              <w:t>万元以上  百万元以下的罚款。单位操纵证券市场的， 还应当</w:t>
            </w:r>
            <w:r>
              <w:rPr>
                <w:spacing w:val="3"/>
              </w:rPr>
              <w:t xml:space="preserve"> 对直接负责的主管人员和其他直接责任人员给予警告，并处以  万</w:t>
            </w:r>
            <w:r>
              <w:rPr>
                <w:spacing w:val="11"/>
              </w:rPr>
              <w:t xml:space="preserve"> </w:t>
            </w:r>
            <w:r>
              <w:rPr>
                <w:spacing w:val="-8"/>
              </w:rPr>
              <w:t>元以上</w:t>
            </w:r>
            <w:r>
              <w:rPr>
                <w:spacing w:val="12"/>
              </w:rPr>
              <w:t xml:space="preserve">    </w:t>
            </w:r>
            <w:r>
              <w:rPr>
                <w:spacing w:val="-8"/>
              </w:rPr>
              <w:t>万元以下的罚款。</w:t>
            </w:r>
          </w:p>
        </w:tc>
        <w:tc>
          <w:tcPr>
            <w:tcW w:w="681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970" w:type="dxa"/>
            <w:gridSpan w:val="4"/>
            <w:vMerge w:val="restart"/>
            <w:tcBorders>
              <w:bottom w:val="nil"/>
              <w:right w:val="nil"/>
            </w:tcBorders>
            <w:vAlign w:val="top"/>
          </w:tcPr>
          <w:p>
            <w:pPr>
              <w:pStyle w:val="8"/>
              <w:spacing w:before="49" w:line="224" w:lineRule="auto"/>
              <w:ind w:left="16" w:right="4" w:firstLine="496"/>
            </w:pPr>
            <w:r>
              <w:rPr>
                <w:rFonts w:ascii="黑体" w:hAnsi="黑体" w:eastAsia="黑体" w:cs="黑体"/>
              </w:rPr>
              <w:t>第二百零六条</w:t>
            </w:r>
            <w:r>
              <w:rPr>
                <w:rFonts w:ascii="黑体" w:hAnsi="黑体" w:eastAsia="黑体" w:cs="黑体"/>
                <w:spacing w:val="4"/>
              </w:rPr>
              <w:t xml:space="preserve"> </w:t>
            </w:r>
            <w:r>
              <w:t>扰乱证券市场的，</w:t>
            </w:r>
          </w:p>
        </w:tc>
        <w:tc>
          <w:tcPr>
            <w:tcW w:w="1468" w:type="dxa"/>
            <w:tcBorders>
              <w:left w:val="nil"/>
              <w:bottom w:val="single" w:color="000000" w:sz="2" w:space="0"/>
              <w:right w:val="single" w:color="000000" w:sz="2" w:space="0"/>
            </w:tcBorders>
            <w:vAlign w:val="top"/>
          </w:tcPr>
          <w:p>
            <w:pPr>
              <w:pStyle w:val="8"/>
              <w:spacing w:before="50" w:line="190" w:lineRule="auto"/>
              <w:ind w:right="13"/>
              <w:jc w:val="right"/>
            </w:pPr>
            <w:r>
              <w:rPr>
                <w:spacing w:val="-1"/>
              </w:rPr>
              <w:t>违反本法第</w:t>
            </w:r>
          </w:p>
        </w:tc>
        <w:tc>
          <w:tcPr>
            <w:tcW w:w="252" w:type="dxa"/>
            <w:tcBorders>
              <w:left w:val="single" w:color="000000" w:sz="2" w:space="0"/>
              <w:bottom w:val="single" w:color="000000" w:sz="2" w:space="0"/>
              <w:right w:val="single" w:color="000000" w:sz="2" w:space="0"/>
            </w:tcBorders>
            <w:shd w:val="clear" w:color="auto" w:fill="D9D9D9"/>
            <w:vAlign w:val="top"/>
          </w:tcPr>
          <w:p>
            <w:pPr>
              <w:pStyle w:val="8"/>
              <w:spacing w:before="50" w:line="190" w:lineRule="auto"/>
              <w:jc w:val="right"/>
            </w:pPr>
            <w:r>
              <w:rPr>
                <w:spacing w:val="-16"/>
              </w:rPr>
              <w:t>七</w:t>
            </w:r>
          </w:p>
        </w:tc>
        <w:tc>
          <w:tcPr>
            <w:tcW w:w="1698" w:type="dxa"/>
            <w:gridSpan w:val="4"/>
            <w:tcBorders>
              <w:left w:val="single" w:color="000000" w:sz="2" w:space="0"/>
              <w:bottom w:val="single" w:color="000000" w:sz="2" w:space="0"/>
              <w:right w:val="nil"/>
            </w:tcBorders>
            <w:vAlign w:val="top"/>
          </w:tcPr>
          <w:p>
            <w:pPr>
              <w:pStyle w:val="8"/>
              <w:spacing w:before="50" w:line="190" w:lineRule="auto"/>
              <w:ind w:left="16"/>
            </w:pPr>
            <w:r>
              <w:rPr>
                <w:spacing w:val="-2"/>
              </w:rPr>
              <w:t>十八条第一款、</w:t>
            </w:r>
          </w:p>
        </w:tc>
        <w:tc>
          <w:tcPr>
            <w:tcW w:w="1708" w:type="dxa"/>
            <w:gridSpan w:val="3"/>
            <w:vMerge w:val="restart"/>
            <w:tcBorders>
              <w:left w:val="nil"/>
              <w:bottom w:val="nil"/>
            </w:tcBorders>
            <w:vAlign w:val="top"/>
          </w:tcPr>
          <w:p>
            <w:pPr>
              <w:pStyle w:val="8"/>
              <w:spacing w:before="49" w:line="224" w:lineRule="auto"/>
              <w:ind w:left="20" w:right="55" w:firstLine="6"/>
            </w:pPr>
            <w:r>
              <w:rPr>
                <w:spacing w:val="-9"/>
              </w:rPr>
              <w:t>第三款的规定，</w:t>
            </w:r>
            <w:r>
              <w:t xml:space="preserve"> </w:t>
            </w:r>
            <w:r>
              <w:rPr>
                <w:spacing w:val="-8"/>
              </w:rPr>
              <w:t>没收违法所得，</w:t>
            </w:r>
          </w:p>
        </w:tc>
        <w:tc>
          <w:tcPr>
            <w:tcW w:w="6811" w:type="dxa"/>
            <w:vMerge w:val="restart"/>
            <w:tcBorders>
              <w:bottom w:val="nil"/>
            </w:tcBorders>
            <w:vAlign w:val="top"/>
          </w:tcPr>
          <w:p>
            <w:pPr>
              <w:pStyle w:val="8"/>
              <w:spacing w:before="39" w:line="235" w:lineRule="auto"/>
              <w:ind w:left="18" w:right="3" w:firstLine="496"/>
              <w:jc w:val="both"/>
            </w:pPr>
            <w:r>
              <w:rPr>
                <w:rFonts w:ascii="黑体" w:hAnsi="黑体" w:eastAsia="黑体" w:cs="黑体"/>
                <w:spacing w:val="1"/>
              </w:rPr>
              <w:t xml:space="preserve">第一百九十三条  </w:t>
            </w:r>
            <w:r>
              <w:rPr>
                <w:spacing w:val="1"/>
              </w:rPr>
              <w:t>违反本法第</w:t>
            </w:r>
            <w:r>
              <w:rPr>
                <w:rFonts w:ascii="黑体" w:hAnsi="黑体" w:eastAsia="黑体" w:cs="黑体"/>
                <w:spacing w:val="1"/>
              </w:rPr>
              <w:t>五十六</w:t>
            </w:r>
            <w:r>
              <w:rPr>
                <w:spacing w:val="1"/>
              </w:rPr>
              <w:t>条第一款、第三款的规</w:t>
            </w:r>
            <w:r>
              <w:rPr>
                <w:spacing w:val="6"/>
              </w:rPr>
              <w:t xml:space="preserve"> </w:t>
            </w:r>
            <w:r>
              <w:rPr>
                <w:spacing w:val="-2"/>
              </w:rPr>
              <w:t>定，</w:t>
            </w:r>
            <w:r>
              <w:rPr>
                <w:spacing w:val="-27"/>
              </w:rPr>
              <w:t xml:space="preserve"> </w:t>
            </w:r>
            <w:r>
              <w:rPr>
                <w:rFonts w:ascii="黑体" w:hAnsi="黑体" w:eastAsia="黑体" w:cs="黑体"/>
                <w:spacing w:val="-2"/>
              </w:rPr>
              <w:t>编造、传播虚假信息或者误导性信息</w:t>
            </w:r>
            <w:r>
              <w:rPr>
                <w:spacing w:val="-2"/>
              </w:rPr>
              <w:t>，扰乱证券市场</w:t>
            </w:r>
            <w:r>
              <w:rPr>
                <w:spacing w:val="-3"/>
              </w:rPr>
              <w:t>的，没</w:t>
            </w:r>
            <w:r>
              <w:t xml:space="preserve"> </w:t>
            </w:r>
            <w:r>
              <w:rPr>
                <w:spacing w:val="-3"/>
              </w:rPr>
              <w:t>收违法所得， 并处以违法所得一倍以上</w:t>
            </w:r>
            <w:r>
              <w:rPr>
                <w:rFonts w:ascii="黑体" w:hAnsi="黑体" w:eastAsia="黑体" w:cs="黑体"/>
                <w:spacing w:val="-3"/>
              </w:rPr>
              <w:t>十</w:t>
            </w:r>
            <w:r>
              <w:rPr>
                <w:spacing w:val="-3"/>
              </w:rPr>
              <w:t>倍以下的罚款；没有违</w:t>
            </w:r>
            <w:r>
              <w:rPr>
                <w:spacing w:val="16"/>
              </w:rPr>
              <w:t xml:space="preserve"> </w:t>
            </w:r>
            <w:r>
              <w:rPr>
                <w:spacing w:val="-2"/>
              </w:rPr>
              <w:t>法所得或者违法所得不足</w:t>
            </w:r>
            <w:r>
              <w:rPr>
                <w:rFonts w:ascii="黑体" w:hAnsi="黑体" w:eastAsia="黑体" w:cs="黑体"/>
                <w:spacing w:val="-2"/>
              </w:rPr>
              <w:t>二十</w:t>
            </w:r>
            <w:r>
              <w:rPr>
                <w:spacing w:val="-2"/>
              </w:rPr>
              <w:t>万元的， 处</w:t>
            </w:r>
            <w:r>
              <w:rPr>
                <w:spacing w:val="-3"/>
              </w:rPr>
              <w:t>以</w:t>
            </w:r>
            <w:r>
              <w:rPr>
                <w:rFonts w:ascii="黑体" w:hAnsi="黑体" w:eastAsia="黑体" w:cs="黑体"/>
                <w:spacing w:val="-3"/>
              </w:rPr>
              <w:t>二十</w:t>
            </w:r>
            <w:r>
              <w:rPr>
                <w:spacing w:val="-3"/>
              </w:rPr>
              <w:t>万元以上</w:t>
            </w:r>
            <w:r>
              <w:rPr>
                <w:rFonts w:ascii="黑体" w:hAnsi="黑体" w:eastAsia="黑体" w:cs="黑体"/>
                <w:spacing w:val="-3"/>
              </w:rPr>
              <w:t>二百</w:t>
            </w:r>
            <w:r>
              <w:rPr>
                <w:spacing w:val="-3"/>
              </w:rPr>
              <w:t>万</w:t>
            </w:r>
            <w:r>
              <w:t xml:space="preserve"> </w:t>
            </w:r>
            <w:r>
              <w:rPr>
                <w:spacing w:val="-8"/>
              </w:rPr>
              <w:t>元以下的罚款。</w:t>
            </w:r>
          </w:p>
          <w:p>
            <w:pPr>
              <w:pStyle w:val="8"/>
              <w:spacing w:before="25" w:line="232" w:lineRule="auto"/>
              <w:ind w:left="12" w:right="3" w:firstLine="504"/>
              <w:jc w:val="both"/>
            </w:pPr>
            <w:r>
              <w:rPr>
                <w:spacing w:val="1"/>
              </w:rPr>
              <w:t>违反本法第</w:t>
            </w:r>
            <w:r>
              <w:rPr>
                <w:rFonts w:ascii="黑体" w:hAnsi="黑体" w:eastAsia="黑体" w:cs="黑体"/>
                <w:spacing w:val="1"/>
              </w:rPr>
              <w:t>五十六</w:t>
            </w:r>
            <w:r>
              <w:rPr>
                <w:spacing w:val="1"/>
              </w:rPr>
              <w:t>条第二款的规定，在证券交易活动中作出</w:t>
            </w:r>
            <w:r>
              <w:rPr>
                <w:spacing w:val="6"/>
              </w:rPr>
              <w:t xml:space="preserve"> </w:t>
            </w:r>
            <w:r>
              <w:rPr>
                <w:spacing w:val="-2"/>
              </w:rPr>
              <w:t>虚假陈述或者信息误导的， 责令改正，处以</w:t>
            </w:r>
            <w:r>
              <w:rPr>
                <w:rFonts w:ascii="黑体" w:hAnsi="黑体" w:eastAsia="黑体" w:cs="黑体"/>
                <w:spacing w:val="-2"/>
              </w:rPr>
              <w:t>二十</w:t>
            </w:r>
            <w:r>
              <w:rPr>
                <w:spacing w:val="-2"/>
              </w:rPr>
              <w:t>万元以</w:t>
            </w:r>
            <w:r>
              <w:rPr>
                <w:spacing w:val="-3"/>
              </w:rPr>
              <w:t>上</w:t>
            </w:r>
            <w:r>
              <w:rPr>
                <w:rFonts w:ascii="黑体" w:hAnsi="黑体" w:eastAsia="黑体" w:cs="黑体"/>
                <w:spacing w:val="-3"/>
              </w:rPr>
              <w:t>二百</w:t>
            </w:r>
            <w:r>
              <w:rPr>
                <w:spacing w:val="-3"/>
              </w:rPr>
              <w:t>万</w:t>
            </w:r>
            <w:r>
              <w:t xml:space="preserve"> </w:t>
            </w:r>
            <w:r>
              <w:rPr>
                <w:spacing w:val="-2"/>
              </w:rPr>
              <w:t>元以下的罚款；属于国家工作人员的，还应当依法给予处分。</w:t>
            </w:r>
          </w:p>
          <w:p>
            <w:pPr>
              <w:spacing w:before="30" w:line="210" w:lineRule="auto"/>
              <w:ind w:right="7"/>
              <w:jc w:val="right"/>
              <w:rPr>
                <w:rFonts w:ascii="黑体" w:hAnsi="黑体" w:eastAsia="黑体" w:cs="黑体"/>
                <w:sz w:val="24"/>
                <w:szCs w:val="24"/>
              </w:rPr>
            </w:pPr>
            <w:r>
              <w:rPr>
                <w:rFonts w:ascii="黑体" w:hAnsi="黑体" w:eastAsia="黑体" w:cs="黑体"/>
                <w:spacing w:val="1"/>
                <w:sz w:val="24"/>
                <w:szCs w:val="24"/>
              </w:rPr>
              <w:t>传播媒介及其从事证券市场信息报道的工作人员违反本法第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970" w:type="dxa"/>
            <w:gridSpan w:val="4"/>
            <w:vMerge w:val="continue"/>
            <w:tcBorders>
              <w:top w:val="nil"/>
              <w:bottom w:val="nil"/>
              <w:right w:val="nil"/>
            </w:tcBorders>
            <w:vAlign w:val="top"/>
          </w:tcPr>
          <w:p>
            <w:pPr>
              <w:rPr>
                <w:rFonts w:ascii="Arial"/>
                <w:sz w:val="21"/>
              </w:rPr>
            </w:pPr>
          </w:p>
        </w:tc>
        <w:tc>
          <w:tcPr>
            <w:tcW w:w="3418" w:type="dxa"/>
            <w:gridSpan w:val="6"/>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69" w:line="193" w:lineRule="auto"/>
              <w:ind w:left="37"/>
            </w:pPr>
            <w:r>
              <w:rPr>
                <w:spacing w:val="-2"/>
              </w:rPr>
              <w:t>由证券监督管理机构责令改正，</w:t>
            </w:r>
          </w:p>
        </w:tc>
        <w:tc>
          <w:tcPr>
            <w:tcW w:w="1708" w:type="dxa"/>
            <w:gridSpan w:val="3"/>
            <w:vMerge w:val="continue"/>
            <w:tcBorders>
              <w:top w:val="nil"/>
              <w:left w:val="nil"/>
              <w:bottom w:val="nil"/>
            </w:tcBorders>
            <w:vAlign w:val="top"/>
          </w:tcPr>
          <w:p>
            <w:pPr>
              <w:rPr>
                <w:rFonts w:ascii="Arial"/>
                <w:sz w:val="21"/>
              </w:rPr>
            </w:pPr>
          </w:p>
        </w:tc>
        <w:tc>
          <w:tcPr>
            <w:tcW w:w="681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4" w:hRule="atLeast"/>
        </w:trPr>
        <w:tc>
          <w:tcPr>
            <w:tcW w:w="7096" w:type="dxa"/>
            <w:gridSpan w:val="13"/>
            <w:tcBorders>
              <w:top w:val="nil"/>
            </w:tcBorders>
            <w:vAlign w:val="top"/>
          </w:tcPr>
          <w:p>
            <w:pPr>
              <w:pStyle w:val="8"/>
              <w:spacing w:before="66" w:line="215" w:lineRule="auto"/>
              <w:ind w:right="1"/>
              <w:jc w:val="right"/>
            </w:pPr>
            <w:r>
              <w:pict>
                <v:shape id="_x0000_s1137" o:spid="_x0000_s1137" o:spt="202" type="#_x0000_t202" style="position:absolute;left:0pt;margin-left:132.15pt;margin-top:0.4pt;height:34.7pt;width:16.05pt;z-index:2517647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75"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5" w:type="dxa"/>
                              <w:tcBorders>
                                <w:top w:val="nil"/>
                              </w:tcBorders>
                              <w:shd w:val="clear" w:color="auto" w:fill="D9D9D9"/>
                              <w:vAlign w:val="top"/>
                            </w:tcPr>
                            <w:p>
                              <w:pPr>
                                <w:pStyle w:val="8"/>
                                <w:spacing w:before="73" w:line="178" w:lineRule="auto"/>
                                <w:jc w:val="right"/>
                              </w:pPr>
                              <w:r>
                                <w:rPr>
                                  <w:spacing w:val="-18"/>
                                </w:rP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5" w:type="dxa"/>
                              <w:shd w:val="clear" w:color="auto" w:fill="D9D9D9"/>
                              <w:vAlign w:val="top"/>
                            </w:tcPr>
                            <w:p>
                              <w:pPr>
                                <w:pStyle w:val="8"/>
                                <w:spacing w:before="48" w:line="207" w:lineRule="auto"/>
                                <w:jc w:val="right"/>
                              </w:pPr>
                              <w:r>
                                <w:rPr>
                                  <w:spacing w:val="-28"/>
                                </w:rPr>
                                <w:t>三</w:t>
                              </w:r>
                            </w:p>
                          </w:tc>
                        </w:tr>
                      </w:tbl>
                      <w:p>
                        <w:pPr>
                          <w:rPr>
                            <w:rFonts w:ascii="Arial"/>
                            <w:sz w:val="21"/>
                          </w:rPr>
                        </w:pPr>
                      </w:p>
                    </w:txbxContent>
                  </v:textbox>
                </v:shape>
              </w:pict>
            </w:r>
            <w:r>
              <w:rPr>
                <w:spacing w:val="-1"/>
              </w:rPr>
              <w:t>并处以违法所得一倍以上  倍以下的罚款； 没有违法所得或者违法</w:t>
            </w:r>
          </w:p>
          <w:p>
            <w:pPr>
              <w:pStyle w:val="8"/>
              <w:spacing w:before="51" w:line="217" w:lineRule="auto"/>
              <w:ind w:left="14"/>
            </w:pPr>
            <w:r>
              <w:pict>
                <v:shape id="_x0000_s1138" o:spid="_x0000_s1138" o:spt="202" type="#_x0000_t202" style="position:absolute;left:0pt;margin-left:47.2pt;margin-top:-0.7pt;height:18.6pt;width:15pt;z-index:2517626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4" w:type="dxa"/>
                              <w:vAlign w:val="top"/>
                            </w:tcPr>
                            <w:p>
                              <w:pPr>
                                <w:pStyle w:val="8"/>
                                <w:spacing w:before="41" w:line="207" w:lineRule="auto"/>
                                <w:jc w:val="right"/>
                              </w:pPr>
                              <w:r>
                                <w:rPr>
                                  <w:spacing w:val="-28"/>
                                  <w:shd w:val="clear" w:fill="D9D9D9"/>
                                </w:rPr>
                                <w:t>三</w:t>
                              </w:r>
                            </w:p>
                          </w:tc>
                        </w:tr>
                      </w:tbl>
                      <w:p>
                        <w:pPr>
                          <w:rPr>
                            <w:rFonts w:ascii="Arial"/>
                            <w:sz w:val="21"/>
                          </w:rPr>
                        </w:pPr>
                      </w:p>
                    </w:txbxContent>
                  </v:textbox>
                </v:shape>
              </w:pict>
            </w:r>
            <w:r>
              <w:pict>
                <v:shape id="_x0000_s1139" o:spid="_x0000_s1139" o:spt="202" type="#_x0000_t202" style="position:absolute;left:0pt;margin-left:193.15pt;margin-top:-0.7pt;height:18.6pt;width:27pt;z-index:2517637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4" w:type="dxa"/>
                              <w:vAlign w:val="top"/>
                            </w:tcPr>
                            <w:p>
                              <w:pPr>
                                <w:pStyle w:val="8"/>
                                <w:spacing w:before="41" w:line="207" w:lineRule="auto"/>
                                <w:jc w:val="right"/>
                              </w:pPr>
                              <w:r>
                                <w:rPr>
                                  <w:spacing w:val="-12"/>
                                  <w:shd w:val="clear" w:fill="D9D9D9"/>
                                </w:rPr>
                                <w:t>二十</w:t>
                              </w:r>
                            </w:p>
                          </w:tc>
                        </w:tr>
                      </w:tbl>
                      <w:p>
                        <w:pPr>
                          <w:rPr>
                            <w:rFonts w:ascii="Arial"/>
                            <w:sz w:val="21"/>
                          </w:rPr>
                        </w:pPr>
                      </w:p>
                    </w:txbxContent>
                  </v:textbox>
                </v:shape>
              </w:pict>
            </w:r>
            <w:r>
              <w:rPr>
                <w:spacing w:val="-3"/>
              </w:rPr>
              <w:t>所得不足  万元的，处以</w:t>
            </w:r>
            <w:r>
              <w:rPr>
                <w:spacing w:val="21"/>
              </w:rPr>
              <w:t xml:space="preserve">  </w:t>
            </w:r>
            <w:r>
              <w:rPr>
                <w:spacing w:val="-3"/>
              </w:rPr>
              <w:t>万元以上</w:t>
            </w:r>
            <w:r>
              <w:rPr>
                <w:spacing w:val="10"/>
              </w:rPr>
              <w:t xml:space="preserve">    </w:t>
            </w:r>
            <w:r>
              <w:rPr>
                <w:spacing w:val="-3"/>
              </w:rPr>
              <w:t>万元以</w:t>
            </w:r>
            <w:r>
              <w:rPr>
                <w:spacing w:val="-4"/>
              </w:rPr>
              <w:t>下的罚款。</w:t>
            </w:r>
          </w:p>
          <w:p>
            <w:pPr>
              <w:pStyle w:val="8"/>
              <w:spacing w:before="45" w:line="244" w:lineRule="auto"/>
              <w:ind w:left="18" w:firstLine="494"/>
              <w:jc w:val="both"/>
            </w:pPr>
            <w:r>
              <w:pict>
                <v:shape id="_x0000_s1140" o:spid="_x0000_s1140" o:spt="202" type="#_x0000_t202" style="position:absolute;left:0pt;margin-left:169.95pt;margin-top:-0.95pt;height:18.6pt;width:15.15pt;z-index:2517616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7"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7" w:type="dxa"/>
                              <w:vAlign w:val="top"/>
                            </w:tcPr>
                            <w:p>
                              <w:pPr>
                                <w:pStyle w:val="8"/>
                                <w:spacing w:before="41" w:line="207" w:lineRule="auto"/>
                                <w:jc w:val="right"/>
                              </w:pPr>
                              <w:r>
                                <w:rPr>
                                  <w:spacing w:val="-16"/>
                                  <w:shd w:val="clear" w:fill="D9D9D9"/>
                                </w:rPr>
                                <w:t>七</w:t>
                              </w:r>
                            </w:p>
                          </w:tc>
                        </w:tr>
                      </w:tbl>
                      <w:p>
                        <w:pPr>
                          <w:rPr>
                            <w:rFonts w:ascii="Arial"/>
                            <w:sz w:val="21"/>
                          </w:rPr>
                        </w:pPr>
                      </w:p>
                    </w:txbxContent>
                  </v:textbox>
                </v:shape>
              </w:pict>
            </w:r>
            <w:r>
              <w:pict>
                <v:shape id="_x0000_s1141" o:spid="_x0000_s1141" o:spt="202" type="#_x0000_t202" style="position:absolute;left:0pt;margin-left:303.7pt;margin-top:15.55pt;height:18.6pt;width:15.1pt;z-index:2517606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6" w:type="dxa"/>
                              <w:vAlign w:val="top"/>
                            </w:tcPr>
                            <w:p>
                              <w:pPr>
                                <w:pStyle w:val="8"/>
                                <w:spacing w:before="41" w:line="207" w:lineRule="auto"/>
                                <w:jc w:val="right"/>
                              </w:pPr>
                              <w:r>
                                <w:rPr>
                                  <w:spacing w:val="-28"/>
                                  <w:shd w:val="clear" w:fill="D9D9D9"/>
                                </w:rPr>
                                <w:t>三</w:t>
                              </w:r>
                            </w:p>
                          </w:tc>
                        </w:tr>
                      </w:tbl>
                      <w:p>
                        <w:pPr>
                          <w:rPr>
                            <w:rFonts w:ascii="Arial"/>
                            <w:sz w:val="21"/>
                          </w:rPr>
                        </w:pPr>
                      </w:p>
                    </w:txbxContent>
                  </v:textbox>
                </v:shape>
              </w:pict>
            </w:r>
            <w:r>
              <w:pict>
                <v:shape id="_x0000_s1142" o:spid="_x0000_s1142" o:spt="202" type="#_x0000_t202" style="position:absolute;left:0pt;margin-left:11.35pt;margin-top:32.1pt;height:18.6pt;width:27.35pt;z-index:25175961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50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01" w:type="dxa"/>
                              <w:vAlign w:val="top"/>
                            </w:tcPr>
                            <w:p>
                              <w:pPr>
                                <w:pStyle w:val="8"/>
                                <w:spacing w:before="41" w:line="207" w:lineRule="auto"/>
                                <w:jc w:val="right"/>
                              </w:pPr>
                              <w:r>
                                <w:rPr>
                                  <w:spacing w:val="-6"/>
                                  <w:shd w:val="clear" w:fill="D9D9D9"/>
                                </w:rPr>
                                <w:t>二十</w:t>
                              </w:r>
                            </w:p>
                          </w:tc>
                        </w:tr>
                      </w:tbl>
                      <w:p>
                        <w:pPr>
                          <w:rPr>
                            <w:rFonts w:ascii="Arial"/>
                            <w:sz w:val="21"/>
                          </w:rPr>
                        </w:pPr>
                      </w:p>
                    </w:txbxContent>
                  </v:textbox>
                </v:shape>
              </w:pict>
            </w:r>
            <w:r>
              <w:rPr>
                <w:rFonts w:ascii="黑体" w:hAnsi="黑体" w:eastAsia="黑体" w:cs="黑体"/>
                <w:spacing w:val="1"/>
              </w:rPr>
              <w:t xml:space="preserve">第二百零七条  </w:t>
            </w:r>
            <w:r>
              <w:rPr>
                <w:spacing w:val="1"/>
              </w:rPr>
              <w:t>违反本法第</w:t>
            </w:r>
            <w:r>
              <w:rPr>
                <w:spacing w:val="29"/>
              </w:rPr>
              <w:t xml:space="preserve">  </w:t>
            </w:r>
            <w:r>
              <w:rPr>
                <w:spacing w:val="1"/>
              </w:rPr>
              <w:t>十八条第二款的规定，在证券交</w:t>
            </w:r>
            <w:r>
              <w:t xml:space="preserve"> </w:t>
            </w:r>
            <w:r>
              <w:rPr>
                <w:spacing w:val="3"/>
              </w:rPr>
              <w:t>易活动中作出虚假陈述或者信息误导的，责令改正，处以  万元以</w:t>
            </w:r>
            <w:r>
              <w:rPr>
                <w:spacing w:val="10"/>
              </w:rPr>
              <w:t xml:space="preserve"> </w:t>
            </w:r>
            <w:r>
              <w:rPr>
                <w:spacing w:val="3"/>
              </w:rPr>
              <w:t>上    万元以下的罚款；属于国家工作人员的，还应当依法给予行</w:t>
            </w:r>
            <w:r>
              <w:rPr>
                <w:spacing w:val="7"/>
              </w:rPr>
              <w:t xml:space="preserve"> </w:t>
            </w:r>
            <w:r>
              <w:rPr>
                <w:spacing w:val="-12"/>
              </w:rPr>
              <w:t>政处分。</w:t>
            </w:r>
          </w:p>
        </w:tc>
        <w:tc>
          <w:tcPr>
            <w:tcW w:w="6811" w:type="dxa"/>
            <w:vMerge w:val="continue"/>
            <w:tcBorders>
              <w:top w:val="nil"/>
            </w:tcBorders>
            <w:vAlign w:val="top"/>
          </w:tcPr>
          <w:p>
            <w:pPr>
              <w:rPr>
                <w:rFonts w:ascii="Arial"/>
                <w:sz w:val="21"/>
              </w:rPr>
            </w:pPr>
          </w:p>
        </w:tc>
      </w:tr>
    </w:tbl>
    <w:p>
      <w:pPr>
        <w:spacing w:line="199" w:lineRule="exact"/>
        <w:rPr>
          <w:rFonts w:ascii="Arial"/>
          <w:sz w:val="17"/>
        </w:rPr>
      </w:pPr>
    </w:p>
    <w:p>
      <w:pPr>
        <w:spacing w:line="199" w:lineRule="exact"/>
        <w:rPr>
          <w:rFonts w:ascii="Arial" w:hAnsi="Arial" w:eastAsia="Arial" w:cs="Arial"/>
          <w:sz w:val="17"/>
          <w:szCs w:val="17"/>
        </w:rPr>
        <w:sectPr>
          <w:footerReference r:id="rId56"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3"/>
        <w:gridCol w:w="470"/>
        <w:gridCol w:w="1679"/>
        <w:gridCol w:w="273"/>
        <w:gridCol w:w="250"/>
        <w:gridCol w:w="727"/>
        <w:gridCol w:w="1869"/>
        <w:gridCol w:w="1304"/>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3" w:hRule="atLeast"/>
        </w:trPr>
        <w:tc>
          <w:tcPr>
            <w:tcW w:w="7095" w:type="dxa"/>
            <w:gridSpan w:val="8"/>
            <w:vAlign w:val="top"/>
          </w:tcPr>
          <w:p>
            <w:pPr>
              <w:rPr>
                <w:rFonts w:ascii="Arial"/>
                <w:sz w:val="21"/>
              </w:rPr>
            </w:pPr>
          </w:p>
        </w:tc>
        <w:tc>
          <w:tcPr>
            <w:tcW w:w="6812" w:type="dxa"/>
            <w:vAlign w:val="top"/>
          </w:tcPr>
          <w:p>
            <w:pPr>
              <w:spacing w:before="42" w:line="226" w:lineRule="auto"/>
              <w:ind w:left="24" w:right="4" w:hanging="1"/>
              <w:rPr>
                <w:rFonts w:ascii="黑体" w:hAnsi="黑体" w:eastAsia="黑体" w:cs="黑体"/>
                <w:sz w:val="24"/>
                <w:szCs w:val="24"/>
              </w:rPr>
            </w:pPr>
            <w:r>
              <w:rPr>
                <w:rFonts w:ascii="黑体" w:hAnsi="黑体" w:eastAsia="黑体" w:cs="黑体"/>
                <w:spacing w:val="-3"/>
                <w:sz w:val="24"/>
                <w:szCs w:val="24"/>
              </w:rPr>
              <w:t>五十六条第三款的规定， 从事与其工作职责发生利益冲突的证券</w:t>
            </w:r>
            <w:r>
              <w:rPr>
                <w:rFonts w:ascii="黑体" w:hAnsi="黑体" w:eastAsia="黑体" w:cs="黑体"/>
                <w:spacing w:val="14"/>
                <w:sz w:val="24"/>
                <w:szCs w:val="24"/>
              </w:rPr>
              <w:t xml:space="preserve"> </w:t>
            </w:r>
            <w:r>
              <w:rPr>
                <w:rFonts w:ascii="黑体" w:hAnsi="黑体" w:eastAsia="黑体" w:cs="黑体"/>
                <w:spacing w:val="-2"/>
                <w:sz w:val="24"/>
                <w:szCs w:val="24"/>
              </w:rPr>
              <w:t>买卖的，没收违法所得，并处以买卖证券等值以下的罚款。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195" w:type="dxa"/>
            <w:gridSpan w:val="5"/>
            <w:tcBorders>
              <w:bottom w:val="single" w:color="000000" w:sz="2" w:space="0"/>
              <w:right w:val="single" w:color="000000" w:sz="2" w:space="0"/>
            </w:tcBorders>
            <w:vAlign w:val="top"/>
          </w:tcPr>
          <w:p>
            <w:pPr>
              <w:pStyle w:val="8"/>
              <w:spacing w:before="35" w:line="202" w:lineRule="auto"/>
              <w:ind w:right="10"/>
              <w:jc w:val="right"/>
            </w:pPr>
            <w:r>
              <w:rPr>
                <w:rFonts w:ascii="黑体" w:hAnsi="黑体" w:eastAsia="黑体" w:cs="黑体"/>
                <w:spacing w:val="1"/>
              </w:rPr>
              <w:t xml:space="preserve">第二百一十条  </w:t>
            </w:r>
            <w:r>
              <w:rPr>
                <w:spacing w:val="1"/>
              </w:rPr>
              <w:t>证券公司</w:t>
            </w:r>
          </w:p>
        </w:tc>
        <w:tc>
          <w:tcPr>
            <w:tcW w:w="3900" w:type="dxa"/>
            <w:gridSpan w:val="3"/>
            <w:tcBorders>
              <w:left w:val="single" w:color="000000" w:sz="2" w:space="0"/>
              <w:bottom w:val="single" w:color="000000" w:sz="2" w:space="0"/>
            </w:tcBorders>
            <w:shd w:val="clear" w:color="auto" w:fill="D9D9D9"/>
            <w:vAlign w:val="top"/>
          </w:tcPr>
          <w:p>
            <w:pPr>
              <w:pStyle w:val="8"/>
              <w:spacing w:before="35" w:line="202" w:lineRule="auto"/>
              <w:ind w:left="9"/>
            </w:pPr>
            <w:r>
              <w:rPr>
                <w:spacing w:val="1"/>
              </w:rPr>
              <w:t>违背客户的委托买卖证券、办理交易</w:t>
            </w:r>
          </w:p>
        </w:tc>
        <w:tc>
          <w:tcPr>
            <w:tcW w:w="6812" w:type="dxa"/>
            <w:vMerge w:val="restart"/>
            <w:tcBorders>
              <w:bottom w:val="nil"/>
            </w:tcBorders>
            <w:vAlign w:val="top"/>
          </w:tcPr>
          <w:p>
            <w:pPr>
              <w:pStyle w:val="8"/>
              <w:spacing w:before="24" w:line="234" w:lineRule="auto"/>
              <w:ind w:left="17" w:right="2" w:firstLine="498"/>
              <w:jc w:val="both"/>
            </w:pPr>
            <w:r>
              <w:rPr>
                <w:rFonts w:ascii="黑体" w:hAnsi="黑体" w:eastAsia="黑体" w:cs="黑体"/>
                <w:spacing w:val="1"/>
              </w:rPr>
              <w:t xml:space="preserve">第一百九十四条  </w:t>
            </w:r>
            <w:r>
              <w:rPr>
                <w:spacing w:val="1"/>
              </w:rPr>
              <w:t>证券公司</w:t>
            </w:r>
            <w:r>
              <w:rPr>
                <w:rFonts w:ascii="黑体" w:hAnsi="黑体" w:eastAsia="黑体" w:cs="黑体"/>
                <w:spacing w:val="1"/>
              </w:rPr>
              <w:t>及其从业人员违反本法第五十七</w:t>
            </w:r>
            <w:r>
              <w:rPr>
                <w:rFonts w:ascii="黑体" w:hAnsi="黑体" w:eastAsia="黑体" w:cs="黑体"/>
                <w:spacing w:val="8"/>
              </w:rPr>
              <w:t xml:space="preserve"> </w:t>
            </w:r>
            <w:r>
              <w:rPr>
                <w:rFonts w:ascii="黑体" w:hAnsi="黑体" w:eastAsia="黑体" w:cs="黑体"/>
                <w:spacing w:val="11"/>
              </w:rPr>
              <w:t>条的规定，有损害客户利益的行为的，给予警告，没收违</w:t>
            </w:r>
            <w:r>
              <w:rPr>
                <w:rFonts w:ascii="黑体" w:hAnsi="黑体" w:eastAsia="黑体" w:cs="黑体"/>
                <w:spacing w:val="10"/>
              </w:rPr>
              <w:t>法所</w:t>
            </w:r>
            <w:r>
              <w:rPr>
                <w:rFonts w:ascii="黑体" w:hAnsi="黑体" w:eastAsia="黑体" w:cs="黑体"/>
              </w:rPr>
              <w:t xml:space="preserve"> </w:t>
            </w:r>
            <w:r>
              <w:rPr>
                <w:rFonts w:ascii="黑体" w:hAnsi="黑体" w:eastAsia="黑体" w:cs="黑体"/>
                <w:spacing w:val="-2"/>
              </w:rPr>
              <w:t>得，</w:t>
            </w:r>
            <w:r>
              <w:rPr>
                <w:rFonts w:ascii="黑体" w:hAnsi="黑体" w:eastAsia="黑体" w:cs="黑体"/>
                <w:spacing w:val="-14"/>
              </w:rPr>
              <w:t xml:space="preserve"> </w:t>
            </w:r>
            <w:r>
              <w:rPr>
                <w:rFonts w:ascii="黑体" w:hAnsi="黑体" w:eastAsia="黑体" w:cs="黑体"/>
                <w:spacing w:val="-2"/>
              </w:rPr>
              <w:t>并处以违法所得一倍以上十倍以下的罚款；没有违法所得或</w:t>
            </w:r>
            <w:r>
              <w:rPr>
                <w:rFonts w:ascii="黑体" w:hAnsi="黑体" w:eastAsia="黑体" w:cs="黑体"/>
              </w:rPr>
              <w:t xml:space="preserve"> </w:t>
            </w:r>
            <w:r>
              <w:rPr>
                <w:rFonts w:ascii="黑体" w:hAnsi="黑体" w:eastAsia="黑体" w:cs="黑体"/>
                <w:spacing w:val="11"/>
              </w:rPr>
              <w:t>者违法所得不足十万元的，处以十万元以上一百万元以下</w:t>
            </w:r>
            <w:r>
              <w:rPr>
                <w:rFonts w:ascii="黑体" w:hAnsi="黑体" w:eastAsia="黑体" w:cs="黑体"/>
                <w:spacing w:val="10"/>
              </w:rPr>
              <w:t>的罚</w:t>
            </w:r>
            <w:r>
              <w:rPr>
                <w:rFonts w:ascii="黑体" w:hAnsi="黑体" w:eastAsia="黑体" w:cs="黑体"/>
              </w:rPr>
              <w:t xml:space="preserve"> </w:t>
            </w:r>
            <w:r>
              <w:rPr>
                <w:rFonts w:ascii="黑体" w:hAnsi="黑体" w:eastAsia="黑体" w:cs="黑体"/>
                <w:spacing w:val="-1"/>
              </w:rPr>
              <w:t>款；情节严重的，暂停或者撤销相关业务许可</w:t>
            </w:r>
            <w:r>
              <w:rPr>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095" w:type="dxa"/>
            <w:gridSpan w:val="8"/>
            <w:tcBorders>
              <w:top w:val="single" w:color="000000" w:sz="2" w:space="0"/>
              <w:bottom w:val="single" w:color="000000" w:sz="2" w:space="0"/>
            </w:tcBorders>
            <w:shd w:val="clear" w:color="auto" w:fill="D9D9D9"/>
            <w:vAlign w:val="top"/>
          </w:tcPr>
          <w:p>
            <w:pPr>
              <w:pStyle w:val="8"/>
              <w:spacing w:before="54" w:line="203" w:lineRule="auto"/>
              <w:ind w:left="30"/>
            </w:pPr>
            <w:r>
              <w:rPr>
                <w:spacing w:val="1"/>
              </w:rPr>
              <w:t>事项，或者违背客户真实意思表示，办理交易以外的其他事项的，</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5" w:type="dxa"/>
            <w:gridSpan w:val="8"/>
            <w:tcBorders>
              <w:top w:val="single" w:color="000000" w:sz="2" w:space="0"/>
              <w:bottom w:val="single" w:color="000000" w:sz="2" w:space="0"/>
            </w:tcBorders>
            <w:shd w:val="clear" w:color="auto" w:fill="D9D9D9"/>
            <w:vAlign w:val="top"/>
          </w:tcPr>
          <w:p>
            <w:pPr>
              <w:pStyle w:val="8"/>
              <w:spacing w:before="53" w:line="203" w:lineRule="auto"/>
              <w:ind w:left="30"/>
            </w:pPr>
            <w:r>
              <w:rPr>
                <w:spacing w:val="11"/>
              </w:rPr>
              <w:t>责令改正，处以一万元以上十万元以下的罚款。给客户造成损失</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672" w:type="dxa"/>
            <w:gridSpan w:val="3"/>
            <w:tcBorders>
              <w:top w:val="single" w:color="000000" w:sz="2" w:space="0"/>
              <w:bottom w:val="single" w:color="000000" w:sz="2" w:space="0"/>
              <w:right w:val="single" w:color="000000" w:sz="2" w:space="0"/>
            </w:tcBorders>
            <w:shd w:val="clear" w:color="auto" w:fill="D9D9D9"/>
            <w:vAlign w:val="top"/>
          </w:tcPr>
          <w:p>
            <w:pPr>
              <w:pStyle w:val="8"/>
              <w:spacing w:before="51" w:line="197" w:lineRule="auto"/>
              <w:ind w:left="43"/>
            </w:pPr>
            <w:r>
              <w:rPr>
                <w:spacing w:val="-7"/>
              </w:rPr>
              <w:t>的，依法承担赔偿责任。</w:t>
            </w:r>
          </w:p>
        </w:tc>
        <w:tc>
          <w:tcPr>
            <w:tcW w:w="4423" w:type="dxa"/>
            <w:gridSpan w:val="5"/>
            <w:vMerge w:val="restart"/>
            <w:tcBorders>
              <w:top w:val="single" w:color="000000" w:sz="2" w:space="0"/>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7" w:hRule="atLeast"/>
        </w:trPr>
        <w:tc>
          <w:tcPr>
            <w:tcW w:w="2672" w:type="dxa"/>
            <w:gridSpan w:val="3"/>
            <w:tcBorders>
              <w:top w:val="single" w:color="000000" w:sz="2" w:space="0"/>
              <w:right w:val="nil"/>
            </w:tcBorders>
            <w:vAlign w:val="top"/>
          </w:tcPr>
          <w:p>
            <w:pPr>
              <w:rPr>
                <w:rFonts w:ascii="Arial"/>
                <w:sz w:val="21"/>
              </w:rPr>
            </w:pPr>
          </w:p>
        </w:tc>
        <w:tc>
          <w:tcPr>
            <w:tcW w:w="4423" w:type="dxa"/>
            <w:gridSpan w:val="5"/>
            <w:vMerge w:val="continue"/>
            <w:tcBorders>
              <w:top w:val="nil"/>
              <w:left w:val="nil"/>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3922" w:type="dxa"/>
            <w:gridSpan w:val="6"/>
            <w:tcBorders>
              <w:bottom w:val="single" w:color="000000" w:sz="2" w:space="0"/>
              <w:right w:val="single" w:color="000000" w:sz="2" w:space="0"/>
            </w:tcBorders>
            <w:vAlign w:val="top"/>
          </w:tcPr>
          <w:p>
            <w:pPr>
              <w:pStyle w:val="8"/>
              <w:spacing w:before="38" w:line="213" w:lineRule="auto"/>
              <w:ind w:left="513"/>
            </w:pPr>
            <w:r>
              <w:rPr>
                <w:rFonts w:ascii="黑体" w:hAnsi="黑体" w:eastAsia="黑体" w:cs="黑体"/>
                <w:spacing w:val="-1"/>
              </w:rPr>
              <w:t xml:space="preserve">第二百零八条  </w:t>
            </w:r>
            <w:r>
              <w:rPr>
                <w:spacing w:val="-1"/>
              </w:rPr>
              <w:t>违反本法规定，</w:t>
            </w:r>
          </w:p>
        </w:tc>
        <w:tc>
          <w:tcPr>
            <w:tcW w:w="3173" w:type="dxa"/>
            <w:gridSpan w:val="2"/>
            <w:tcBorders>
              <w:left w:val="single" w:color="000000" w:sz="2" w:space="0"/>
              <w:bottom w:val="single" w:color="000000" w:sz="2" w:space="0"/>
            </w:tcBorders>
            <w:shd w:val="clear" w:color="auto" w:fill="D9D9D9"/>
            <w:vAlign w:val="top"/>
          </w:tcPr>
          <w:p>
            <w:pPr>
              <w:pStyle w:val="8"/>
              <w:spacing w:before="39" w:line="212" w:lineRule="auto"/>
              <w:ind w:left="15"/>
            </w:pPr>
            <w:r>
              <w:drawing>
                <wp:anchor distT="0" distB="0" distL="0" distR="0" simplePos="0" relativeHeight="251769856" behindDoc="0" locked="0" layoutInCell="1" allowOverlap="1">
                  <wp:simplePos x="0" y="0"/>
                  <wp:positionH relativeFrom="rightMargin">
                    <wp:posOffset>-2009775</wp:posOffset>
                  </wp:positionH>
                  <wp:positionV relativeFrom="topMargin">
                    <wp:posOffset>-4445</wp:posOffset>
                  </wp:positionV>
                  <wp:extent cx="2005965" cy="6350"/>
                  <wp:effectExtent l="0" t="0" r="0" b="0"/>
                  <wp:wrapNone/>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29"/>
                          <a:stretch>
                            <a:fillRect/>
                          </a:stretch>
                        </pic:blipFill>
                        <pic:spPr>
                          <a:xfrm>
                            <a:off x="0" y="0"/>
                            <a:ext cx="2005837" cy="6350"/>
                          </a:xfrm>
                          <a:prstGeom prst="rect">
                            <a:avLst/>
                          </a:prstGeom>
                        </pic:spPr>
                      </pic:pic>
                    </a:graphicData>
                  </a:graphic>
                </wp:anchor>
              </w:drawing>
            </w:r>
            <w:r>
              <w:rPr>
                <w:spacing w:val="1"/>
              </w:rPr>
              <w:t>法人以他人名义设立账户或者</w:t>
            </w:r>
          </w:p>
        </w:tc>
        <w:tc>
          <w:tcPr>
            <w:tcW w:w="6812" w:type="dxa"/>
            <w:vMerge w:val="restart"/>
            <w:tcBorders>
              <w:bottom w:val="nil"/>
            </w:tcBorders>
            <w:vAlign w:val="top"/>
          </w:tcPr>
          <w:p>
            <w:pPr>
              <w:pStyle w:val="8"/>
              <w:spacing w:before="27" w:line="230" w:lineRule="auto"/>
              <w:ind w:left="15" w:right="4" w:firstLine="500"/>
            </w:pPr>
            <w:r>
              <w:rPr>
                <w:rFonts w:ascii="黑体" w:hAnsi="黑体" w:eastAsia="黑体" w:cs="黑体"/>
                <w:spacing w:val="-3"/>
              </w:rPr>
              <w:t xml:space="preserve">第一百九十五条  </w:t>
            </w:r>
            <w:r>
              <w:rPr>
                <w:spacing w:val="-3"/>
              </w:rPr>
              <w:t>违反本法</w:t>
            </w:r>
            <w:r>
              <w:rPr>
                <w:rFonts w:ascii="黑体" w:hAnsi="黑体" w:eastAsia="黑体" w:cs="黑体"/>
                <w:spacing w:val="-3"/>
              </w:rPr>
              <w:t>第五十八</w:t>
            </w:r>
            <w:r>
              <w:rPr>
                <w:spacing w:val="-3"/>
              </w:rPr>
              <w:t xml:space="preserve">条的规定， </w:t>
            </w:r>
            <w:r>
              <w:rPr>
                <w:rFonts w:ascii="黑体" w:hAnsi="黑体" w:eastAsia="黑体" w:cs="黑体"/>
                <w:spacing w:val="-3"/>
              </w:rPr>
              <w:t>出借自己的</w:t>
            </w:r>
            <w:r>
              <w:rPr>
                <w:rFonts w:ascii="黑体" w:hAnsi="黑体" w:eastAsia="黑体" w:cs="黑体"/>
              </w:rPr>
              <w:t xml:space="preserve"> </w:t>
            </w:r>
            <w:r>
              <w:rPr>
                <w:rFonts w:ascii="黑体" w:hAnsi="黑体" w:eastAsia="黑体" w:cs="黑体"/>
                <w:spacing w:val="2"/>
              </w:rPr>
              <w:t>证券账户或者借用他人的证券账户从事证券交易的</w:t>
            </w:r>
            <w:r>
              <w:rPr>
                <w:rFonts w:ascii="黑体" w:hAnsi="黑体" w:eastAsia="黑体" w:cs="黑体"/>
                <w:spacing w:val="1"/>
              </w:rPr>
              <w:t>，</w:t>
            </w:r>
            <w:r>
              <w:rPr>
                <w:spacing w:val="1"/>
              </w:rPr>
              <w:t>责令改正，</w:t>
            </w:r>
            <w:r>
              <w:t xml:space="preserve"> </w:t>
            </w:r>
            <w:r>
              <w:rPr>
                <w:rFonts w:ascii="黑体" w:hAnsi="黑体" w:eastAsia="黑体" w:cs="黑体"/>
                <w:spacing w:val="-9"/>
              </w:rPr>
              <w:t>给予警告，</w:t>
            </w:r>
            <w:r>
              <w:rPr>
                <w:rFonts w:ascii="黑体" w:hAnsi="黑体" w:eastAsia="黑体" w:cs="黑体"/>
                <w:spacing w:val="32"/>
              </w:rPr>
              <w:t xml:space="preserve"> </w:t>
            </w:r>
            <w:r>
              <w:rPr>
                <w:rFonts w:ascii="黑体" w:hAnsi="黑体" w:eastAsia="黑体" w:cs="黑体"/>
                <w:spacing w:val="-9"/>
              </w:rPr>
              <w:t>可以处五十万元以下的罚款</w:t>
            </w:r>
            <w:r>
              <w:rPr>
                <w:spacing w:val="-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945" w:type="dxa"/>
            <w:gridSpan w:val="4"/>
            <w:tcBorders>
              <w:top w:val="single" w:color="000000" w:sz="2" w:space="0"/>
              <w:bottom w:val="single" w:color="000000" w:sz="2" w:space="0"/>
              <w:right w:val="single" w:color="000000" w:sz="2" w:space="0"/>
            </w:tcBorders>
            <w:shd w:val="clear" w:color="auto" w:fill="D9D9D9"/>
            <w:vAlign w:val="top"/>
          </w:tcPr>
          <w:p>
            <w:pPr>
              <w:pStyle w:val="8"/>
              <w:spacing w:before="39" w:line="210" w:lineRule="auto"/>
              <w:ind w:left="20"/>
            </w:pPr>
            <w:r>
              <w:rPr>
                <w:spacing w:val="-1"/>
              </w:rPr>
              <w:t>利用他人账户买卖证券的，</w:t>
            </w:r>
          </w:p>
        </w:tc>
        <w:tc>
          <w:tcPr>
            <w:tcW w:w="977" w:type="dxa"/>
            <w:gridSpan w:val="2"/>
            <w:tcBorders>
              <w:top w:val="nil"/>
              <w:left w:val="single" w:color="000000" w:sz="2" w:space="0"/>
              <w:bottom w:val="single" w:color="000000" w:sz="2" w:space="0"/>
              <w:right w:val="single" w:color="000000" w:sz="2" w:space="0"/>
            </w:tcBorders>
            <w:vAlign w:val="top"/>
          </w:tcPr>
          <w:p>
            <w:pPr>
              <w:pStyle w:val="8"/>
              <w:spacing w:before="39" w:line="210" w:lineRule="auto"/>
              <w:ind w:left="14"/>
            </w:pPr>
            <w:r>
              <w:rPr>
                <w:spacing w:val="-4"/>
              </w:rPr>
              <w:t>责令改正</w:t>
            </w:r>
          </w:p>
        </w:tc>
        <w:tc>
          <w:tcPr>
            <w:tcW w:w="3173" w:type="dxa"/>
            <w:gridSpan w:val="2"/>
            <w:tcBorders>
              <w:top w:val="single" w:color="000000" w:sz="2" w:space="0"/>
              <w:left w:val="single" w:color="000000" w:sz="2" w:space="0"/>
              <w:bottom w:val="single" w:color="000000" w:sz="2" w:space="0"/>
            </w:tcBorders>
            <w:shd w:val="clear" w:color="auto" w:fill="D9D9D9"/>
            <w:vAlign w:val="top"/>
          </w:tcPr>
          <w:p>
            <w:pPr>
              <w:pStyle w:val="8"/>
              <w:spacing w:before="39" w:line="210" w:lineRule="auto"/>
              <w:ind w:left="33"/>
            </w:pPr>
            <w:r>
              <w:rPr>
                <w:spacing w:val="-1"/>
              </w:rPr>
              <w:t>,没收违法所得， 并处以违法</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5" w:type="dxa"/>
            <w:gridSpan w:val="8"/>
            <w:tcBorders>
              <w:top w:val="single" w:color="000000" w:sz="2" w:space="0"/>
              <w:bottom w:val="single" w:color="000000" w:sz="2" w:space="0"/>
            </w:tcBorders>
            <w:shd w:val="clear" w:color="auto" w:fill="D9D9D9"/>
            <w:vAlign w:val="top"/>
          </w:tcPr>
          <w:p>
            <w:pPr>
              <w:pStyle w:val="8"/>
              <w:spacing w:before="44" w:line="210" w:lineRule="auto"/>
              <w:ind w:left="24"/>
            </w:pPr>
            <w:r>
              <w:rPr>
                <w:spacing w:val="3"/>
              </w:rPr>
              <w:t>所得一倍以上五倍以下的罚款；没有违法所得或者违法所得</w:t>
            </w:r>
            <w:r>
              <w:rPr>
                <w:spacing w:val="2"/>
              </w:rPr>
              <w:t>不足三</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095" w:type="dxa"/>
            <w:gridSpan w:val="8"/>
            <w:tcBorders>
              <w:top w:val="single" w:color="000000" w:sz="2" w:space="0"/>
              <w:bottom w:val="single" w:color="000000" w:sz="2" w:space="0"/>
            </w:tcBorders>
            <w:shd w:val="clear" w:color="auto" w:fill="D9D9D9"/>
            <w:vAlign w:val="top"/>
          </w:tcPr>
          <w:p>
            <w:pPr>
              <w:pStyle w:val="8"/>
              <w:spacing w:before="42" w:line="212" w:lineRule="auto"/>
              <w:ind w:left="36"/>
            </w:pPr>
            <w:r>
              <w:rPr>
                <w:spacing w:val="2"/>
              </w:rPr>
              <w:t>万元的，处以三万元以上三十万元以下的罚款。对直接负责的主管</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5" w:type="dxa"/>
            <w:gridSpan w:val="8"/>
            <w:tcBorders>
              <w:top w:val="single" w:color="000000" w:sz="2" w:space="0"/>
              <w:bottom w:val="single" w:color="000000" w:sz="2" w:space="0"/>
            </w:tcBorders>
            <w:shd w:val="clear" w:color="auto" w:fill="D9D9D9"/>
            <w:vAlign w:val="top"/>
          </w:tcPr>
          <w:p>
            <w:pPr>
              <w:pStyle w:val="8"/>
              <w:spacing w:before="41" w:line="212" w:lineRule="auto"/>
              <w:ind w:left="25"/>
            </w:pPr>
            <w:r>
              <w:rPr>
                <w:spacing w:val="3"/>
              </w:rPr>
              <w:t>人员和其他直接责任人员给予警告，并处以三万元以上十</w:t>
            </w:r>
            <w:r>
              <w:rPr>
                <w:spacing w:val="2"/>
              </w:rPr>
              <w:t>万元以下</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93" w:type="dxa"/>
            <w:gridSpan w:val="2"/>
            <w:tcBorders>
              <w:top w:val="single" w:color="000000" w:sz="2" w:space="0"/>
              <w:bottom w:val="single" w:color="000000" w:sz="2" w:space="0"/>
              <w:right w:val="single" w:color="000000" w:sz="2" w:space="0"/>
            </w:tcBorders>
            <w:shd w:val="clear" w:color="auto" w:fill="D9D9D9"/>
            <w:vAlign w:val="top"/>
          </w:tcPr>
          <w:p>
            <w:pPr>
              <w:pStyle w:val="8"/>
              <w:spacing w:before="40" w:line="211" w:lineRule="auto"/>
              <w:ind w:left="43"/>
            </w:pPr>
            <w:r>
              <w:rPr>
                <w:spacing w:val="-15"/>
              </w:rPr>
              <w:t>的罚款。</w:t>
            </w:r>
          </w:p>
        </w:tc>
        <w:tc>
          <w:tcPr>
            <w:tcW w:w="6102" w:type="dxa"/>
            <w:gridSpan w:val="6"/>
            <w:tcBorders>
              <w:top w:val="single" w:color="000000" w:sz="2" w:space="0"/>
              <w:left w:val="single" w:color="000000" w:sz="2" w:space="0"/>
              <w:bottom w:val="single" w:color="000000" w:sz="2" w:space="0"/>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23" w:type="dxa"/>
            <w:tcBorders>
              <w:top w:val="single" w:color="000000" w:sz="2" w:space="0"/>
              <w:bottom w:val="single" w:color="000000" w:sz="2" w:space="0"/>
              <w:right w:val="single" w:color="000000" w:sz="2" w:space="0"/>
            </w:tcBorders>
            <w:vAlign w:val="top"/>
          </w:tcPr>
          <w:p>
            <w:pPr>
              <w:rPr>
                <w:rFonts w:ascii="Arial"/>
                <w:sz w:val="21"/>
              </w:rPr>
            </w:pPr>
          </w:p>
        </w:tc>
        <w:tc>
          <w:tcPr>
            <w:tcW w:w="6572" w:type="dxa"/>
            <w:gridSpan w:val="7"/>
            <w:tcBorders>
              <w:top w:val="single" w:color="000000" w:sz="2" w:space="0"/>
              <w:left w:val="single" w:color="000000" w:sz="2" w:space="0"/>
              <w:bottom w:val="single" w:color="000000" w:sz="2" w:space="0"/>
            </w:tcBorders>
            <w:shd w:val="clear" w:color="auto" w:fill="D9D9D9"/>
            <w:vAlign w:val="top"/>
          </w:tcPr>
          <w:p>
            <w:pPr>
              <w:pStyle w:val="8"/>
              <w:spacing w:before="42" w:line="204" w:lineRule="auto"/>
              <w:ind w:left="12"/>
            </w:pPr>
            <w:r>
              <w:rPr>
                <w:spacing w:val="2"/>
              </w:rPr>
              <w:t>证券公司为前款规定的违法行为提供自己或者他人的证券交易</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5" w:type="dxa"/>
            <w:gridSpan w:val="8"/>
            <w:tcBorders>
              <w:top w:val="single" w:color="000000" w:sz="2" w:space="0"/>
              <w:bottom w:val="single" w:color="000000" w:sz="2" w:space="0"/>
            </w:tcBorders>
            <w:shd w:val="clear" w:color="auto" w:fill="D9D9D9"/>
            <w:vAlign w:val="top"/>
          </w:tcPr>
          <w:p>
            <w:pPr>
              <w:pStyle w:val="8"/>
              <w:spacing w:before="50" w:line="205" w:lineRule="auto"/>
              <w:ind w:left="20"/>
            </w:pPr>
            <w:r>
              <w:rPr>
                <w:spacing w:val="3"/>
              </w:rPr>
              <w:t>账户的，除依照前款的规定处罚外，还应当撤销直接负责的主管人</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791" w:type="dxa"/>
            <w:gridSpan w:val="7"/>
            <w:tcBorders>
              <w:top w:val="single" w:color="000000" w:sz="2" w:space="0"/>
              <w:right w:val="single" w:color="000000" w:sz="2" w:space="0"/>
            </w:tcBorders>
            <w:shd w:val="clear" w:color="auto" w:fill="D9D9D9"/>
            <w:vAlign w:val="top"/>
          </w:tcPr>
          <w:p>
            <w:pPr>
              <w:pStyle w:val="8"/>
              <w:spacing w:before="49" w:line="203" w:lineRule="auto"/>
              <w:ind w:left="40"/>
            </w:pPr>
            <w:r>
              <w:rPr>
                <w:spacing w:val="-3"/>
              </w:rPr>
              <w:t>员和其他直接责任人员的任职资格或者证券从业资</w:t>
            </w:r>
            <w:r>
              <w:rPr>
                <w:spacing w:val="-4"/>
              </w:rPr>
              <w:t>格。</w:t>
            </w:r>
          </w:p>
        </w:tc>
        <w:tc>
          <w:tcPr>
            <w:tcW w:w="1304" w:type="dxa"/>
            <w:tcBorders>
              <w:top w:val="single" w:color="000000" w:sz="2" w:space="0"/>
              <w:left w:val="single" w:color="000000" w:sz="2" w:space="0"/>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095" w:type="dxa"/>
            <w:gridSpan w:val="8"/>
            <w:vAlign w:val="top"/>
          </w:tcPr>
          <w:p>
            <w:pPr>
              <w:pStyle w:val="8"/>
              <w:spacing w:before="49" w:line="209" w:lineRule="auto"/>
              <w:jc w:val="right"/>
            </w:pPr>
            <w:r>
              <w:rPr>
                <w:rFonts w:ascii="黑体" w:hAnsi="黑体" w:eastAsia="黑体" w:cs="黑体"/>
                <w:spacing w:val="12"/>
              </w:rPr>
              <w:t xml:space="preserve">第二百一十三条  </w:t>
            </w:r>
            <w:r>
              <w:rPr>
                <w:spacing w:val="12"/>
              </w:rPr>
              <w:t>收购人未按照本法规定履行上市公司收</w:t>
            </w:r>
            <w:r>
              <w:rPr>
                <w:spacing w:val="11"/>
              </w:rPr>
              <w:t>购的公</w:t>
            </w:r>
          </w:p>
        </w:tc>
        <w:tc>
          <w:tcPr>
            <w:tcW w:w="6812" w:type="dxa"/>
            <w:vAlign w:val="top"/>
          </w:tcPr>
          <w:p>
            <w:pPr>
              <w:pStyle w:val="8"/>
              <w:spacing w:before="49" w:line="209" w:lineRule="auto"/>
              <w:ind w:right="4"/>
              <w:jc w:val="right"/>
            </w:pPr>
            <w:r>
              <w:rPr>
                <w:rFonts w:ascii="黑体" w:hAnsi="黑体" w:eastAsia="黑体" w:cs="黑体"/>
                <w:spacing w:val="1"/>
              </w:rPr>
              <w:t xml:space="preserve">第一百九十六条  </w:t>
            </w:r>
            <w:r>
              <w:rPr>
                <w:spacing w:val="1"/>
              </w:rPr>
              <w:t>收购人未按照本法规定履行上市公司收购</w:t>
            </w:r>
          </w:p>
        </w:tc>
      </w:tr>
    </w:tbl>
    <w:p>
      <w:pPr>
        <w:rPr>
          <w:rFonts w:ascii="Arial"/>
          <w:sz w:val="21"/>
        </w:rPr>
      </w:pPr>
    </w:p>
    <w:p>
      <w:pPr>
        <w:rPr>
          <w:rFonts w:ascii="Arial" w:hAnsi="Arial" w:eastAsia="Arial" w:cs="Arial"/>
          <w:sz w:val="21"/>
          <w:szCs w:val="21"/>
        </w:rPr>
        <w:sectPr>
          <w:footerReference r:id="rId57" w:type="default"/>
          <w:pgSz w:w="16845" w:h="11910"/>
          <w:pgMar w:top="1012" w:right="1501" w:bottom="1154"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17"/>
        <w:gridCol w:w="751"/>
        <w:gridCol w:w="250"/>
        <w:gridCol w:w="482"/>
        <w:gridCol w:w="468"/>
        <w:gridCol w:w="494"/>
        <w:gridCol w:w="504"/>
        <w:gridCol w:w="480"/>
        <w:gridCol w:w="252"/>
        <w:gridCol w:w="238"/>
        <w:gridCol w:w="722"/>
        <w:gridCol w:w="254"/>
        <w:gridCol w:w="487"/>
        <w:gridCol w:w="6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714" w:type="dxa"/>
            <w:gridSpan w:val="4"/>
            <w:vMerge w:val="restart"/>
            <w:tcBorders>
              <w:top w:val="single" w:color="000000" w:sz="6" w:space="0"/>
              <w:left w:val="single" w:color="000000" w:sz="6" w:space="0"/>
              <w:bottom w:val="nil"/>
              <w:right w:val="nil"/>
            </w:tcBorders>
            <w:vAlign w:val="top"/>
          </w:tcPr>
          <w:p>
            <w:pPr>
              <w:pStyle w:val="8"/>
              <w:spacing w:before="53" w:line="224" w:lineRule="auto"/>
              <w:ind w:left="45" w:right="14" w:hanging="25"/>
            </w:pPr>
            <w:r>
              <w:rPr>
                <w:spacing w:val="-9"/>
              </w:rPr>
              <w:t>告、</w:t>
            </w:r>
            <w:r>
              <w:rPr>
                <w:spacing w:val="-30"/>
              </w:rPr>
              <w:t xml:space="preserve"> </w:t>
            </w:r>
            <w:r>
              <w:rPr>
                <w:spacing w:val="-9"/>
                <w:u w:val="single" w:color="auto"/>
              </w:rPr>
              <w:t>发出</w:t>
            </w:r>
            <w:r>
              <w:rPr>
                <w:spacing w:val="-110"/>
                <w:u w:val="single" w:color="auto"/>
              </w:rPr>
              <w:t xml:space="preserve"> </w:t>
            </w:r>
            <w:r>
              <w:rPr>
                <w:position w:val="-8"/>
              </w:rPr>
              <w:drawing>
                <wp:inline distT="0" distB="0" distL="0" distR="0">
                  <wp:extent cx="5715" cy="5715"/>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74"/>
                          <a:stretch>
                            <a:fillRect/>
                          </a:stretch>
                        </pic:blipFill>
                        <pic:spPr>
                          <a:xfrm>
                            <a:off x="0" y="0"/>
                            <a:ext cx="6096" cy="6016"/>
                          </a:xfrm>
                          <a:prstGeom prst="rect">
                            <a:avLst/>
                          </a:prstGeom>
                        </pic:spPr>
                      </pic:pic>
                    </a:graphicData>
                  </a:graphic>
                </wp:inline>
              </w:drawing>
            </w:r>
            <w:r>
              <w:rPr>
                <w:spacing w:val="-113"/>
              </w:rPr>
              <w:t xml:space="preserve"> </w:t>
            </w:r>
            <w:r>
              <w:rPr>
                <w:spacing w:val="-9"/>
              </w:rPr>
              <w:t>收购要约等义务</w:t>
            </w:r>
            <w:r>
              <w:t xml:space="preserve"> </w:t>
            </w:r>
            <w:r>
              <w:rPr>
                <w:spacing w:val="-3"/>
              </w:rPr>
              <w:t>以上</w:t>
            </w:r>
            <w:r>
              <w:rPr>
                <w:position w:val="-6"/>
              </w:rPr>
              <w:drawing>
                <wp:inline distT="0" distB="0" distL="0" distR="0">
                  <wp:extent cx="8890" cy="194945"/>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88"/>
                          <a:stretch>
                            <a:fillRect/>
                          </a:stretch>
                        </pic:blipFill>
                        <pic:spPr>
                          <a:xfrm>
                            <a:off x="0" y="0"/>
                            <a:ext cx="9271" cy="195543"/>
                          </a:xfrm>
                          <a:prstGeom prst="rect">
                            <a:avLst/>
                          </a:prstGeom>
                        </pic:spPr>
                      </pic:pic>
                    </a:graphicData>
                  </a:graphic>
                </wp:inline>
              </w:drawing>
            </w:r>
            <w:r>
              <w:rPr>
                <w:spacing w:val="-3"/>
                <w:shd w:val="clear" w:fill="D9D9D9"/>
              </w:rPr>
              <w:t>三十</w:t>
            </w:r>
            <w:r>
              <w:rPr>
                <w:position w:val="-6"/>
              </w:rPr>
              <w:drawing>
                <wp:inline distT="0" distB="0" distL="0" distR="0">
                  <wp:extent cx="8890" cy="194945"/>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76"/>
                          <a:stretch>
                            <a:fillRect/>
                          </a:stretch>
                        </pic:blipFill>
                        <pic:spPr>
                          <a:xfrm>
                            <a:off x="0" y="0"/>
                            <a:ext cx="9271" cy="195543"/>
                          </a:xfrm>
                          <a:prstGeom prst="rect">
                            <a:avLst/>
                          </a:prstGeom>
                        </pic:spPr>
                      </pic:pic>
                    </a:graphicData>
                  </a:graphic>
                </wp:inline>
              </w:drawing>
            </w:r>
            <w:r>
              <w:rPr>
                <w:spacing w:val="-3"/>
              </w:rPr>
              <w:t>万元以下的罚款</w:t>
            </w:r>
          </w:p>
        </w:tc>
        <w:tc>
          <w:tcPr>
            <w:tcW w:w="3640" w:type="dxa"/>
            <w:gridSpan w:val="8"/>
            <w:tcBorders>
              <w:top w:val="single" w:color="000000" w:sz="6" w:space="0"/>
              <w:left w:val="nil"/>
            </w:tcBorders>
            <w:vAlign w:val="top"/>
          </w:tcPr>
          <w:p>
            <w:pPr>
              <w:pStyle w:val="8"/>
              <w:spacing w:before="54" w:line="209" w:lineRule="auto"/>
              <w:ind w:left="3"/>
            </w:pPr>
            <w:r>
              <w:rPr>
                <w:spacing w:val="1"/>
              </w:rPr>
              <w:t>的，责令改正，给予警告，并处以</w:t>
            </w:r>
          </w:p>
        </w:tc>
        <w:tc>
          <w:tcPr>
            <w:tcW w:w="254" w:type="dxa"/>
            <w:tcBorders>
              <w:top w:val="single" w:color="000000" w:sz="6" w:space="0"/>
            </w:tcBorders>
            <w:shd w:val="clear" w:color="auto" w:fill="D9D9D9"/>
            <w:vAlign w:val="top"/>
          </w:tcPr>
          <w:p>
            <w:pPr>
              <w:pStyle w:val="8"/>
              <w:spacing w:before="54" w:line="209" w:lineRule="auto"/>
              <w:jc w:val="right"/>
            </w:pPr>
            <w:r>
              <w:rPr>
                <w:spacing w:val="-20"/>
              </w:rPr>
              <w:t>十</w:t>
            </w:r>
          </w:p>
        </w:tc>
        <w:tc>
          <w:tcPr>
            <w:tcW w:w="487" w:type="dxa"/>
            <w:tcBorders>
              <w:top w:val="single" w:color="000000" w:sz="6" w:space="0"/>
              <w:right w:val="single" w:color="000000" w:sz="6" w:space="0"/>
            </w:tcBorders>
            <w:vAlign w:val="top"/>
          </w:tcPr>
          <w:p>
            <w:pPr>
              <w:pStyle w:val="8"/>
              <w:spacing w:before="54" w:line="209" w:lineRule="auto"/>
              <w:jc w:val="right"/>
            </w:pPr>
            <w:r>
              <w:rPr>
                <w:spacing w:val="-12"/>
              </w:rPr>
              <w:t>万元</w:t>
            </w:r>
          </w:p>
        </w:tc>
        <w:tc>
          <w:tcPr>
            <w:tcW w:w="6812" w:type="dxa"/>
            <w:vMerge w:val="restart"/>
            <w:tcBorders>
              <w:top w:val="single" w:color="000000" w:sz="6" w:space="0"/>
              <w:left w:val="single" w:color="000000" w:sz="6" w:space="0"/>
              <w:bottom w:val="nil"/>
              <w:right w:val="single" w:color="000000" w:sz="6" w:space="0"/>
            </w:tcBorders>
            <w:vAlign w:val="top"/>
          </w:tcPr>
          <w:p>
            <w:pPr>
              <w:pStyle w:val="8"/>
              <w:spacing w:before="42" w:line="234" w:lineRule="auto"/>
              <w:ind w:left="12" w:right="4" w:firstLine="24"/>
              <w:jc w:val="both"/>
            </w:pPr>
            <w:r>
              <w:rPr>
                <w:spacing w:val="-3"/>
              </w:rPr>
              <w:t>的公告、发出收购要约等义务的，责令改正， 给予警告，并</w:t>
            </w:r>
            <w:r>
              <w:rPr>
                <w:spacing w:val="-4"/>
              </w:rPr>
              <w:t>处以</w:t>
            </w:r>
            <w:r>
              <w:t xml:space="preserve"> </w:t>
            </w:r>
            <w:r>
              <w:rPr>
                <w:rFonts w:ascii="黑体" w:hAnsi="黑体" w:eastAsia="黑体" w:cs="黑体"/>
                <w:spacing w:val="2"/>
              </w:rPr>
              <w:t>五十</w:t>
            </w:r>
            <w:r>
              <w:rPr>
                <w:spacing w:val="2"/>
              </w:rPr>
              <w:t>万元以上</w:t>
            </w:r>
            <w:r>
              <w:rPr>
                <w:rFonts w:ascii="黑体" w:hAnsi="黑体" w:eastAsia="黑体" w:cs="黑体"/>
                <w:spacing w:val="2"/>
              </w:rPr>
              <w:t>五百</w:t>
            </w:r>
            <w:r>
              <w:rPr>
                <w:spacing w:val="2"/>
              </w:rPr>
              <w:t>万元以下的罚款。对直接负责的主管人员和其</w:t>
            </w:r>
            <w:r>
              <w:t xml:space="preserve"> </w:t>
            </w:r>
            <w:r>
              <w:rPr>
                <w:spacing w:val="-2"/>
              </w:rPr>
              <w:t>他直接责任人员给予警告， 并处以</w:t>
            </w:r>
            <w:r>
              <w:rPr>
                <w:rFonts w:ascii="黑体" w:hAnsi="黑体" w:eastAsia="黑体" w:cs="黑体"/>
                <w:spacing w:val="-2"/>
              </w:rPr>
              <w:t>二十</w:t>
            </w:r>
            <w:r>
              <w:rPr>
                <w:spacing w:val="-2"/>
              </w:rPr>
              <w:t>万元以上</w:t>
            </w:r>
            <w:r>
              <w:rPr>
                <w:rFonts w:ascii="黑体" w:hAnsi="黑体" w:eastAsia="黑体" w:cs="黑体"/>
                <w:spacing w:val="-2"/>
              </w:rPr>
              <w:t>二百</w:t>
            </w:r>
            <w:r>
              <w:rPr>
                <w:spacing w:val="-2"/>
              </w:rPr>
              <w:t>万</w:t>
            </w:r>
            <w:r>
              <w:rPr>
                <w:spacing w:val="-3"/>
              </w:rPr>
              <w:t>元以下的</w:t>
            </w:r>
            <w:r>
              <w:t xml:space="preserve"> </w:t>
            </w:r>
            <w:r>
              <w:rPr>
                <w:spacing w:val="-13"/>
              </w:rPr>
              <w:t>罚款。</w:t>
            </w:r>
          </w:p>
          <w:p>
            <w:pPr>
              <w:pStyle w:val="8"/>
              <w:spacing w:before="27" w:line="228" w:lineRule="auto"/>
              <w:ind w:left="34" w:right="7" w:firstLine="499"/>
            </w:pPr>
            <w:r>
              <w:rPr>
                <w:spacing w:val="-4"/>
              </w:rPr>
              <w:t>收购人及其控股股东、实际控制人利用上市公司收购， 给被</w:t>
            </w:r>
            <w:r>
              <w:rPr>
                <w:spacing w:val="3"/>
              </w:rPr>
              <w:t xml:space="preserve"> </w:t>
            </w:r>
            <w:r>
              <w:rPr>
                <w:spacing w:val="-3"/>
              </w:rPr>
              <w:t>收购公司及其股东造成损失的，应当依法承担赔偿责任。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14" w:type="dxa"/>
            <w:gridSpan w:val="4"/>
            <w:vMerge w:val="continue"/>
            <w:tcBorders>
              <w:top w:val="nil"/>
              <w:left w:val="single" w:color="000000" w:sz="6" w:space="0"/>
              <w:right w:val="nil"/>
            </w:tcBorders>
            <w:vAlign w:val="top"/>
          </w:tcPr>
          <w:p>
            <w:pPr>
              <w:rPr>
                <w:rFonts w:ascii="Arial"/>
                <w:sz w:val="21"/>
              </w:rPr>
            </w:pPr>
          </w:p>
        </w:tc>
        <w:tc>
          <w:tcPr>
            <w:tcW w:w="4381" w:type="dxa"/>
            <w:gridSpan w:val="10"/>
            <w:tcBorders>
              <w:right w:val="single" w:color="000000" w:sz="6" w:space="0"/>
            </w:tcBorders>
            <w:shd w:val="clear" w:color="auto" w:fill="D9D9D9"/>
            <w:vAlign w:val="top"/>
          </w:tcPr>
          <w:p>
            <w:pPr>
              <w:pStyle w:val="8"/>
              <w:spacing w:before="41" w:line="207" w:lineRule="auto"/>
              <w:ind w:left="18"/>
            </w:pPr>
            <w:r>
              <w:t>;在改正前， 收购人对其收购或者通过协</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32" w:type="dxa"/>
            <w:gridSpan w:val="11"/>
            <w:tcBorders>
              <w:left w:val="single" w:color="000000" w:sz="6" w:space="0"/>
            </w:tcBorders>
            <w:shd w:val="clear" w:color="auto" w:fill="D9D9D9"/>
            <w:vAlign w:val="top"/>
          </w:tcPr>
          <w:p>
            <w:pPr>
              <w:pStyle w:val="8"/>
              <w:spacing w:before="49" w:line="201" w:lineRule="auto"/>
              <w:ind w:left="23"/>
            </w:pPr>
            <w:r>
              <w:rPr>
                <w:spacing w:val="3"/>
              </w:rPr>
              <w:t>议、其他安排与他人共同收购的股份不得行使</w:t>
            </w:r>
            <w:r>
              <w:rPr>
                <w:spacing w:val="2"/>
              </w:rPr>
              <w:t>表决权</w:t>
            </w:r>
          </w:p>
        </w:tc>
        <w:tc>
          <w:tcPr>
            <w:tcW w:w="1463" w:type="dxa"/>
            <w:gridSpan w:val="3"/>
            <w:tcBorders>
              <w:bottom w:val="nil"/>
              <w:right w:val="single" w:color="000000" w:sz="6" w:space="0"/>
            </w:tcBorders>
            <w:vAlign w:val="top"/>
          </w:tcPr>
          <w:p>
            <w:pPr>
              <w:pStyle w:val="8"/>
              <w:spacing w:before="49" w:line="201" w:lineRule="auto"/>
              <w:ind w:left="25"/>
            </w:pPr>
            <w:r>
              <w:rPr>
                <w:spacing w:val="-5"/>
              </w:rPr>
              <w:t>。对直接负责</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3196" w:type="dxa"/>
            <w:gridSpan w:val="5"/>
            <w:vMerge w:val="restart"/>
            <w:tcBorders>
              <w:left w:val="single" w:color="000000" w:sz="6" w:space="0"/>
              <w:bottom w:val="nil"/>
              <w:right w:val="nil"/>
            </w:tcBorders>
            <w:vAlign w:val="top"/>
          </w:tcPr>
          <w:p>
            <w:pPr>
              <w:pStyle w:val="8"/>
              <w:spacing w:before="55" w:line="231" w:lineRule="auto"/>
              <w:ind w:left="26" w:right="30" w:firstLine="7"/>
            </w:pPr>
            <w:r>
              <w:t>的主管人员和其他直接责任人</w:t>
            </w:r>
            <w:r>
              <w:rPr>
                <w:spacing w:val="2"/>
              </w:rPr>
              <w:t xml:space="preserve"> </w:t>
            </w:r>
            <w:r>
              <w:rPr>
                <w:spacing w:val="-8"/>
              </w:rPr>
              <w:t>万元以下的罚款。</w:t>
            </w:r>
          </w:p>
          <w:p>
            <w:pPr>
              <w:pStyle w:val="8"/>
              <w:spacing w:before="40" w:line="203" w:lineRule="auto"/>
              <w:ind w:right="13"/>
              <w:jc w:val="right"/>
            </w:pPr>
            <w:r>
              <w:rPr>
                <w:rFonts w:ascii="黑体" w:hAnsi="黑体" w:eastAsia="黑体" w:cs="黑体"/>
                <w:spacing w:val="-2"/>
              </w:rPr>
              <w:t>第二百一十四条</w:t>
            </w:r>
            <w:r>
              <w:rPr>
                <w:rFonts w:ascii="黑体" w:hAnsi="黑体" w:eastAsia="黑体" w:cs="黑体"/>
                <w:spacing w:val="20"/>
              </w:rPr>
              <w:t xml:space="preserve">  </w:t>
            </w:r>
            <w:r>
              <w:rPr>
                <w:spacing w:val="-2"/>
              </w:rPr>
              <w:t>收购人</w:t>
            </w:r>
          </w:p>
        </w:tc>
        <w:tc>
          <w:tcPr>
            <w:tcW w:w="1466" w:type="dxa"/>
            <w:gridSpan w:val="3"/>
            <w:tcBorders>
              <w:left w:val="nil"/>
              <w:right w:val="nil"/>
            </w:tcBorders>
            <w:vAlign w:val="top"/>
          </w:tcPr>
          <w:p>
            <w:pPr>
              <w:pStyle w:val="8"/>
              <w:spacing w:before="54" w:line="218" w:lineRule="auto"/>
            </w:pPr>
            <w:r>
              <w:rPr>
                <w:spacing w:val="-4"/>
              </w:rPr>
              <w:t>员给予警告，</w:t>
            </w:r>
          </w:p>
        </w:tc>
        <w:tc>
          <w:tcPr>
            <w:tcW w:w="2433" w:type="dxa"/>
            <w:gridSpan w:val="6"/>
            <w:vMerge w:val="restart"/>
            <w:tcBorders>
              <w:left w:val="nil"/>
              <w:bottom w:val="nil"/>
              <w:right w:val="single" w:color="000000" w:sz="6" w:space="0"/>
            </w:tcBorders>
            <w:vAlign w:val="top"/>
          </w:tcPr>
          <w:p>
            <w:pPr>
              <w:pStyle w:val="8"/>
              <w:spacing w:before="17" w:line="516" w:lineRule="auto"/>
            </w:pPr>
            <w:r>
              <w:rPr>
                <w:spacing w:val="-3"/>
              </w:rPr>
              <w:t>并处以</w:t>
            </w:r>
            <w:r>
              <w:rPr>
                <w:position w:val="-7"/>
              </w:rPr>
              <w:drawing>
                <wp:inline distT="0" distB="0" distL="0" distR="0">
                  <wp:extent cx="8255" cy="203835"/>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97"/>
                          <a:stretch>
                            <a:fillRect/>
                          </a:stretch>
                        </pic:blipFill>
                        <pic:spPr>
                          <a:xfrm>
                            <a:off x="0" y="0"/>
                            <a:ext cx="8813" cy="204216"/>
                          </a:xfrm>
                          <a:prstGeom prst="rect">
                            <a:avLst/>
                          </a:prstGeom>
                        </pic:spPr>
                      </pic:pic>
                    </a:graphicData>
                  </a:graphic>
                </wp:inline>
              </w:drawing>
            </w:r>
            <w:r>
              <w:rPr>
                <w:spacing w:val="-3"/>
                <w:shd w:val="clear" w:fill="D9D9D9"/>
              </w:rPr>
              <w:t>三</w:t>
            </w:r>
            <w:r>
              <w:rPr>
                <w:position w:val="-7"/>
              </w:rPr>
              <w:drawing>
                <wp:inline distT="0" distB="0" distL="0" distR="0">
                  <wp:extent cx="8255" cy="203835"/>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05"/>
                          <a:stretch>
                            <a:fillRect/>
                          </a:stretch>
                        </pic:blipFill>
                        <pic:spPr>
                          <a:xfrm>
                            <a:off x="0" y="0"/>
                            <a:ext cx="8814" cy="204216"/>
                          </a:xfrm>
                          <a:prstGeom prst="rect">
                            <a:avLst/>
                          </a:prstGeom>
                        </pic:spPr>
                      </pic:pic>
                    </a:graphicData>
                  </a:graphic>
                </wp:inline>
              </w:drawing>
            </w:r>
            <w:r>
              <w:rPr>
                <w:spacing w:val="-3"/>
              </w:rPr>
              <w:t>万元以上</w:t>
            </w:r>
            <w:r>
              <w:rPr>
                <w:position w:val="-7"/>
              </w:rPr>
              <w:drawing>
                <wp:inline distT="0" distB="0" distL="0" distR="0">
                  <wp:extent cx="8255" cy="203835"/>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76"/>
                          <a:stretch>
                            <a:fillRect/>
                          </a:stretch>
                        </pic:blipFill>
                        <pic:spPr>
                          <a:xfrm>
                            <a:off x="0" y="0"/>
                            <a:ext cx="8814" cy="204216"/>
                          </a:xfrm>
                          <a:prstGeom prst="rect">
                            <a:avLst/>
                          </a:prstGeom>
                        </pic:spPr>
                      </pic:pic>
                    </a:graphicData>
                  </a:graphic>
                </wp:inline>
              </w:drawing>
            </w:r>
            <w:r>
              <w:rPr>
                <w:spacing w:val="-3"/>
                <w:u w:val="single" w:color="auto"/>
                <w:shd w:val="clear" w:fill="D9D9D9"/>
              </w:rPr>
              <w:t>三十</w:t>
            </w:r>
          </w:p>
          <w:p>
            <w:pPr>
              <w:pStyle w:val="8"/>
              <w:spacing w:line="202" w:lineRule="auto"/>
              <w:jc w:val="right"/>
            </w:pPr>
            <w:r>
              <w:rPr>
                <w:spacing w:val="-11"/>
              </w:rPr>
              <w:t>控股股东，</w:t>
            </w:r>
            <w:r>
              <w:rPr>
                <w:spacing w:val="-21"/>
              </w:rPr>
              <w:t xml:space="preserve"> </w:t>
            </w:r>
            <w:r>
              <w:rPr>
                <w:spacing w:val="-11"/>
              </w:rPr>
              <w:t>利用上市公</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196" w:type="dxa"/>
            <w:gridSpan w:val="5"/>
            <w:vMerge w:val="continue"/>
            <w:tcBorders>
              <w:top w:val="nil"/>
              <w:left w:val="single" w:color="000000" w:sz="6" w:space="0"/>
              <w:right w:val="nil"/>
            </w:tcBorders>
            <w:vAlign w:val="top"/>
          </w:tcPr>
          <w:p>
            <w:pPr>
              <w:rPr>
                <w:rFonts w:ascii="Arial"/>
                <w:sz w:val="21"/>
              </w:rPr>
            </w:pPr>
          </w:p>
        </w:tc>
        <w:tc>
          <w:tcPr>
            <w:tcW w:w="1466" w:type="dxa"/>
            <w:gridSpan w:val="3"/>
            <w:shd w:val="clear" w:color="auto" w:fill="D9D9D9"/>
            <w:vAlign w:val="top"/>
          </w:tcPr>
          <w:p>
            <w:pPr>
              <w:pStyle w:val="8"/>
              <w:spacing w:before="40" w:line="203" w:lineRule="auto"/>
              <w:ind w:left="5"/>
            </w:pPr>
            <w:r>
              <w:t>或者收购人的</w:t>
            </w:r>
          </w:p>
        </w:tc>
        <w:tc>
          <w:tcPr>
            <w:tcW w:w="2433" w:type="dxa"/>
            <w:gridSpan w:val="6"/>
            <w:vMerge w:val="continue"/>
            <w:tcBorders>
              <w:top w:val="nil"/>
              <w:left w:val="nil"/>
              <w:right w:val="single" w:color="000000" w:sz="6" w:space="0"/>
            </w:tcBorders>
            <w:vAlign w:val="top"/>
          </w:tcPr>
          <w:p>
            <w:pPr>
              <w:rPr>
                <w:rFonts w:ascii="Arial"/>
                <w:sz w:val="21"/>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6" w:type="dxa"/>
            <w:tcBorders>
              <w:top w:val="nil"/>
              <w:left w:val="single" w:color="000000" w:sz="6" w:space="0"/>
            </w:tcBorders>
            <w:vAlign w:val="top"/>
          </w:tcPr>
          <w:p>
            <w:pPr>
              <w:pStyle w:val="8"/>
              <w:spacing w:before="52" w:line="197" w:lineRule="auto"/>
              <w:ind w:left="36"/>
            </w:pPr>
            <w:r>
              <w:rPr>
                <w:spacing w:val="-7"/>
              </w:rPr>
              <w:t>司收购，</w:t>
            </w:r>
          </w:p>
        </w:tc>
        <w:tc>
          <w:tcPr>
            <w:tcW w:w="6099" w:type="dxa"/>
            <w:gridSpan w:val="13"/>
            <w:tcBorders>
              <w:right w:val="single" w:color="000000" w:sz="6" w:space="0"/>
            </w:tcBorders>
            <w:shd w:val="clear" w:color="auto" w:fill="D9D9D9"/>
            <w:vAlign w:val="top"/>
          </w:tcPr>
          <w:p>
            <w:pPr>
              <w:pStyle w:val="8"/>
              <w:spacing w:before="52" w:line="197" w:lineRule="auto"/>
              <w:jc w:val="right"/>
            </w:pPr>
            <w:r>
              <w:rPr>
                <w:spacing w:val="-6"/>
              </w:rPr>
              <w:t>损害被收购公司及其股东的合法权益的， 责令改</w:t>
            </w:r>
            <w:r>
              <w:rPr>
                <w:spacing w:val="-7"/>
              </w:rPr>
              <w:t>正， 给予</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608" w:type="dxa"/>
            <w:gridSpan w:val="13"/>
            <w:tcBorders>
              <w:left w:val="single" w:color="000000" w:sz="6" w:space="0"/>
            </w:tcBorders>
            <w:shd w:val="clear" w:color="auto" w:fill="D9D9D9"/>
            <w:vAlign w:val="top"/>
          </w:tcPr>
          <w:p>
            <w:pPr>
              <w:pStyle w:val="8"/>
              <w:spacing w:before="60" w:line="192" w:lineRule="auto"/>
              <w:ind w:left="22"/>
            </w:pPr>
            <w:r>
              <w:rPr>
                <w:spacing w:val="-3"/>
              </w:rPr>
              <w:t>警告；情节严重的， 并处以十万元以上六十万元以下的罚款。</w:t>
            </w:r>
          </w:p>
        </w:tc>
        <w:tc>
          <w:tcPr>
            <w:tcW w:w="487" w:type="dxa"/>
            <w:tcBorders>
              <w:right w:val="single" w:color="000000" w:sz="6" w:space="0"/>
            </w:tcBorders>
            <w:vAlign w:val="top"/>
          </w:tcPr>
          <w:p>
            <w:pPr>
              <w:pStyle w:val="8"/>
              <w:spacing w:before="60" w:line="192" w:lineRule="auto"/>
              <w:jc w:val="right"/>
            </w:pPr>
            <w:r>
              <w:rPr>
                <w:spacing w:val="-11"/>
              </w:rPr>
              <w:t>给被</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32" w:type="dxa"/>
            <w:gridSpan w:val="11"/>
            <w:tcBorders>
              <w:left w:val="single" w:color="000000" w:sz="6" w:space="0"/>
            </w:tcBorders>
            <w:vAlign w:val="top"/>
          </w:tcPr>
          <w:p>
            <w:pPr>
              <w:pStyle w:val="8"/>
              <w:spacing w:before="67" w:line="186" w:lineRule="auto"/>
              <w:ind w:left="31"/>
            </w:pPr>
            <w:r>
              <w:rPr>
                <w:spacing w:val="2"/>
              </w:rPr>
              <w:t>收购公司及其股东造成损失的，依法承担赔偿责</w:t>
            </w:r>
            <w:r>
              <w:rPr>
                <w:spacing w:val="1"/>
              </w:rPr>
              <w:t>任。</w:t>
            </w:r>
          </w:p>
        </w:tc>
        <w:tc>
          <w:tcPr>
            <w:tcW w:w="1463" w:type="dxa"/>
            <w:gridSpan w:val="3"/>
            <w:tcBorders>
              <w:right w:val="single" w:color="000000" w:sz="6" w:space="0"/>
            </w:tcBorders>
            <w:shd w:val="clear" w:color="auto" w:fill="D9D9D9"/>
            <w:vAlign w:val="top"/>
          </w:tcPr>
          <w:p>
            <w:pPr>
              <w:pStyle w:val="8"/>
              <w:spacing w:before="67" w:line="186" w:lineRule="auto"/>
              <w:ind w:left="3"/>
            </w:pPr>
            <w:r>
              <w:t>对直接负责的</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95" w:type="dxa"/>
            <w:gridSpan w:val="14"/>
            <w:tcBorders>
              <w:left w:val="single" w:color="000000" w:sz="6" w:space="0"/>
              <w:right w:val="single" w:color="000000" w:sz="6" w:space="0"/>
            </w:tcBorders>
            <w:shd w:val="clear" w:color="auto" w:fill="D9D9D9"/>
            <w:vAlign w:val="top"/>
          </w:tcPr>
          <w:p>
            <w:pPr>
              <w:pStyle w:val="8"/>
              <w:spacing w:before="73" w:line="188" w:lineRule="auto"/>
              <w:ind w:left="33"/>
            </w:pPr>
            <w:r>
              <w:rPr>
                <w:spacing w:val="2"/>
              </w:rPr>
              <w:t>主管人员和其他直接责任人员给予警告，并处以三万元以上三十万</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713" w:type="dxa"/>
            <w:gridSpan w:val="2"/>
            <w:tcBorders>
              <w:left w:val="single" w:color="000000" w:sz="6" w:space="0"/>
              <w:bottom w:val="single" w:color="000000" w:sz="6" w:space="0"/>
            </w:tcBorders>
            <w:shd w:val="clear" w:color="auto" w:fill="D9D9D9"/>
            <w:vAlign w:val="top"/>
          </w:tcPr>
          <w:p>
            <w:pPr>
              <w:pStyle w:val="8"/>
              <w:spacing w:before="72" w:line="191" w:lineRule="auto"/>
              <w:ind w:left="31"/>
            </w:pPr>
            <w:r>
              <w:rPr>
                <w:spacing w:val="-9"/>
              </w:rPr>
              <w:t>元以下的罚款。</w:t>
            </w:r>
          </w:p>
        </w:tc>
        <w:tc>
          <w:tcPr>
            <w:tcW w:w="5382" w:type="dxa"/>
            <w:gridSpan w:val="12"/>
            <w:tcBorders>
              <w:bottom w:val="single" w:color="000000" w:sz="6" w:space="0"/>
              <w:right w:val="single" w:color="000000" w:sz="6" w:space="0"/>
            </w:tcBorders>
            <w:vAlign w:val="top"/>
          </w:tcPr>
          <w:p>
            <w:pPr>
              <w:rPr>
                <w:rFonts w:ascii="Arial"/>
                <w:sz w:val="21"/>
              </w:rPr>
            </w:pP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64" w:type="dxa"/>
            <w:gridSpan w:val="3"/>
            <w:tcBorders>
              <w:top w:val="single" w:color="000000" w:sz="6" w:space="0"/>
              <w:left w:val="single" w:color="000000" w:sz="6" w:space="0"/>
            </w:tcBorders>
            <w:vAlign w:val="top"/>
          </w:tcPr>
          <w:p>
            <w:pPr>
              <w:spacing w:before="75" w:line="175" w:lineRule="auto"/>
              <w:ind w:left="513"/>
              <w:rPr>
                <w:rFonts w:ascii="黑体" w:hAnsi="黑体" w:eastAsia="黑体" w:cs="黑体"/>
                <w:sz w:val="24"/>
                <w:szCs w:val="24"/>
              </w:rPr>
            </w:pPr>
            <w:r>
              <w:rPr>
                <w:rFonts w:ascii="黑体" w:hAnsi="黑体" w:eastAsia="黑体" w:cs="黑体"/>
                <w:sz w:val="24"/>
                <w:szCs w:val="24"/>
              </w:rPr>
              <w:t>第一百九十三条</w:t>
            </w:r>
          </w:p>
        </w:tc>
        <w:tc>
          <w:tcPr>
            <w:tcW w:w="2930" w:type="dxa"/>
            <w:gridSpan w:val="7"/>
            <w:tcBorders>
              <w:top w:val="single" w:color="000000" w:sz="6" w:space="0"/>
            </w:tcBorders>
            <w:shd w:val="clear" w:color="auto" w:fill="D9D9D9"/>
            <w:vAlign w:val="top"/>
          </w:tcPr>
          <w:p>
            <w:pPr>
              <w:pStyle w:val="8"/>
              <w:spacing w:before="76" w:line="174" w:lineRule="auto"/>
              <w:ind w:left="5"/>
            </w:pPr>
            <w:r>
              <w:rPr>
                <w:spacing w:val="2"/>
              </w:rPr>
              <w:t>发行人、上市公司或者其他</w:t>
            </w:r>
          </w:p>
        </w:tc>
        <w:tc>
          <w:tcPr>
            <w:tcW w:w="1701" w:type="dxa"/>
            <w:gridSpan w:val="4"/>
            <w:tcBorders>
              <w:top w:val="single" w:color="000000" w:sz="6" w:space="0"/>
              <w:right w:val="single" w:color="000000" w:sz="6" w:space="0"/>
            </w:tcBorders>
            <w:vAlign w:val="top"/>
          </w:tcPr>
          <w:p>
            <w:pPr>
              <w:pStyle w:val="8"/>
              <w:spacing w:before="76" w:line="174" w:lineRule="auto"/>
              <w:jc w:val="right"/>
            </w:pPr>
            <w:r>
              <w:rPr>
                <w:spacing w:val="1"/>
              </w:rPr>
              <w:t>信息披露义务人</w:t>
            </w:r>
          </w:p>
        </w:tc>
        <w:tc>
          <w:tcPr>
            <w:tcW w:w="6812" w:type="dxa"/>
            <w:vMerge w:val="restart"/>
            <w:tcBorders>
              <w:top w:val="single" w:color="000000" w:sz="6" w:space="0"/>
              <w:left w:val="single" w:color="000000" w:sz="6" w:space="0"/>
              <w:bottom w:val="nil"/>
              <w:right w:val="single" w:color="000000" w:sz="6" w:space="0"/>
            </w:tcBorders>
            <w:vAlign w:val="top"/>
          </w:tcPr>
          <w:p>
            <w:pPr>
              <w:pStyle w:val="8"/>
              <w:spacing w:before="65" w:line="236" w:lineRule="auto"/>
              <w:ind w:left="14" w:right="3" w:firstLine="501"/>
              <w:rPr>
                <w:rFonts w:ascii="黑体" w:hAnsi="黑体" w:eastAsia="黑体" w:cs="黑体"/>
              </w:rPr>
            </w:pPr>
            <w:r>
              <w:rPr>
                <w:rFonts w:ascii="黑体" w:hAnsi="黑体" w:eastAsia="黑体" w:cs="黑体"/>
                <w:spacing w:val="1"/>
              </w:rPr>
              <w:t xml:space="preserve">第一百九十七条  </w:t>
            </w:r>
            <w:r>
              <w:rPr>
                <w:spacing w:val="1"/>
              </w:rPr>
              <w:t>信息披露义务人未按照</w:t>
            </w:r>
            <w:r>
              <w:rPr>
                <w:rFonts w:ascii="黑体" w:hAnsi="黑体" w:eastAsia="黑体" w:cs="黑体"/>
                <w:spacing w:val="1"/>
              </w:rPr>
              <w:t>本法规定报送有关</w:t>
            </w:r>
            <w:r>
              <w:rPr>
                <w:rFonts w:ascii="黑体" w:hAnsi="黑体" w:eastAsia="黑体" w:cs="黑体"/>
                <w:spacing w:val="6"/>
              </w:rPr>
              <w:t xml:space="preserve"> </w:t>
            </w:r>
            <w:r>
              <w:rPr>
                <w:rFonts w:ascii="黑体" w:hAnsi="黑体" w:eastAsia="黑体" w:cs="黑体"/>
                <w:spacing w:val="-2"/>
              </w:rPr>
              <w:t>报告或者履行信息披露义务的</w:t>
            </w:r>
            <w:r>
              <w:rPr>
                <w:spacing w:val="-2"/>
              </w:rPr>
              <w:t>，责令改正， 给予警告</w:t>
            </w:r>
            <w:r>
              <w:rPr>
                <w:spacing w:val="-3"/>
              </w:rPr>
              <w:t>，并处以</w:t>
            </w:r>
            <w:r>
              <w:rPr>
                <w:rFonts w:ascii="黑体" w:hAnsi="黑体" w:eastAsia="黑体" w:cs="黑体"/>
                <w:spacing w:val="-3"/>
              </w:rPr>
              <w:t>五</w:t>
            </w:r>
            <w:r>
              <w:rPr>
                <w:rFonts w:ascii="黑体" w:hAnsi="黑体" w:eastAsia="黑体" w:cs="黑体"/>
              </w:rPr>
              <w:t xml:space="preserve"> </w:t>
            </w:r>
            <w:r>
              <w:rPr>
                <w:spacing w:val="2"/>
              </w:rPr>
              <w:t>十万元以上</w:t>
            </w:r>
            <w:r>
              <w:rPr>
                <w:rFonts w:ascii="黑体" w:hAnsi="黑体" w:eastAsia="黑体" w:cs="黑体"/>
                <w:spacing w:val="2"/>
              </w:rPr>
              <w:t>五百</w:t>
            </w:r>
            <w:r>
              <w:rPr>
                <w:spacing w:val="2"/>
              </w:rPr>
              <w:t>万元以下的罚款。对直接负责的主管人员</w:t>
            </w:r>
            <w:r>
              <w:rPr>
                <w:spacing w:val="1"/>
              </w:rPr>
              <w:t>和其他</w:t>
            </w:r>
            <w:r>
              <w:t xml:space="preserve"> </w:t>
            </w:r>
            <w:r>
              <w:rPr>
                <w:spacing w:val="2"/>
              </w:rPr>
              <w:t>直接责任人员给予警告，并处以</w:t>
            </w:r>
            <w:r>
              <w:rPr>
                <w:rFonts w:ascii="黑体" w:hAnsi="黑体" w:eastAsia="黑体" w:cs="黑体"/>
                <w:spacing w:val="2"/>
              </w:rPr>
              <w:t>二十</w:t>
            </w:r>
            <w:r>
              <w:rPr>
                <w:spacing w:val="2"/>
              </w:rPr>
              <w:t>万元以上</w:t>
            </w:r>
            <w:r>
              <w:rPr>
                <w:rFonts w:ascii="黑体" w:hAnsi="黑体" w:eastAsia="黑体" w:cs="黑体"/>
                <w:spacing w:val="2"/>
              </w:rPr>
              <w:t>二百</w:t>
            </w:r>
            <w:r>
              <w:rPr>
                <w:spacing w:val="2"/>
              </w:rPr>
              <w:t>万元以下</w:t>
            </w:r>
            <w:r>
              <w:rPr>
                <w:spacing w:val="1"/>
              </w:rPr>
              <w:t>的罚</w:t>
            </w:r>
            <w:r>
              <w:t xml:space="preserve"> </w:t>
            </w:r>
            <w:r>
              <w:rPr>
                <w:spacing w:val="-2"/>
              </w:rPr>
              <w:t>款。</w:t>
            </w:r>
            <w:r>
              <w:rPr>
                <w:spacing w:val="-11"/>
              </w:rPr>
              <w:t xml:space="preserve"> </w:t>
            </w:r>
            <w:r>
              <w:rPr>
                <w:rFonts w:ascii="黑体" w:hAnsi="黑体" w:eastAsia="黑体" w:cs="黑体"/>
                <w:spacing w:val="-2"/>
              </w:rPr>
              <w:t>发行人的控股股东、实际控制人组织、指使从事上述违法行</w:t>
            </w:r>
            <w:r>
              <w:rPr>
                <w:rFonts w:ascii="黑体" w:hAnsi="黑体" w:eastAsia="黑体" w:cs="黑体"/>
              </w:rPr>
              <w:t xml:space="preserve"> </w:t>
            </w:r>
            <w:r>
              <w:rPr>
                <w:rFonts w:ascii="黑体" w:hAnsi="黑体" w:eastAsia="黑体" w:cs="黑体"/>
                <w:spacing w:val="-6"/>
              </w:rPr>
              <w:t>为， 或者隐瞒相关事项导致发生上述情形的， 处以</w:t>
            </w:r>
            <w:r>
              <w:rPr>
                <w:rFonts w:ascii="黑体" w:hAnsi="黑体" w:eastAsia="黑体" w:cs="黑体"/>
                <w:spacing w:val="-7"/>
              </w:rPr>
              <w:t>五十万元以上</w:t>
            </w:r>
            <w:r>
              <w:rPr>
                <w:rFonts w:ascii="黑体" w:hAnsi="黑体" w:eastAsia="黑体" w:cs="黑体"/>
              </w:rPr>
              <w:t xml:space="preserve"> </w:t>
            </w:r>
            <w:r>
              <w:rPr>
                <w:rFonts w:ascii="黑体" w:hAnsi="黑体" w:eastAsia="黑体" w:cs="黑体"/>
                <w:spacing w:val="2"/>
              </w:rPr>
              <w:t>五百万元以下的罚款；对直接负责的主管人员和其他直接责任人</w:t>
            </w:r>
            <w:r>
              <w:rPr>
                <w:rFonts w:ascii="黑体" w:hAnsi="黑体" w:eastAsia="黑体" w:cs="黑体"/>
              </w:rPr>
              <w:t xml:space="preserve"> </w:t>
            </w:r>
            <w:r>
              <w:rPr>
                <w:rFonts w:ascii="黑体" w:hAnsi="黑体" w:eastAsia="黑体" w:cs="黑体"/>
                <w:spacing w:val="-1"/>
              </w:rPr>
              <w:t>员，处以二十万元以上二百万元以下的罚款。</w:t>
            </w:r>
          </w:p>
          <w:p>
            <w:pPr>
              <w:pStyle w:val="8"/>
              <w:spacing w:before="34" w:line="237" w:lineRule="auto"/>
              <w:ind w:left="15" w:right="3" w:firstLine="500"/>
              <w:rPr>
                <w:rFonts w:ascii="黑体" w:hAnsi="黑体" w:eastAsia="黑体" w:cs="黑体"/>
              </w:rPr>
            </w:pPr>
            <w:r>
              <w:rPr>
                <w:rFonts w:ascii="黑体" w:hAnsi="黑体" w:eastAsia="黑体" w:cs="黑体"/>
              </w:rPr>
              <w:t>信息披露义务人</w:t>
            </w:r>
            <w:r>
              <w:t>报送的报告或者披露的信息有虚假记载、误</w:t>
            </w:r>
            <w:r>
              <w:rPr>
                <w:spacing w:val="18"/>
              </w:rPr>
              <w:t xml:space="preserve"> </w:t>
            </w:r>
            <w:r>
              <w:rPr>
                <w:spacing w:val="-6"/>
              </w:rPr>
              <w:t>导性陈述或者重大遗漏的， 责令改正，给予警告， 并处</w:t>
            </w:r>
            <w:r>
              <w:rPr>
                <w:spacing w:val="-7"/>
              </w:rPr>
              <w:t>以</w:t>
            </w:r>
            <w:r>
              <w:rPr>
                <w:rFonts w:ascii="黑体" w:hAnsi="黑体" w:eastAsia="黑体" w:cs="黑体"/>
                <w:spacing w:val="-7"/>
              </w:rPr>
              <w:t>一百</w:t>
            </w:r>
            <w:r>
              <w:rPr>
                <w:spacing w:val="-7"/>
              </w:rPr>
              <w:t>万</w:t>
            </w:r>
            <w:r>
              <w:t xml:space="preserve"> </w:t>
            </w:r>
            <w:r>
              <w:rPr>
                <w:spacing w:val="2"/>
              </w:rPr>
              <w:t>元以上</w:t>
            </w:r>
            <w:r>
              <w:rPr>
                <w:rFonts w:ascii="黑体" w:hAnsi="黑体" w:eastAsia="黑体" w:cs="黑体"/>
                <w:spacing w:val="2"/>
              </w:rPr>
              <w:t>一千</w:t>
            </w:r>
            <w:r>
              <w:rPr>
                <w:spacing w:val="2"/>
              </w:rPr>
              <w:t>万元以下的罚款。对直接负责的主管人员和其他直接</w:t>
            </w:r>
            <w:r>
              <w:t xml:space="preserve"> 责任人员给予警告，并处以</w:t>
            </w:r>
            <w:r>
              <w:rPr>
                <w:rFonts w:ascii="黑体" w:hAnsi="黑体" w:eastAsia="黑体" w:cs="黑体"/>
              </w:rPr>
              <w:t>五十</w:t>
            </w:r>
            <w:r>
              <w:t>万元以上</w:t>
            </w:r>
            <w:r>
              <w:rPr>
                <w:rFonts w:ascii="黑体" w:hAnsi="黑体" w:eastAsia="黑体" w:cs="黑体"/>
              </w:rPr>
              <w:t>五百</w:t>
            </w:r>
            <w:r>
              <w:t>万元以下的罚款。</w:t>
            </w:r>
            <w:r>
              <w:rPr>
                <w:spacing w:val="4"/>
              </w:rPr>
              <w:t xml:space="preserve"> </w:t>
            </w:r>
            <w:r>
              <w:rPr>
                <w:rFonts w:ascii="黑体" w:hAnsi="黑体" w:eastAsia="黑体" w:cs="黑体"/>
              </w:rPr>
              <w:t xml:space="preserve">发行人的控股股东、实际控制人组织、指使从事上述违法行为， </w:t>
            </w:r>
            <w:r>
              <w:rPr>
                <w:rFonts w:ascii="黑体" w:hAnsi="黑体" w:eastAsia="黑体" w:cs="黑体"/>
                <w:spacing w:val="-2"/>
              </w:rPr>
              <w:t>或者隐瞒相关事项导致发生上述情形的， 处以一</w:t>
            </w:r>
            <w:r>
              <w:rPr>
                <w:rFonts w:ascii="黑体" w:hAnsi="黑体" w:eastAsia="黑体" w:cs="黑体"/>
                <w:spacing w:val="-3"/>
              </w:rPr>
              <w:t>百万元以上一千</w:t>
            </w:r>
            <w:r>
              <w:rPr>
                <w:rFonts w:ascii="黑体" w:hAnsi="黑体" w:eastAsia="黑体" w:cs="黑体"/>
              </w:rPr>
              <w:t xml:space="preserve"> </w:t>
            </w:r>
            <w:r>
              <w:rPr>
                <w:rFonts w:ascii="黑体" w:hAnsi="黑体" w:eastAsia="黑体" w:cs="黑体"/>
                <w:spacing w:val="2"/>
              </w:rPr>
              <w:t>万元以下的罚款；对直接负责的主管人员和其他直</w:t>
            </w:r>
            <w:r>
              <w:rPr>
                <w:rFonts w:ascii="黑体" w:hAnsi="黑体" w:eastAsia="黑体" w:cs="黑体"/>
                <w:spacing w:val="1"/>
              </w:rPr>
              <w:t>接责任人员，</w:t>
            </w:r>
            <w:r>
              <w:rPr>
                <w:rFonts w:ascii="黑体" w:hAnsi="黑体" w:eastAsia="黑体" w:cs="黑体"/>
              </w:rPr>
              <w:t xml:space="preserve"> </w:t>
            </w:r>
            <w:r>
              <w:rPr>
                <w:rFonts w:ascii="黑体" w:hAnsi="黑体" w:eastAsia="黑体" w:cs="黑体"/>
                <w:spacing w:val="-1"/>
              </w:rPr>
              <w:t>处以五十万元以上五百万元以下的罚款。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95" w:type="dxa"/>
            <w:gridSpan w:val="14"/>
            <w:tcBorders>
              <w:left w:val="single" w:color="000000" w:sz="6" w:space="0"/>
              <w:bottom w:val="nil"/>
              <w:right w:val="single" w:color="000000" w:sz="6" w:space="0"/>
            </w:tcBorders>
            <w:vAlign w:val="top"/>
          </w:tcPr>
          <w:p>
            <w:pPr>
              <w:pStyle w:val="8"/>
              <w:spacing w:before="51" w:line="233" w:lineRule="auto"/>
              <w:ind w:right="9"/>
              <w:jc w:val="right"/>
            </w:pPr>
            <w:r>
              <w:pict>
                <v:shape id="_x0000_s1143" o:spid="_x0000_s1143" o:spt="202" type="#_x0000_t202" style="position:absolute;left:0pt;margin-left:-0.3pt;margin-top:3.45pt;height:16.15pt;width:37.8pt;z-index:251770880;mso-width-relative:page;mso-height-relative:page;" filled="f" stroked="f" coordsize="21600,21600">
                  <v:path/>
                  <v:fill on="f" focussize="0,0"/>
                  <v:stroke on="f"/>
                  <v:imagedata o:title=""/>
                  <o:lock v:ext="edit" aspectratio="f"/>
                  <v:textbox inset="0mm,0mm,0mm,0mm">
                    <w:txbxContent>
                      <w:p>
                        <w:pPr>
                          <w:pStyle w:val="8"/>
                          <w:spacing w:before="20" w:line="217" w:lineRule="auto"/>
                          <w:ind w:left="20"/>
                        </w:pPr>
                        <w:r>
                          <w:rPr>
                            <w:spacing w:val="-2"/>
                          </w:rPr>
                          <w:t>未按照</w:t>
                        </w:r>
                      </w:p>
                    </w:txbxContent>
                  </v:textbox>
                </v:shape>
              </w:pict>
            </w:r>
            <w:r>
              <w:rPr>
                <w:position w:val="-6"/>
              </w:rPr>
              <w:drawing>
                <wp:inline distT="0" distB="0" distL="0" distR="0">
                  <wp:extent cx="5715" cy="1981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88"/>
                          <a:stretch>
                            <a:fillRect/>
                          </a:stretch>
                        </pic:blipFill>
                        <pic:spPr>
                          <a:xfrm>
                            <a:off x="0" y="0"/>
                            <a:ext cx="6096" cy="198120"/>
                          </a:xfrm>
                          <a:prstGeom prst="rect">
                            <a:avLst/>
                          </a:prstGeom>
                        </pic:spPr>
                      </pic:pic>
                    </a:graphicData>
                  </a:graphic>
                </wp:inline>
              </w:drawing>
            </w:r>
            <w:r>
              <w:rPr>
                <w:spacing w:val="3"/>
                <w:shd w:val="clear" w:fill="D9D9D9"/>
              </w:rPr>
              <w:t>规定披露信息，或者所披露的信息有虚假记载、误导性陈述</w:t>
            </w:r>
          </w:p>
          <w:tbl>
            <w:tblPr>
              <w:tblStyle w:val="7"/>
              <w:tblW w:w="7059"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2"/>
              <w:gridCol w:w="3399"/>
              <w:gridCol w:w="252"/>
              <w:gridCol w:w="1221"/>
              <w:gridCol w:w="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702" w:type="dxa"/>
                  <w:tcBorders>
                    <w:left w:val="nil"/>
                    <w:bottom w:val="nil"/>
                  </w:tcBorders>
                  <w:shd w:val="clear" w:color="auto" w:fill="D9D9D9"/>
                  <w:vAlign w:val="top"/>
                </w:tcPr>
                <w:p>
                  <w:pPr>
                    <w:pStyle w:val="8"/>
                    <w:spacing w:before="51" w:line="165" w:lineRule="auto"/>
                    <w:ind w:left="9"/>
                  </w:pPr>
                  <w:r>
                    <w:t>或者重大遗漏的</w:t>
                  </w:r>
                </w:p>
              </w:tc>
              <w:tc>
                <w:tcPr>
                  <w:tcW w:w="3399" w:type="dxa"/>
                  <w:tcBorders>
                    <w:bottom w:val="nil"/>
                  </w:tcBorders>
                  <w:vAlign w:val="top"/>
                </w:tcPr>
                <w:p>
                  <w:pPr>
                    <w:pStyle w:val="8"/>
                    <w:spacing w:before="51" w:line="165" w:lineRule="auto"/>
                    <w:ind w:left="35"/>
                  </w:pPr>
                  <w:r>
                    <w:rPr>
                      <w:spacing w:val="-2"/>
                    </w:rPr>
                    <w:t>,责令改正，给予警告， 并处以</w:t>
                  </w:r>
                </w:p>
              </w:tc>
              <w:tc>
                <w:tcPr>
                  <w:tcW w:w="252" w:type="dxa"/>
                  <w:tcBorders>
                    <w:bottom w:val="nil"/>
                  </w:tcBorders>
                  <w:shd w:val="clear" w:color="auto" w:fill="D9D9D9"/>
                  <w:vAlign w:val="top"/>
                </w:tcPr>
                <w:p>
                  <w:pPr>
                    <w:pStyle w:val="8"/>
                    <w:spacing w:before="51" w:line="165" w:lineRule="auto"/>
                    <w:jc w:val="right"/>
                  </w:pPr>
                  <w:r>
                    <w:rPr>
                      <w:spacing w:val="-28"/>
                    </w:rPr>
                    <w:t>三</w:t>
                  </w:r>
                </w:p>
              </w:tc>
              <w:tc>
                <w:tcPr>
                  <w:tcW w:w="1221" w:type="dxa"/>
                  <w:tcBorders>
                    <w:bottom w:val="nil"/>
                  </w:tcBorders>
                  <w:vAlign w:val="top"/>
                </w:tcPr>
                <w:p>
                  <w:pPr>
                    <w:pStyle w:val="8"/>
                    <w:spacing w:before="51" w:line="165" w:lineRule="auto"/>
                    <w:ind w:left="21"/>
                  </w:pPr>
                  <w:r>
                    <w:rPr>
                      <w:spacing w:val="-3"/>
                    </w:rPr>
                    <w:t>十万元以上</w:t>
                  </w:r>
                </w:p>
              </w:tc>
              <w:tc>
                <w:tcPr>
                  <w:tcW w:w="485" w:type="dxa"/>
                  <w:tcBorders>
                    <w:bottom w:val="nil"/>
                    <w:right w:val="nil"/>
                  </w:tcBorders>
                  <w:shd w:val="clear" w:color="auto" w:fill="D9D9D9"/>
                  <w:vAlign w:val="top"/>
                </w:tcPr>
                <w:p>
                  <w:pPr>
                    <w:pStyle w:val="8"/>
                    <w:spacing w:before="51" w:line="165" w:lineRule="auto"/>
                    <w:jc w:val="right"/>
                  </w:pPr>
                  <w:r>
                    <w:rPr>
                      <w:spacing w:val="-11"/>
                    </w:rPr>
                    <w:t>六十</w:t>
                  </w:r>
                </w:p>
              </w:tc>
            </w:tr>
          </w:tbl>
          <w:p>
            <w:pPr>
              <w:spacing w:line="14" w:lineRule="auto"/>
              <w:rPr>
                <w:rFonts w:ascii="Arial"/>
                <w:sz w:val="2"/>
              </w:rPr>
            </w:pP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7095" w:type="dxa"/>
            <w:gridSpan w:val="14"/>
            <w:tcBorders>
              <w:top w:val="nil"/>
              <w:left w:val="single" w:color="000000" w:sz="6" w:space="0"/>
              <w:bottom w:val="nil"/>
              <w:right w:val="single" w:color="000000" w:sz="6" w:space="0"/>
            </w:tcBorders>
            <w:vAlign w:val="top"/>
          </w:tcPr>
          <w:p>
            <w:pPr>
              <w:pStyle w:val="8"/>
              <w:spacing w:before="83" w:line="213" w:lineRule="auto"/>
              <w:jc w:val="right"/>
            </w:pPr>
            <w:r>
              <w:rPr>
                <w:spacing w:val="3"/>
              </w:rPr>
              <w:t>万元以下的罚款。对直接负责的主管人员和其他直接责任人员给予</w:t>
            </w:r>
          </w:p>
          <w:p>
            <w:pPr>
              <w:spacing w:line="9" w:lineRule="exact"/>
              <w:ind w:left="1444"/>
            </w:pPr>
            <w:r>
              <w:drawing>
                <wp:inline distT="0" distB="0" distL="0" distR="0">
                  <wp:extent cx="1090930" cy="5715"/>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30"/>
                          <a:stretch>
                            <a:fillRect/>
                          </a:stretch>
                        </pic:blipFill>
                        <pic:spPr>
                          <a:xfrm>
                            <a:off x="0" y="0"/>
                            <a:ext cx="1091183" cy="6096"/>
                          </a:xfrm>
                          <a:prstGeom prst="rect">
                            <a:avLst/>
                          </a:prstGeom>
                        </pic:spPr>
                      </pic:pic>
                    </a:graphicData>
                  </a:graphic>
                </wp:inline>
              </w:drawing>
            </w:r>
          </w:p>
          <w:p>
            <w:pPr>
              <w:pStyle w:val="8"/>
              <w:tabs>
                <w:tab w:val="left" w:pos="502"/>
              </w:tabs>
              <w:spacing w:before="2" w:line="239" w:lineRule="auto"/>
              <w:ind w:left="13" w:right="6" w:hanging="1"/>
            </w:pPr>
            <w:r>
              <w:rPr>
                <w:spacing w:val="-12"/>
              </w:rPr>
              <w:t>警告</w:t>
            </w:r>
            <w:r>
              <w:rPr>
                <w:spacing w:val="-90"/>
              </w:rPr>
              <w:t xml:space="preserve"> </w:t>
            </w:r>
            <w:r>
              <w:rPr>
                <w:position w:val="-8"/>
              </w:rPr>
              <w:drawing>
                <wp:inline distT="0" distB="0" distL="0" distR="0">
                  <wp:extent cx="5715" cy="5715"/>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74"/>
                          <a:stretch>
                            <a:fillRect/>
                          </a:stretch>
                        </pic:blipFill>
                        <pic:spPr>
                          <a:xfrm>
                            <a:off x="0" y="0"/>
                            <a:ext cx="6096" cy="6096"/>
                          </a:xfrm>
                          <a:prstGeom prst="rect">
                            <a:avLst/>
                          </a:prstGeom>
                        </pic:spPr>
                      </pic:pic>
                    </a:graphicData>
                  </a:graphic>
                </wp:inline>
              </w:drawing>
            </w:r>
            <w:r>
              <w:rPr>
                <w:spacing w:val="-116"/>
                <w:u w:val="single" w:color="auto"/>
              </w:rPr>
              <w:t xml:space="preserve"> </w:t>
            </w:r>
            <w:r>
              <w:rPr>
                <w:spacing w:val="-12"/>
                <w:u w:val="single" w:color="auto"/>
              </w:rPr>
              <w:t>，并处以</w:t>
            </w:r>
            <w:r>
              <w:rPr>
                <w:spacing w:val="-90"/>
                <w:u w:val="single" w:color="auto"/>
              </w:rPr>
              <w:t xml:space="preserve"> </w:t>
            </w:r>
            <w:r>
              <w:rPr>
                <w:position w:val="-7"/>
              </w:rPr>
              <w:drawing>
                <wp:inline distT="0" distB="0" distL="0" distR="0">
                  <wp:extent cx="5715" cy="203835"/>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80"/>
                          <a:stretch>
                            <a:fillRect/>
                          </a:stretch>
                        </pic:blipFill>
                        <pic:spPr>
                          <a:xfrm>
                            <a:off x="0" y="0"/>
                            <a:ext cx="6095" cy="204216"/>
                          </a:xfrm>
                          <a:prstGeom prst="rect">
                            <a:avLst/>
                          </a:prstGeom>
                        </pic:spPr>
                      </pic:pic>
                    </a:graphicData>
                  </a:graphic>
                </wp:inline>
              </w:drawing>
            </w:r>
            <w:r>
              <w:rPr>
                <w:spacing w:val="-12"/>
                <w:u w:val="single" w:color="auto"/>
                <w:shd w:val="clear" w:fill="D9D9D9"/>
              </w:rPr>
              <w:t>三</w:t>
            </w:r>
            <w:r>
              <w:rPr>
                <w:position w:val="-7"/>
              </w:rPr>
              <w:drawing>
                <wp:inline distT="0" distB="0" distL="0" distR="0">
                  <wp:extent cx="5715" cy="203835"/>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73"/>
                          <a:stretch>
                            <a:fillRect/>
                          </a:stretch>
                        </pic:blipFill>
                        <pic:spPr>
                          <a:xfrm>
                            <a:off x="0" y="0"/>
                            <a:ext cx="6095" cy="204216"/>
                          </a:xfrm>
                          <a:prstGeom prst="rect">
                            <a:avLst/>
                          </a:prstGeom>
                        </pic:spPr>
                      </pic:pic>
                    </a:graphicData>
                  </a:graphic>
                </wp:inline>
              </w:drawing>
            </w:r>
            <w:r>
              <w:rPr>
                <w:spacing w:val="-12"/>
                <w:u w:val="single" w:color="auto"/>
              </w:rPr>
              <w:t>万元以上</w:t>
            </w:r>
            <w:r>
              <w:rPr>
                <w:position w:val="-7"/>
              </w:rPr>
              <w:drawing>
                <wp:inline distT="0" distB="0" distL="0" distR="0">
                  <wp:extent cx="5715" cy="203835"/>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80"/>
                          <a:stretch>
                            <a:fillRect/>
                          </a:stretch>
                        </pic:blipFill>
                        <pic:spPr>
                          <a:xfrm>
                            <a:off x="0" y="0"/>
                            <a:ext cx="6095" cy="204216"/>
                          </a:xfrm>
                          <a:prstGeom prst="rect">
                            <a:avLst/>
                          </a:prstGeom>
                        </pic:spPr>
                      </pic:pic>
                    </a:graphicData>
                  </a:graphic>
                </wp:inline>
              </w:drawing>
            </w:r>
            <w:r>
              <w:rPr>
                <w:spacing w:val="-12"/>
                <w:u w:val="single" w:color="auto"/>
                <w:shd w:val="clear" w:fill="D9D9D9"/>
              </w:rPr>
              <w:t>三十</w:t>
            </w:r>
            <w:r>
              <w:rPr>
                <w:position w:val="-7"/>
              </w:rPr>
              <w:drawing>
                <wp:inline distT="0" distB="0" distL="0" distR="0">
                  <wp:extent cx="5715" cy="203835"/>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77"/>
                          <a:stretch>
                            <a:fillRect/>
                          </a:stretch>
                        </pic:blipFill>
                        <pic:spPr>
                          <a:xfrm>
                            <a:off x="0" y="0"/>
                            <a:ext cx="6095" cy="204216"/>
                          </a:xfrm>
                          <a:prstGeom prst="rect">
                            <a:avLst/>
                          </a:prstGeom>
                        </pic:spPr>
                      </pic:pic>
                    </a:graphicData>
                  </a:graphic>
                </wp:inline>
              </w:drawing>
            </w:r>
            <w:r>
              <w:rPr>
                <w:spacing w:val="-12"/>
                <w:u w:val="single" w:color="auto"/>
              </w:rPr>
              <w:t>万</w:t>
            </w:r>
            <w:r>
              <w:rPr>
                <w:spacing w:val="-12"/>
              </w:rPr>
              <w:t>元以下的罚款。</w:t>
            </w:r>
            <w:r>
              <w:rPr>
                <w:spacing w:val="93"/>
              </w:rPr>
              <w:t xml:space="preserve"> </w:t>
            </w:r>
            <w:r>
              <w:rPr>
                <w:position w:val="-8"/>
              </w:rPr>
              <w:drawing>
                <wp:inline distT="0" distB="0" distL="0" distR="0">
                  <wp:extent cx="5715" cy="5715"/>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72"/>
                          <a:stretch>
                            <a:fillRect/>
                          </a:stretch>
                        </pic:blipFill>
                        <pic:spPr>
                          <a:xfrm>
                            <a:off x="0" y="0"/>
                            <a:ext cx="6096" cy="6096"/>
                          </a:xfrm>
                          <a:prstGeom prst="rect">
                            <a:avLst/>
                          </a:prstGeom>
                        </pic:spPr>
                      </pic:pic>
                    </a:graphicData>
                  </a:graphic>
                </wp:inline>
              </w:drawing>
            </w:r>
            <w:r>
              <w:rPr>
                <w:spacing w:val="1"/>
                <w:u w:val="single" w:color="auto"/>
              </w:rPr>
              <w:t xml:space="preserve">                </w:t>
            </w:r>
            <w:r>
              <w:rPr>
                <w:spacing w:val="1"/>
              </w:rPr>
              <w:t xml:space="preserve"> </w:t>
            </w:r>
            <w:r>
              <w:rPr>
                <w:u w:val="single" w:color="auto"/>
              </w:rPr>
              <w:tab/>
            </w:r>
            <w:r>
              <w:rPr>
                <w:position w:val="-7"/>
              </w:rPr>
              <w:drawing>
                <wp:inline distT="0" distB="0" distL="0" distR="0">
                  <wp:extent cx="6985" cy="203835"/>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80"/>
                          <a:stretch>
                            <a:fillRect/>
                          </a:stretch>
                        </pic:blipFill>
                        <pic:spPr>
                          <a:xfrm>
                            <a:off x="0" y="0"/>
                            <a:ext cx="7459" cy="204216"/>
                          </a:xfrm>
                          <a:prstGeom prst="rect">
                            <a:avLst/>
                          </a:prstGeom>
                        </pic:spPr>
                      </pic:pic>
                    </a:graphicData>
                  </a:graphic>
                </wp:inline>
              </w:drawing>
            </w:r>
            <w:r>
              <w:rPr>
                <w:spacing w:val="-3"/>
                <w:u w:val="single" w:color="auto"/>
                <w:shd w:val="clear" w:fill="D9D9D9"/>
              </w:rPr>
              <w:t>发行人、 上市公司或者其他</w:t>
            </w:r>
            <w:r>
              <w:rPr>
                <w:position w:val="-7"/>
              </w:rPr>
              <w:drawing>
                <wp:inline distT="0" distB="0" distL="0" distR="0">
                  <wp:extent cx="6985" cy="203835"/>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77"/>
                          <a:stretch>
                            <a:fillRect/>
                          </a:stretch>
                        </pic:blipFill>
                        <pic:spPr>
                          <a:xfrm>
                            <a:off x="0" y="0"/>
                            <a:ext cx="7459" cy="204216"/>
                          </a:xfrm>
                          <a:prstGeom prst="rect">
                            <a:avLst/>
                          </a:prstGeom>
                        </pic:spPr>
                      </pic:pic>
                    </a:graphicData>
                  </a:graphic>
                </wp:inline>
              </w:drawing>
            </w:r>
            <w:r>
              <w:rPr>
                <w:spacing w:val="-3"/>
              </w:rPr>
              <w:t>信息披露义务人</w:t>
            </w:r>
            <w:r>
              <w:rPr>
                <w:position w:val="-7"/>
              </w:rPr>
              <w:drawing>
                <wp:inline distT="0" distB="0" distL="0" distR="0">
                  <wp:extent cx="6985" cy="203835"/>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73"/>
                          <a:stretch>
                            <a:fillRect/>
                          </a:stretch>
                        </pic:blipFill>
                        <pic:spPr>
                          <a:xfrm>
                            <a:off x="0" y="0"/>
                            <a:ext cx="7459" cy="204216"/>
                          </a:xfrm>
                          <a:prstGeom prst="rect">
                            <a:avLst/>
                          </a:prstGeom>
                        </pic:spPr>
                      </pic:pic>
                    </a:graphicData>
                  </a:graphic>
                </wp:inline>
              </w:drawing>
            </w:r>
            <w:r>
              <w:rPr>
                <w:spacing w:val="-3"/>
                <w:u w:val="single" w:color="auto"/>
                <w:shd w:val="clear" w:fill="D9D9D9"/>
              </w:rPr>
              <w:t>未按照规定报送有</w:t>
            </w:r>
          </w:p>
          <w:p>
            <w:pPr>
              <w:pStyle w:val="8"/>
              <w:spacing w:before="10" w:line="212" w:lineRule="auto"/>
              <w:jc w:val="right"/>
            </w:pPr>
            <w:r>
              <w:rPr>
                <w:spacing w:val="11"/>
                <w:shd w:val="clear" w:fill="D9D9D9"/>
              </w:rPr>
              <w:t>关报告，或者</w:t>
            </w:r>
            <w:r>
              <w:rPr>
                <w:spacing w:val="-105"/>
                <w:shd w:val="clear" w:fill="D9D9D9"/>
              </w:rPr>
              <w:t xml:space="preserve"> </w:t>
            </w:r>
            <w:r>
              <w:rPr>
                <w:position w:val="-6"/>
              </w:rPr>
              <w:drawing>
                <wp:inline distT="0" distB="0" distL="0" distR="0">
                  <wp:extent cx="5715" cy="17526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31"/>
                          <a:stretch>
                            <a:fillRect/>
                          </a:stretch>
                        </pic:blipFill>
                        <pic:spPr>
                          <a:xfrm>
                            <a:off x="0" y="0"/>
                            <a:ext cx="6094" cy="175387"/>
                          </a:xfrm>
                          <a:prstGeom prst="rect">
                            <a:avLst/>
                          </a:prstGeom>
                        </pic:spPr>
                      </pic:pic>
                    </a:graphicData>
                  </a:graphic>
                </wp:inline>
              </w:drawing>
            </w:r>
            <w:r>
              <w:rPr>
                <w:spacing w:val="11"/>
              </w:rPr>
              <w:t>报送的报告有虚假记载、误导性</w:t>
            </w:r>
            <w:r>
              <w:rPr>
                <w:spacing w:val="10"/>
              </w:rPr>
              <w:t>陈述或者重大遗漏</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3664" w:type="dxa"/>
            <w:gridSpan w:val="6"/>
            <w:tcBorders>
              <w:top w:val="nil"/>
              <w:left w:val="single" w:color="000000" w:sz="6" w:space="0"/>
              <w:bottom w:val="nil"/>
            </w:tcBorders>
            <w:vAlign w:val="top"/>
          </w:tcPr>
          <w:p>
            <w:pPr>
              <w:pStyle w:val="8"/>
              <w:spacing w:before="77" w:line="178" w:lineRule="auto"/>
              <w:ind w:left="34"/>
            </w:pPr>
            <w:r>
              <w:rPr>
                <w:spacing w:val="-13"/>
              </w:rPr>
              <w:t>的，</w:t>
            </w:r>
            <w:r>
              <w:rPr>
                <w:spacing w:val="-25"/>
              </w:rPr>
              <w:t xml:space="preserve"> </w:t>
            </w:r>
            <w:r>
              <w:rPr>
                <w:spacing w:val="-13"/>
              </w:rPr>
              <w:t>责令改正，给予警告， 并处以</w:t>
            </w:r>
          </w:p>
        </w:tc>
        <w:tc>
          <w:tcPr>
            <w:tcW w:w="494" w:type="dxa"/>
            <w:shd w:val="clear" w:color="auto" w:fill="D9D9D9"/>
            <w:vAlign w:val="top"/>
          </w:tcPr>
          <w:p>
            <w:pPr>
              <w:pStyle w:val="8"/>
              <w:spacing w:before="77" w:line="178" w:lineRule="auto"/>
              <w:jc w:val="right"/>
            </w:pPr>
            <w:r>
              <w:rPr>
                <w:spacing w:val="-14"/>
              </w:rPr>
              <w:t>三十</w:t>
            </w:r>
          </w:p>
        </w:tc>
        <w:tc>
          <w:tcPr>
            <w:tcW w:w="984" w:type="dxa"/>
            <w:gridSpan w:val="2"/>
            <w:tcBorders>
              <w:top w:val="nil"/>
              <w:bottom w:val="nil"/>
            </w:tcBorders>
            <w:vAlign w:val="top"/>
          </w:tcPr>
          <w:p>
            <w:pPr>
              <w:pStyle w:val="8"/>
              <w:spacing w:before="77" w:line="178" w:lineRule="auto"/>
              <w:ind w:left="19"/>
            </w:pPr>
            <w:r>
              <w:rPr>
                <w:spacing w:val="-3"/>
              </w:rPr>
              <w:t>万元以上</w:t>
            </w:r>
          </w:p>
        </w:tc>
        <w:tc>
          <w:tcPr>
            <w:tcW w:w="490" w:type="dxa"/>
            <w:gridSpan w:val="2"/>
            <w:shd w:val="clear" w:color="auto" w:fill="D9D9D9"/>
            <w:vAlign w:val="top"/>
          </w:tcPr>
          <w:p>
            <w:pPr>
              <w:pStyle w:val="8"/>
              <w:spacing w:before="77" w:line="178" w:lineRule="auto"/>
              <w:jc w:val="right"/>
            </w:pPr>
            <w:r>
              <w:rPr>
                <w:spacing w:val="-10"/>
              </w:rPr>
              <w:t>六十</w:t>
            </w:r>
          </w:p>
        </w:tc>
        <w:tc>
          <w:tcPr>
            <w:tcW w:w="1463" w:type="dxa"/>
            <w:gridSpan w:val="3"/>
            <w:tcBorders>
              <w:top w:val="nil"/>
              <w:bottom w:val="nil"/>
              <w:right w:val="single" w:color="000000" w:sz="6" w:space="0"/>
            </w:tcBorders>
            <w:vAlign w:val="top"/>
          </w:tcPr>
          <w:p>
            <w:pPr>
              <w:pStyle w:val="8"/>
              <w:spacing w:before="77" w:line="178" w:lineRule="auto"/>
              <w:ind w:right="2"/>
              <w:jc w:val="right"/>
            </w:pPr>
            <w:r>
              <w:rPr>
                <w:spacing w:val="-3"/>
              </w:rPr>
              <w:t>万元以下的罚</w:t>
            </w:r>
          </w:p>
        </w:tc>
        <w:tc>
          <w:tcPr>
            <w:tcW w:w="6812"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7095" w:type="dxa"/>
            <w:gridSpan w:val="14"/>
            <w:tcBorders>
              <w:top w:val="nil"/>
              <w:left w:val="single" w:color="000000" w:sz="6" w:space="0"/>
              <w:bottom w:val="single" w:color="000000" w:sz="6" w:space="0"/>
              <w:right w:val="single" w:color="000000" w:sz="6" w:space="0"/>
            </w:tcBorders>
            <w:vAlign w:val="top"/>
          </w:tcPr>
          <w:p>
            <w:pPr>
              <w:pStyle w:val="8"/>
              <w:spacing w:before="71" w:line="226" w:lineRule="auto"/>
              <w:ind w:left="30" w:hanging="15"/>
            </w:pPr>
            <w:r>
              <w:rPr>
                <w:spacing w:val="3"/>
              </w:rPr>
              <w:t>款。对直接负责的主管人员和其他直接责任人员给予警告，并处以</w:t>
            </w:r>
            <w:r>
              <w:rPr>
                <w:spacing w:val="16"/>
              </w:rPr>
              <w:t xml:space="preserve"> </w:t>
            </w:r>
            <w:r>
              <w:rPr>
                <w:spacing w:val="-5"/>
              </w:rPr>
              <w:t>三万元以上三十万元以下的罚款。</w:t>
            </w:r>
          </w:p>
          <w:p>
            <w:pPr>
              <w:spacing w:line="9" w:lineRule="exact"/>
              <w:ind w:left="1230"/>
            </w:pPr>
            <w:r>
              <w:drawing>
                <wp:inline distT="0" distB="0" distL="0" distR="0">
                  <wp:extent cx="2482850" cy="5715"/>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32"/>
                          <a:stretch>
                            <a:fillRect/>
                          </a:stretch>
                        </pic:blipFill>
                        <pic:spPr>
                          <a:xfrm>
                            <a:off x="0" y="0"/>
                            <a:ext cx="2482977" cy="6095"/>
                          </a:xfrm>
                          <a:prstGeom prst="rect">
                            <a:avLst/>
                          </a:prstGeom>
                        </pic:spPr>
                      </pic:pic>
                    </a:graphicData>
                  </a:graphic>
                </wp:inline>
              </w:drawing>
            </w:r>
          </w:p>
          <w:p>
            <w:pPr>
              <w:pStyle w:val="8"/>
              <w:spacing w:before="1" w:line="243" w:lineRule="auto"/>
              <w:ind w:left="16" w:right="22" w:firstLine="496"/>
            </w:pPr>
            <w:r>
              <w:rPr>
                <w:spacing w:val="-1"/>
                <w:position w:val="7"/>
              </w:rPr>
              <w:t>发行人</w:t>
            </w:r>
            <w:r>
              <w:drawing>
                <wp:inline distT="0" distB="0" distL="0" distR="0">
                  <wp:extent cx="4445" cy="203835"/>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70"/>
                          <a:stretch>
                            <a:fillRect/>
                          </a:stretch>
                        </pic:blipFill>
                        <pic:spPr>
                          <a:xfrm>
                            <a:off x="0" y="0"/>
                            <a:ext cx="4597" cy="204215"/>
                          </a:xfrm>
                          <a:prstGeom prst="rect">
                            <a:avLst/>
                          </a:prstGeom>
                        </pic:spPr>
                      </pic:pic>
                    </a:graphicData>
                  </a:graphic>
                </wp:inline>
              </w:drawing>
            </w:r>
            <w:r>
              <w:drawing>
                <wp:inline distT="0" distB="0" distL="0" distR="0">
                  <wp:extent cx="4445" cy="5715"/>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75"/>
                          <a:stretch>
                            <a:fillRect/>
                          </a:stretch>
                        </pic:blipFill>
                        <pic:spPr>
                          <a:xfrm>
                            <a:off x="0" y="0"/>
                            <a:ext cx="4597" cy="6095"/>
                          </a:xfrm>
                          <a:prstGeom prst="rect">
                            <a:avLst/>
                          </a:prstGeom>
                        </pic:spPr>
                      </pic:pic>
                    </a:graphicData>
                  </a:graphic>
                </wp:inline>
              </w:drawing>
            </w:r>
            <w:r>
              <w:rPr>
                <w:spacing w:val="-89"/>
                <w:position w:val="7"/>
                <w:u w:val="single" w:color="auto"/>
                <w:shd w:val="clear" w:fill="D9D9D9"/>
              </w:rPr>
              <w:t xml:space="preserve"> </w:t>
            </w:r>
            <w:r>
              <w:rPr>
                <w:spacing w:val="-1"/>
                <w:position w:val="7"/>
                <w:u w:val="single" w:color="auto"/>
                <w:shd w:val="clear" w:fill="D9D9D9"/>
              </w:rPr>
              <w:t>、上市公司或者其他信息披露义务人</w:t>
            </w:r>
            <w:r>
              <w:drawing>
                <wp:inline distT="0" distB="0" distL="0" distR="0">
                  <wp:extent cx="4445" cy="203835"/>
                  <wp:effectExtent l="0" t="0" r="0" b="0"/>
                  <wp:docPr id="1084" name="IM 1084"/>
                  <wp:cNvGraphicFramePr/>
                  <a:graphic xmlns:a="http://schemas.openxmlformats.org/drawingml/2006/main">
                    <a:graphicData uri="http://schemas.openxmlformats.org/drawingml/2006/picture">
                      <pic:pic xmlns:pic="http://schemas.openxmlformats.org/drawingml/2006/picture">
                        <pic:nvPicPr>
                          <pic:cNvPr id="1084" name="IM 1084"/>
                          <pic:cNvPicPr/>
                        </pic:nvPicPr>
                        <pic:blipFill>
                          <a:blip r:embed="rId70"/>
                          <a:stretch>
                            <a:fillRect/>
                          </a:stretch>
                        </pic:blipFill>
                        <pic:spPr>
                          <a:xfrm>
                            <a:off x="0" y="0"/>
                            <a:ext cx="4597" cy="204215"/>
                          </a:xfrm>
                          <a:prstGeom prst="rect">
                            <a:avLst/>
                          </a:prstGeom>
                        </pic:spPr>
                      </pic:pic>
                    </a:graphicData>
                  </a:graphic>
                </wp:inline>
              </w:drawing>
            </w:r>
            <w:r>
              <w:drawing>
                <wp:inline distT="0" distB="0" distL="0" distR="0">
                  <wp:extent cx="4445" cy="5715"/>
                  <wp:effectExtent l="0" t="0" r="0" b="0"/>
                  <wp:docPr id="1086" name="IM 1086"/>
                  <wp:cNvGraphicFramePr/>
                  <a:graphic xmlns:a="http://schemas.openxmlformats.org/drawingml/2006/main">
                    <a:graphicData uri="http://schemas.openxmlformats.org/drawingml/2006/picture">
                      <pic:pic xmlns:pic="http://schemas.openxmlformats.org/drawingml/2006/picture">
                        <pic:nvPicPr>
                          <pic:cNvPr id="1086" name="IM 1086"/>
                          <pic:cNvPicPr/>
                        </pic:nvPicPr>
                        <pic:blipFill>
                          <a:blip r:embed="rId75"/>
                          <a:stretch>
                            <a:fillRect/>
                          </a:stretch>
                        </pic:blipFill>
                        <pic:spPr>
                          <a:xfrm>
                            <a:off x="0" y="0"/>
                            <a:ext cx="4597" cy="6095"/>
                          </a:xfrm>
                          <a:prstGeom prst="rect">
                            <a:avLst/>
                          </a:prstGeom>
                        </pic:spPr>
                      </pic:pic>
                    </a:graphicData>
                  </a:graphic>
                </wp:inline>
              </w:drawing>
            </w:r>
            <w:r>
              <w:rPr>
                <w:spacing w:val="-90"/>
                <w:position w:val="7"/>
                <w:u w:val="single" w:color="auto"/>
              </w:rPr>
              <w:t xml:space="preserve"> </w:t>
            </w:r>
            <w:r>
              <w:rPr>
                <w:spacing w:val="-1"/>
                <w:position w:val="7"/>
                <w:u w:val="single" w:color="auto"/>
              </w:rPr>
              <w:t>的控股股</w:t>
            </w:r>
            <w:r>
              <w:rPr>
                <w:spacing w:val="-1"/>
                <w:position w:val="7"/>
              </w:rPr>
              <w:t>东、实际</w:t>
            </w:r>
            <w:r>
              <w:rPr>
                <w:position w:val="7"/>
              </w:rPr>
              <w:t xml:space="preserve"> </w:t>
            </w:r>
            <w:r>
              <w:rPr>
                <w:spacing w:val="-8"/>
              </w:rPr>
              <w:t>控制人指使从事</w:t>
            </w:r>
            <w:r>
              <w:rPr>
                <w:position w:val="-7"/>
              </w:rPr>
              <w:drawing>
                <wp:inline distT="0" distB="0" distL="0" distR="0">
                  <wp:extent cx="3175" cy="204470"/>
                  <wp:effectExtent l="0" t="0" r="0" b="0"/>
                  <wp:docPr id="1088" name="IM 1088"/>
                  <wp:cNvGraphicFramePr/>
                  <a:graphic xmlns:a="http://schemas.openxmlformats.org/drawingml/2006/main">
                    <a:graphicData uri="http://schemas.openxmlformats.org/drawingml/2006/picture">
                      <pic:pic xmlns:pic="http://schemas.openxmlformats.org/drawingml/2006/picture">
                        <pic:nvPicPr>
                          <pic:cNvPr id="1088" name="IM 1088"/>
                          <pic:cNvPicPr/>
                        </pic:nvPicPr>
                        <pic:blipFill>
                          <a:blip r:embed="rId76"/>
                          <a:stretch>
                            <a:fillRect/>
                          </a:stretch>
                        </pic:blipFill>
                        <pic:spPr>
                          <a:xfrm>
                            <a:off x="0" y="0"/>
                            <a:ext cx="3519" cy="204596"/>
                          </a:xfrm>
                          <a:prstGeom prst="rect">
                            <a:avLst/>
                          </a:prstGeom>
                        </pic:spPr>
                      </pic:pic>
                    </a:graphicData>
                  </a:graphic>
                </wp:inline>
              </w:drawing>
            </w:r>
            <w:r>
              <w:rPr>
                <w:position w:val="-7"/>
              </w:rPr>
              <w:drawing>
                <wp:inline distT="0" distB="0" distL="0" distR="0">
                  <wp:extent cx="3175" cy="5715"/>
                  <wp:effectExtent l="0" t="0" r="0" b="0"/>
                  <wp:docPr id="1090" name="IM 1090"/>
                  <wp:cNvGraphicFramePr/>
                  <a:graphic xmlns:a="http://schemas.openxmlformats.org/drawingml/2006/main">
                    <a:graphicData uri="http://schemas.openxmlformats.org/drawingml/2006/picture">
                      <pic:pic xmlns:pic="http://schemas.openxmlformats.org/drawingml/2006/picture">
                        <pic:nvPicPr>
                          <pic:cNvPr id="1090" name="IM 1090"/>
                          <pic:cNvPicPr/>
                        </pic:nvPicPr>
                        <pic:blipFill>
                          <a:blip r:embed="rId74"/>
                          <a:stretch>
                            <a:fillRect/>
                          </a:stretch>
                        </pic:blipFill>
                        <pic:spPr>
                          <a:xfrm>
                            <a:off x="0" y="0"/>
                            <a:ext cx="3519" cy="6095"/>
                          </a:xfrm>
                          <a:prstGeom prst="rect">
                            <a:avLst/>
                          </a:prstGeom>
                        </pic:spPr>
                      </pic:pic>
                    </a:graphicData>
                  </a:graphic>
                </wp:inline>
              </w:drawing>
            </w:r>
            <w:r>
              <w:rPr>
                <w:spacing w:val="-104"/>
                <w:u w:val="single" w:color="auto"/>
                <w:shd w:val="clear" w:fill="D9D9D9"/>
              </w:rPr>
              <w:t xml:space="preserve"> </w:t>
            </w:r>
            <w:r>
              <w:rPr>
                <w:spacing w:val="-8"/>
                <w:u w:val="single" w:color="auto"/>
                <w:shd w:val="clear" w:fill="D9D9D9"/>
              </w:rPr>
              <w:t>前两款</w:t>
            </w:r>
            <w:r>
              <w:rPr>
                <w:position w:val="-7"/>
              </w:rPr>
              <w:drawing>
                <wp:inline distT="0" distB="0" distL="0" distR="0">
                  <wp:extent cx="3175" cy="204470"/>
                  <wp:effectExtent l="0" t="0" r="0" b="0"/>
                  <wp:docPr id="1092" name="IM 1092"/>
                  <wp:cNvGraphicFramePr/>
                  <a:graphic xmlns:a="http://schemas.openxmlformats.org/drawingml/2006/main">
                    <a:graphicData uri="http://schemas.openxmlformats.org/drawingml/2006/picture">
                      <pic:pic xmlns:pic="http://schemas.openxmlformats.org/drawingml/2006/picture">
                        <pic:nvPicPr>
                          <pic:cNvPr id="1092" name="IM 1092"/>
                          <pic:cNvPicPr/>
                        </pic:nvPicPr>
                        <pic:blipFill>
                          <a:blip r:embed="rId83"/>
                          <a:stretch>
                            <a:fillRect/>
                          </a:stretch>
                        </pic:blipFill>
                        <pic:spPr>
                          <a:xfrm>
                            <a:off x="0" y="0"/>
                            <a:ext cx="3519" cy="204596"/>
                          </a:xfrm>
                          <a:prstGeom prst="rect">
                            <a:avLst/>
                          </a:prstGeom>
                        </pic:spPr>
                      </pic:pic>
                    </a:graphicData>
                  </a:graphic>
                </wp:inline>
              </w:drawing>
            </w:r>
            <w:r>
              <w:rPr>
                <w:position w:val="-7"/>
              </w:rPr>
              <w:drawing>
                <wp:inline distT="0" distB="0" distL="0" distR="0">
                  <wp:extent cx="3175" cy="5715"/>
                  <wp:effectExtent l="0" t="0" r="0" b="0"/>
                  <wp:docPr id="1094" name="IM 1094"/>
                  <wp:cNvGraphicFramePr/>
                  <a:graphic xmlns:a="http://schemas.openxmlformats.org/drawingml/2006/main">
                    <a:graphicData uri="http://schemas.openxmlformats.org/drawingml/2006/picture">
                      <pic:pic xmlns:pic="http://schemas.openxmlformats.org/drawingml/2006/picture">
                        <pic:nvPicPr>
                          <pic:cNvPr id="1094" name="IM 1094"/>
                          <pic:cNvPicPr/>
                        </pic:nvPicPr>
                        <pic:blipFill>
                          <a:blip r:embed="rId72"/>
                          <a:stretch>
                            <a:fillRect/>
                          </a:stretch>
                        </pic:blipFill>
                        <pic:spPr>
                          <a:xfrm>
                            <a:off x="0" y="0"/>
                            <a:ext cx="3519" cy="6095"/>
                          </a:xfrm>
                          <a:prstGeom prst="rect">
                            <a:avLst/>
                          </a:prstGeom>
                        </pic:spPr>
                      </pic:pic>
                    </a:graphicData>
                  </a:graphic>
                </wp:inline>
              </w:drawing>
            </w:r>
            <w:r>
              <w:rPr>
                <w:spacing w:val="-108"/>
              </w:rPr>
              <w:t xml:space="preserve"> </w:t>
            </w:r>
            <w:r>
              <w:rPr>
                <w:spacing w:val="-8"/>
              </w:rPr>
              <w:t>违法行为的，</w:t>
            </w:r>
            <w:r>
              <w:rPr>
                <w:spacing w:val="55"/>
              </w:rPr>
              <w:t xml:space="preserve"> </w:t>
            </w:r>
            <w:r>
              <w:rPr>
                <w:position w:val="-7"/>
              </w:rPr>
              <w:drawing>
                <wp:inline distT="0" distB="0" distL="0" distR="0">
                  <wp:extent cx="3175" cy="204470"/>
                  <wp:effectExtent l="0" t="0" r="0" b="0"/>
                  <wp:docPr id="1096" name="IM 1096"/>
                  <wp:cNvGraphicFramePr/>
                  <a:graphic xmlns:a="http://schemas.openxmlformats.org/drawingml/2006/main">
                    <a:graphicData uri="http://schemas.openxmlformats.org/drawingml/2006/picture">
                      <pic:pic xmlns:pic="http://schemas.openxmlformats.org/drawingml/2006/picture">
                        <pic:nvPicPr>
                          <pic:cNvPr id="1096" name="IM 1096"/>
                          <pic:cNvPicPr/>
                        </pic:nvPicPr>
                        <pic:blipFill>
                          <a:blip r:embed="rId76"/>
                          <a:stretch>
                            <a:fillRect/>
                          </a:stretch>
                        </pic:blipFill>
                        <pic:spPr>
                          <a:xfrm>
                            <a:off x="0" y="0"/>
                            <a:ext cx="3519" cy="204596"/>
                          </a:xfrm>
                          <a:prstGeom prst="rect">
                            <a:avLst/>
                          </a:prstGeom>
                        </pic:spPr>
                      </pic:pic>
                    </a:graphicData>
                  </a:graphic>
                </wp:inline>
              </w:drawing>
            </w:r>
            <w:r>
              <w:rPr>
                <w:position w:val="-7"/>
              </w:rPr>
              <w:drawing>
                <wp:inline distT="0" distB="0" distL="0" distR="0">
                  <wp:extent cx="3175" cy="5715"/>
                  <wp:effectExtent l="0" t="0" r="0" b="0"/>
                  <wp:docPr id="1098" name="IM 1098"/>
                  <wp:cNvGraphicFramePr/>
                  <a:graphic xmlns:a="http://schemas.openxmlformats.org/drawingml/2006/main">
                    <a:graphicData uri="http://schemas.openxmlformats.org/drawingml/2006/picture">
                      <pic:pic xmlns:pic="http://schemas.openxmlformats.org/drawingml/2006/picture">
                        <pic:nvPicPr>
                          <pic:cNvPr id="1098" name="IM 1098"/>
                          <pic:cNvPicPr/>
                        </pic:nvPicPr>
                        <pic:blipFill>
                          <a:blip r:embed="rId74"/>
                          <a:stretch>
                            <a:fillRect/>
                          </a:stretch>
                        </pic:blipFill>
                        <pic:spPr>
                          <a:xfrm>
                            <a:off x="0" y="0"/>
                            <a:ext cx="3519" cy="6095"/>
                          </a:xfrm>
                          <a:prstGeom prst="rect">
                            <a:avLst/>
                          </a:prstGeom>
                        </pic:spPr>
                      </pic:pic>
                    </a:graphicData>
                  </a:graphic>
                </wp:inline>
              </w:drawing>
            </w:r>
            <w:r>
              <w:rPr>
                <w:spacing w:val="-114"/>
                <w:u w:val="single" w:color="auto"/>
                <w:shd w:val="clear" w:fill="D9D9D9"/>
              </w:rPr>
              <w:t xml:space="preserve"> </w:t>
            </w:r>
            <w:r>
              <w:rPr>
                <w:spacing w:val="-8"/>
                <w:u w:val="single" w:color="auto"/>
                <w:shd w:val="clear" w:fill="D9D9D9"/>
              </w:rPr>
              <w:t>依照前两款</w:t>
            </w:r>
            <w:r>
              <w:rPr>
                <w:spacing w:val="-9"/>
                <w:u w:val="single" w:color="auto"/>
                <w:shd w:val="clear" w:fill="D9D9D9"/>
              </w:rPr>
              <w:t>的规定处罚</w:t>
            </w:r>
            <w:r>
              <w:rPr>
                <w:position w:val="-7"/>
              </w:rPr>
              <w:drawing>
                <wp:inline distT="0" distB="0" distL="0" distR="0">
                  <wp:extent cx="3175" cy="204470"/>
                  <wp:effectExtent l="0" t="0" r="0" b="0"/>
                  <wp:docPr id="1100" name="IM 1100"/>
                  <wp:cNvGraphicFramePr/>
                  <a:graphic xmlns:a="http://schemas.openxmlformats.org/drawingml/2006/main">
                    <a:graphicData uri="http://schemas.openxmlformats.org/drawingml/2006/picture">
                      <pic:pic xmlns:pic="http://schemas.openxmlformats.org/drawingml/2006/picture">
                        <pic:nvPicPr>
                          <pic:cNvPr id="1100" name="IM 1100"/>
                          <pic:cNvPicPr/>
                        </pic:nvPicPr>
                        <pic:blipFill>
                          <a:blip r:embed="rId70"/>
                          <a:stretch>
                            <a:fillRect/>
                          </a:stretch>
                        </pic:blipFill>
                        <pic:spPr>
                          <a:xfrm>
                            <a:off x="0" y="0"/>
                            <a:ext cx="3519" cy="204596"/>
                          </a:xfrm>
                          <a:prstGeom prst="rect">
                            <a:avLst/>
                          </a:prstGeom>
                        </pic:spPr>
                      </pic:pic>
                    </a:graphicData>
                  </a:graphic>
                </wp:inline>
              </w:drawing>
            </w:r>
            <w:r>
              <w:rPr>
                <w:spacing w:val="-9"/>
              </w:rPr>
              <w:t>。</w:t>
            </w:r>
          </w:p>
        </w:tc>
        <w:tc>
          <w:tcPr>
            <w:tcW w:w="6812"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95" w:type="dxa"/>
            <w:gridSpan w:val="14"/>
            <w:tcBorders>
              <w:top w:val="single" w:color="000000" w:sz="6" w:space="0"/>
              <w:left w:val="single" w:color="000000" w:sz="6" w:space="0"/>
              <w:bottom w:val="single" w:color="000000" w:sz="6" w:space="0"/>
              <w:right w:val="single" w:color="000000" w:sz="6" w:space="0"/>
            </w:tcBorders>
            <w:vAlign w:val="top"/>
          </w:tcPr>
          <w:p>
            <w:pPr>
              <w:rPr>
                <w:rFonts w:ascii="Arial"/>
                <w:sz w:val="21"/>
              </w:rPr>
            </w:pPr>
          </w:p>
        </w:tc>
        <w:tc>
          <w:tcPr>
            <w:tcW w:w="6812" w:type="dxa"/>
            <w:tcBorders>
              <w:top w:val="single" w:color="000000" w:sz="6" w:space="0"/>
              <w:left w:val="single" w:color="000000" w:sz="6"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8"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0"/>
        <w:gridCol w:w="6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9" w:hRule="atLeast"/>
        </w:trPr>
        <w:tc>
          <w:tcPr>
            <w:tcW w:w="7100" w:type="dxa"/>
            <w:vAlign w:val="top"/>
          </w:tcPr>
          <w:p>
            <w:pPr>
              <w:rPr>
                <w:rFonts w:ascii="Arial"/>
                <w:sz w:val="21"/>
              </w:rPr>
            </w:pPr>
          </w:p>
        </w:tc>
        <w:tc>
          <w:tcPr>
            <w:tcW w:w="6807" w:type="dxa"/>
            <w:vAlign w:val="top"/>
          </w:tcPr>
          <w:p>
            <w:pPr>
              <w:spacing w:before="38" w:line="234" w:lineRule="auto"/>
              <w:ind w:left="11" w:right="6" w:firstLine="499"/>
              <w:jc w:val="both"/>
              <w:rPr>
                <w:rFonts w:ascii="黑体" w:hAnsi="黑体" w:eastAsia="黑体" w:cs="黑体"/>
                <w:sz w:val="24"/>
                <w:szCs w:val="24"/>
              </w:rPr>
            </w:pPr>
            <w:r>
              <w:rPr>
                <w:rFonts w:ascii="黑体" w:hAnsi="黑体" w:eastAsia="黑体" w:cs="黑体"/>
                <w:spacing w:val="1"/>
                <w:sz w:val="24"/>
                <w:szCs w:val="24"/>
              </w:rPr>
              <w:t>第一百九十八条  证券公司违反本法第八十八条的规定未履</w:t>
            </w:r>
            <w:r>
              <w:rPr>
                <w:rFonts w:ascii="黑体" w:hAnsi="黑体" w:eastAsia="黑体" w:cs="黑体"/>
                <w:spacing w:val="6"/>
                <w:sz w:val="24"/>
                <w:szCs w:val="24"/>
              </w:rPr>
              <w:t xml:space="preserve"> </w:t>
            </w:r>
            <w:r>
              <w:rPr>
                <w:rFonts w:ascii="黑体" w:hAnsi="黑体" w:eastAsia="黑体" w:cs="黑体"/>
                <w:spacing w:val="-3"/>
                <w:sz w:val="24"/>
                <w:szCs w:val="24"/>
              </w:rPr>
              <w:t>行或者未按照规定履行投资者适当性管理义务的， 责令改正，给</w:t>
            </w:r>
            <w:r>
              <w:rPr>
                <w:rFonts w:ascii="黑体" w:hAnsi="黑体" w:eastAsia="黑体" w:cs="黑体"/>
                <w:spacing w:val="12"/>
                <w:sz w:val="24"/>
                <w:szCs w:val="24"/>
              </w:rPr>
              <w:t xml:space="preserve"> </w:t>
            </w:r>
            <w:r>
              <w:rPr>
                <w:rFonts w:ascii="黑体" w:hAnsi="黑体" w:eastAsia="黑体" w:cs="黑体"/>
                <w:spacing w:val="-3"/>
                <w:sz w:val="24"/>
                <w:szCs w:val="24"/>
              </w:rPr>
              <w:t>予警告， 并处以十万元以上一百万元以下的罚款。对直接负责的</w:t>
            </w:r>
            <w:r>
              <w:rPr>
                <w:rFonts w:ascii="黑体" w:hAnsi="黑体" w:eastAsia="黑体" w:cs="黑体"/>
                <w:spacing w:val="18"/>
                <w:sz w:val="24"/>
                <w:szCs w:val="24"/>
              </w:rPr>
              <w:t xml:space="preserve"> </w:t>
            </w:r>
            <w:r>
              <w:rPr>
                <w:rFonts w:ascii="黑体" w:hAnsi="黑体" w:eastAsia="黑体" w:cs="黑体"/>
                <w:spacing w:val="-3"/>
                <w:sz w:val="24"/>
                <w:szCs w:val="24"/>
              </w:rPr>
              <w:t>主管人员和其他直接责任人员给予警告， 并处以二十万元以下的</w:t>
            </w:r>
            <w:r>
              <w:rPr>
                <w:rFonts w:ascii="黑体" w:hAnsi="黑体" w:eastAsia="黑体" w:cs="黑体"/>
                <w:spacing w:val="18"/>
                <w:sz w:val="24"/>
                <w:szCs w:val="24"/>
              </w:rPr>
              <w:t xml:space="preserve"> </w:t>
            </w:r>
            <w:r>
              <w:rPr>
                <w:rFonts w:ascii="黑体" w:hAnsi="黑体" w:eastAsia="黑体" w:cs="黑体"/>
                <w:spacing w:val="-9"/>
                <w:sz w:val="24"/>
                <w:szCs w:val="24"/>
              </w:rPr>
              <w:t>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100" w:type="dxa"/>
            <w:vAlign w:val="top"/>
          </w:tcPr>
          <w:p>
            <w:pPr>
              <w:rPr>
                <w:rFonts w:ascii="Arial"/>
                <w:sz w:val="21"/>
              </w:rPr>
            </w:pPr>
          </w:p>
        </w:tc>
        <w:tc>
          <w:tcPr>
            <w:tcW w:w="6807" w:type="dxa"/>
            <w:vAlign w:val="top"/>
          </w:tcPr>
          <w:p>
            <w:pPr>
              <w:spacing w:before="32" w:line="226" w:lineRule="auto"/>
              <w:ind w:left="24" w:right="6" w:firstLine="485"/>
              <w:rPr>
                <w:rFonts w:ascii="黑体" w:hAnsi="黑体" w:eastAsia="黑体" w:cs="黑体"/>
                <w:sz w:val="24"/>
                <w:szCs w:val="24"/>
              </w:rPr>
            </w:pPr>
            <w:r>
              <w:rPr>
                <w:rFonts w:ascii="黑体" w:hAnsi="黑体" w:eastAsia="黑体" w:cs="黑体"/>
                <w:spacing w:val="10"/>
                <w:sz w:val="24"/>
                <w:szCs w:val="24"/>
              </w:rPr>
              <w:t>第一百九十九条  违反本法第九十条的规定征集股东权利</w:t>
            </w:r>
            <w:r>
              <w:rPr>
                <w:rFonts w:ascii="黑体" w:hAnsi="黑体" w:eastAsia="黑体" w:cs="黑体"/>
                <w:spacing w:val="13"/>
                <w:sz w:val="24"/>
                <w:szCs w:val="24"/>
              </w:rPr>
              <w:t xml:space="preserve"> </w:t>
            </w:r>
            <w:r>
              <w:rPr>
                <w:rFonts w:ascii="黑体" w:hAnsi="黑体" w:eastAsia="黑体" w:cs="黑体"/>
                <w:spacing w:val="-2"/>
                <w:sz w:val="24"/>
                <w:szCs w:val="24"/>
              </w:rPr>
              <w:t>的，责令改正，给予警告，可以处五十万元以下的罚款。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2" w:hRule="atLeast"/>
        </w:trPr>
        <w:tc>
          <w:tcPr>
            <w:tcW w:w="7100" w:type="dxa"/>
            <w:vAlign w:val="top"/>
          </w:tcPr>
          <w:p>
            <w:pPr>
              <w:pStyle w:val="8"/>
              <w:spacing w:before="32" w:line="246" w:lineRule="auto"/>
              <w:ind w:left="18" w:firstLine="494"/>
              <w:jc w:val="both"/>
            </w:pPr>
            <w:r>
              <w:pict>
                <v:shape id="_x0000_s1144" o:spid="_x0000_s1144" o:spt="202" type="#_x0000_t202" style="position:absolute;left:0pt;margin-left:303.7pt;margin-top:14.5pt;height:35.15pt;width:27.25pt;z-index:2517739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
                          <w:gridCol w:w="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54" w:type="dxa"/>
                              <w:shd w:val="clear" w:color="auto" w:fill="D9D9D9"/>
                              <w:vAlign w:val="top"/>
                            </w:tcPr>
                            <w:p>
                              <w:pPr>
                                <w:pStyle w:val="8"/>
                                <w:spacing w:before="77" w:line="181" w:lineRule="auto"/>
                                <w:jc w:val="right"/>
                              </w:pPr>
                              <w:r>
                                <w:rPr>
                                  <w:spacing w:val="-18"/>
                                </w:rPr>
                                <w:t>五</w:t>
                              </w:r>
                            </w:p>
                          </w:tc>
                          <w:tc>
                            <w:tcPr>
                              <w:tcW w:w="245"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99" w:type="dxa"/>
                              <w:gridSpan w:val="2"/>
                              <w:shd w:val="clear" w:color="auto" w:fill="D9D9D9"/>
                              <w:vAlign w:val="top"/>
                            </w:tcPr>
                            <w:p>
                              <w:pPr>
                                <w:pStyle w:val="8"/>
                                <w:spacing w:before="44" w:line="207" w:lineRule="auto"/>
                                <w:jc w:val="right"/>
                              </w:pPr>
                              <w:r>
                                <w:rPr>
                                  <w:spacing w:val="-10"/>
                                </w:rPr>
                                <w:t>十万</w:t>
                              </w:r>
                            </w:p>
                          </w:tc>
                        </w:tr>
                      </w:tbl>
                      <w:p>
                        <w:pPr>
                          <w:rPr>
                            <w:rFonts w:ascii="Arial"/>
                            <w:sz w:val="21"/>
                          </w:rPr>
                        </w:pPr>
                      </w:p>
                    </w:txbxContent>
                  </v:textbox>
                </v:shape>
              </w:pict>
            </w:r>
            <w:r>
              <w:pict>
                <v:shape id="_x0000_s1145" o:spid="_x0000_s1145" o:spt="202" type="#_x0000_t202" style="position:absolute;left:0pt;margin-left:217.75pt;margin-top:31.05pt;height:18.6pt;width:39.45pt;z-index:2517729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74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743" w:type="dxa"/>
                              <w:vAlign w:val="top"/>
                            </w:tcPr>
                            <w:p>
                              <w:pPr>
                                <w:pStyle w:val="8"/>
                                <w:spacing w:before="41" w:line="207" w:lineRule="auto"/>
                                <w:ind w:left="24"/>
                              </w:pPr>
                              <w:r>
                                <w:rPr>
                                  <w:spacing w:val="-5"/>
                                  <w:shd w:val="clear" w:fill="D9D9D9"/>
                                </w:rPr>
                                <w:t>十万元</w:t>
                              </w:r>
                            </w:p>
                          </w:tc>
                        </w:tr>
                      </w:tbl>
                      <w:p>
                        <w:pPr>
                          <w:rPr>
                            <w:rFonts w:ascii="Arial"/>
                            <w:sz w:val="21"/>
                          </w:rPr>
                        </w:pPr>
                      </w:p>
                    </w:txbxContent>
                  </v:textbox>
                </v:shape>
              </w:pict>
            </w:r>
            <w:r>
              <w:pict>
                <v:shape id="_x0000_s1146" o:spid="_x0000_s1146" o:spt="202" type="#_x0000_t202" style="position:absolute;left:0pt;margin-left:11.35pt;margin-top:47.65pt;height:18.6pt;width:27.35pt;z-index:2517749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501"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501" w:type="dxa"/>
                              <w:vAlign w:val="top"/>
                            </w:tcPr>
                            <w:p>
                              <w:pPr>
                                <w:pStyle w:val="8"/>
                                <w:spacing w:before="41" w:line="207" w:lineRule="auto"/>
                                <w:ind w:right="2"/>
                                <w:jc w:val="right"/>
                              </w:pPr>
                              <w:r>
                                <w:rPr>
                                  <w:spacing w:val="-5"/>
                                  <w:shd w:val="clear" w:fill="D9D9D9"/>
                                </w:rPr>
                                <w:t>五十</w:t>
                              </w:r>
                            </w:p>
                          </w:tc>
                        </w:tr>
                      </w:tbl>
                      <w:p>
                        <w:pPr>
                          <w:rPr>
                            <w:rFonts w:ascii="Arial"/>
                            <w:sz w:val="21"/>
                          </w:rPr>
                        </w:pPr>
                      </w:p>
                    </w:txbxContent>
                  </v:textbox>
                </v:shape>
              </w:pict>
            </w:r>
            <w:r>
              <w:pict>
                <v:shape id="_x0000_s1147" o:spid="_x0000_s1147" o:spt="202" type="#_x0000_t202" style="position:absolute;left:0pt;margin-left:107.2pt;margin-top:64.2pt;height:18.6pt;width:15pt;z-index:2517760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25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254" w:type="dxa"/>
                              <w:vAlign w:val="top"/>
                            </w:tcPr>
                            <w:p>
                              <w:pPr>
                                <w:pStyle w:val="8"/>
                                <w:spacing w:before="41" w:line="207" w:lineRule="auto"/>
                                <w:jc w:val="right"/>
                              </w:pPr>
                              <w:r>
                                <w:rPr>
                                  <w:spacing w:val="-28"/>
                                  <w:shd w:val="clear" w:fill="D9D9D9"/>
                                </w:rPr>
                                <w:t>三</w:t>
                              </w:r>
                            </w:p>
                          </w:tc>
                        </w:tr>
                      </w:tbl>
                      <w:p>
                        <w:pPr>
                          <w:rPr>
                            <w:rFonts w:ascii="Arial"/>
                            <w:sz w:val="21"/>
                          </w:rPr>
                        </w:pPr>
                      </w:p>
                    </w:txbxContent>
                  </v:textbox>
                </v:shape>
              </w:pict>
            </w:r>
            <w:r>
              <w:pict>
                <v:shape id="_x0000_s1148" o:spid="_x0000_s1148" o:spt="202" type="#_x0000_t202" style="position:absolute;left:0pt;margin-left:168.15pt;margin-top:64.2pt;height:18.6pt;width:27pt;z-index:2517719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4" w:type="dxa"/>
                              <w:vAlign w:val="top"/>
                            </w:tcPr>
                            <w:p>
                              <w:pPr>
                                <w:pStyle w:val="8"/>
                                <w:spacing w:before="41" w:line="207" w:lineRule="auto"/>
                                <w:jc w:val="right"/>
                              </w:pPr>
                              <w:r>
                                <w:rPr>
                                  <w:spacing w:val="-14"/>
                                  <w:shd w:val="clear" w:fill="D9D9D9"/>
                                </w:rPr>
                                <w:t>三十</w:t>
                              </w:r>
                            </w:p>
                          </w:tc>
                        </w:tr>
                      </w:tbl>
                      <w:p>
                        <w:pPr>
                          <w:rPr>
                            <w:rFonts w:ascii="Arial"/>
                            <w:sz w:val="21"/>
                          </w:rPr>
                        </w:pPr>
                      </w:p>
                    </w:txbxContent>
                  </v:textbox>
                </v:shape>
              </w:pict>
            </w:r>
            <w:r>
              <w:rPr>
                <w:rFonts w:ascii="黑体" w:hAnsi="黑体" w:eastAsia="黑体" w:cs="黑体"/>
                <w:spacing w:val="3"/>
              </w:rPr>
              <w:t xml:space="preserve">第一百九十六条  </w:t>
            </w:r>
            <w:r>
              <w:rPr>
                <w:spacing w:val="3"/>
              </w:rPr>
              <w:t>非法开设证券交易场所的，由县级以上人民</w:t>
            </w:r>
            <w:r>
              <w:rPr>
                <w:spacing w:val="6"/>
              </w:rPr>
              <w:t xml:space="preserve"> </w:t>
            </w:r>
            <w:r>
              <w:rPr>
                <w:spacing w:val="-1"/>
              </w:rPr>
              <w:t>政府予以取缔， 没收违法所得，并处以违法所得一倍以上  倍以下</w:t>
            </w:r>
            <w:r>
              <w:rPr>
                <w:spacing w:val="11"/>
              </w:rPr>
              <w:t xml:space="preserve"> </w:t>
            </w:r>
            <w:r>
              <w:rPr>
                <w:spacing w:val="-9"/>
              </w:rPr>
              <w:t>的罚款； 没有违法所得或者违法所得不足</w:t>
            </w:r>
            <w:r>
              <w:rPr>
                <w:spacing w:val="11"/>
              </w:rPr>
              <w:t xml:space="preserve">      </w:t>
            </w:r>
            <w:r>
              <w:rPr>
                <w:spacing w:val="-10"/>
              </w:rPr>
              <w:t>的，</w:t>
            </w:r>
            <w:r>
              <w:rPr>
                <w:spacing w:val="-24"/>
              </w:rPr>
              <w:t xml:space="preserve"> </w:t>
            </w:r>
            <w:r>
              <w:rPr>
                <w:spacing w:val="-10"/>
              </w:rPr>
              <w:t>处以</w:t>
            </w:r>
            <w:r>
              <w:rPr>
                <w:spacing w:val="11"/>
              </w:rPr>
              <w:t xml:space="preserve">    </w:t>
            </w:r>
            <w:r>
              <w:rPr>
                <w:spacing w:val="-10"/>
              </w:rPr>
              <w:t>元以</w:t>
            </w:r>
            <w:r>
              <w:rPr>
                <w:spacing w:val="3"/>
              </w:rPr>
              <w:t xml:space="preserve"> 上    万元以下的罚款。对直接负责的主管人员和其他直接责任人</w:t>
            </w:r>
            <w:r>
              <w:rPr>
                <w:spacing w:val="7"/>
              </w:rPr>
              <w:t xml:space="preserve"> </w:t>
            </w:r>
            <w:r>
              <w:rPr>
                <w:spacing w:val="-3"/>
              </w:rPr>
              <w:t>员给予警告，并处以  万元以上</w:t>
            </w:r>
            <w:r>
              <w:rPr>
                <w:spacing w:val="13"/>
              </w:rPr>
              <w:t xml:space="preserve">    </w:t>
            </w:r>
            <w:r>
              <w:rPr>
                <w:spacing w:val="-3"/>
              </w:rPr>
              <w:t>万元以下的罚款。</w:t>
            </w:r>
          </w:p>
        </w:tc>
        <w:tc>
          <w:tcPr>
            <w:tcW w:w="6807" w:type="dxa"/>
            <w:vAlign w:val="top"/>
          </w:tcPr>
          <w:p>
            <w:pPr>
              <w:pStyle w:val="8"/>
              <w:spacing w:before="35" w:line="235" w:lineRule="auto"/>
              <w:ind w:left="19" w:right="3" w:firstLine="491"/>
              <w:jc w:val="both"/>
            </w:pPr>
            <w:r>
              <w:rPr>
                <w:rFonts w:ascii="黑体" w:hAnsi="黑体" w:eastAsia="黑体" w:cs="黑体"/>
                <w:spacing w:val="1"/>
              </w:rPr>
              <w:t xml:space="preserve">第二百条  </w:t>
            </w:r>
            <w:r>
              <w:rPr>
                <w:spacing w:val="1"/>
              </w:rPr>
              <w:t>非法开设证券交易场所的，由县级以上人民政府</w:t>
            </w:r>
            <w:r>
              <w:rPr>
                <w:spacing w:val="5"/>
              </w:rPr>
              <w:t xml:space="preserve"> </w:t>
            </w:r>
            <w:r>
              <w:rPr>
                <w:spacing w:val="-3"/>
              </w:rPr>
              <w:t>予以取缔，没收违法所得， 并处以违法所得一倍以上</w:t>
            </w:r>
            <w:r>
              <w:rPr>
                <w:rFonts w:ascii="黑体" w:hAnsi="黑体" w:eastAsia="黑体" w:cs="黑体"/>
                <w:spacing w:val="-3"/>
              </w:rPr>
              <w:t>十</w:t>
            </w:r>
            <w:r>
              <w:rPr>
                <w:spacing w:val="-3"/>
              </w:rPr>
              <w:t>倍以下的</w:t>
            </w:r>
            <w:r>
              <w:rPr>
                <w:spacing w:val="11"/>
              </w:rPr>
              <w:t xml:space="preserve"> </w:t>
            </w:r>
            <w:r>
              <w:rPr>
                <w:spacing w:val="-3"/>
              </w:rPr>
              <w:t>罚款；没有违法所得或者违法所得不足</w:t>
            </w:r>
            <w:r>
              <w:rPr>
                <w:rFonts w:ascii="黑体" w:hAnsi="黑体" w:eastAsia="黑体" w:cs="黑体"/>
                <w:spacing w:val="-3"/>
              </w:rPr>
              <w:t>一百</w:t>
            </w:r>
            <w:r>
              <w:rPr>
                <w:spacing w:val="-3"/>
              </w:rPr>
              <w:t>万元的， 处以</w:t>
            </w:r>
            <w:r>
              <w:rPr>
                <w:rFonts w:ascii="黑体" w:hAnsi="黑体" w:eastAsia="黑体" w:cs="黑体"/>
                <w:spacing w:val="-3"/>
              </w:rPr>
              <w:t>一百</w:t>
            </w:r>
            <w:r>
              <w:rPr>
                <w:spacing w:val="-3"/>
              </w:rPr>
              <w:t>万</w:t>
            </w:r>
            <w:r>
              <w:rPr>
                <w:spacing w:val="15"/>
              </w:rPr>
              <w:t xml:space="preserve"> </w:t>
            </w:r>
            <w:r>
              <w:rPr>
                <w:spacing w:val="2"/>
              </w:rPr>
              <w:t>元以上</w:t>
            </w:r>
            <w:r>
              <w:rPr>
                <w:rFonts w:ascii="黑体" w:hAnsi="黑体" w:eastAsia="黑体" w:cs="黑体"/>
                <w:spacing w:val="2"/>
              </w:rPr>
              <w:t>一千</w:t>
            </w:r>
            <w:r>
              <w:rPr>
                <w:spacing w:val="2"/>
              </w:rPr>
              <w:t>万元以下的罚款。对直接负责的</w:t>
            </w:r>
            <w:r>
              <w:rPr>
                <w:spacing w:val="1"/>
              </w:rPr>
              <w:t>主管人员和其他直接</w:t>
            </w:r>
            <w:r>
              <w:t xml:space="preserve"> </w:t>
            </w:r>
            <w:r>
              <w:rPr>
                <w:spacing w:val="-2"/>
              </w:rPr>
              <w:t>责任人员给予警告，并处以</w:t>
            </w:r>
            <w:r>
              <w:rPr>
                <w:rFonts w:ascii="黑体" w:hAnsi="黑体" w:eastAsia="黑体" w:cs="黑体"/>
                <w:spacing w:val="-2"/>
              </w:rPr>
              <w:t>二</w:t>
            </w:r>
            <w:r>
              <w:rPr>
                <w:spacing w:val="-2"/>
              </w:rPr>
              <w:t>十万元以上</w:t>
            </w:r>
            <w:r>
              <w:rPr>
                <w:rFonts w:ascii="黑体" w:hAnsi="黑体" w:eastAsia="黑体" w:cs="黑体"/>
                <w:spacing w:val="-2"/>
              </w:rPr>
              <w:t>二百</w:t>
            </w:r>
            <w:r>
              <w:rPr>
                <w:spacing w:val="-2"/>
              </w:rPr>
              <w:t>万元以下的</w:t>
            </w:r>
            <w:r>
              <w:rPr>
                <w:spacing w:val="-3"/>
              </w:rPr>
              <w:t>罚款。</w:t>
            </w:r>
          </w:p>
          <w:p>
            <w:pPr>
              <w:spacing w:before="25" w:line="229" w:lineRule="auto"/>
              <w:ind w:left="11" w:right="7" w:firstLine="498"/>
              <w:jc w:val="both"/>
              <w:rPr>
                <w:rFonts w:ascii="黑体" w:hAnsi="黑体" w:eastAsia="黑体" w:cs="黑体"/>
                <w:sz w:val="24"/>
                <w:szCs w:val="24"/>
              </w:rPr>
            </w:pPr>
            <w:r>
              <w:rPr>
                <w:rFonts w:ascii="黑体" w:hAnsi="黑体" w:eastAsia="黑体" w:cs="黑体"/>
                <w:spacing w:val="1"/>
                <w:sz w:val="24"/>
                <w:szCs w:val="24"/>
              </w:rPr>
              <w:t>证券交易所违反本法第一百零五条的规定，允许非会员直接</w:t>
            </w:r>
            <w:r>
              <w:rPr>
                <w:rFonts w:ascii="黑体" w:hAnsi="黑体" w:eastAsia="黑体" w:cs="黑体"/>
                <w:spacing w:val="7"/>
                <w:sz w:val="24"/>
                <w:szCs w:val="24"/>
              </w:rPr>
              <w:t xml:space="preserve"> </w:t>
            </w:r>
            <w:r>
              <w:rPr>
                <w:rFonts w:ascii="黑体" w:hAnsi="黑体" w:eastAsia="黑体" w:cs="黑体"/>
                <w:spacing w:val="-3"/>
                <w:sz w:val="24"/>
                <w:szCs w:val="24"/>
              </w:rPr>
              <w:t>参与股票的集中交易的，责令改正， 可以并处五十万元以下的罚</w:t>
            </w:r>
            <w:r>
              <w:rPr>
                <w:rFonts w:ascii="黑体" w:hAnsi="黑体" w:eastAsia="黑体" w:cs="黑体"/>
                <w:spacing w:val="18"/>
                <w:sz w:val="24"/>
                <w:szCs w:val="24"/>
              </w:rPr>
              <w:t xml:space="preserve"> </w:t>
            </w:r>
            <w:r>
              <w:rPr>
                <w:rFonts w:ascii="黑体" w:hAnsi="黑体" w:eastAsia="黑体" w:cs="黑体"/>
                <w:spacing w:val="-11"/>
                <w:sz w:val="24"/>
                <w:szCs w:val="24"/>
              </w:rP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7" w:hRule="atLeast"/>
        </w:trPr>
        <w:tc>
          <w:tcPr>
            <w:tcW w:w="7100" w:type="dxa"/>
            <w:vAlign w:val="top"/>
          </w:tcPr>
          <w:p>
            <w:pPr>
              <w:rPr>
                <w:rFonts w:ascii="Arial"/>
                <w:sz w:val="21"/>
              </w:rPr>
            </w:pPr>
          </w:p>
        </w:tc>
        <w:tc>
          <w:tcPr>
            <w:tcW w:w="6807" w:type="dxa"/>
            <w:vAlign w:val="top"/>
          </w:tcPr>
          <w:p>
            <w:pPr>
              <w:spacing w:before="36" w:line="236" w:lineRule="auto"/>
              <w:ind w:left="8" w:right="2" w:firstLine="502"/>
              <w:jc w:val="both"/>
              <w:rPr>
                <w:rFonts w:ascii="黑体" w:hAnsi="黑体" w:eastAsia="黑体" w:cs="黑体"/>
                <w:sz w:val="24"/>
                <w:szCs w:val="24"/>
              </w:rPr>
            </w:pPr>
            <w:r>
              <w:rPr>
                <w:rFonts w:ascii="黑体" w:hAnsi="黑体" w:eastAsia="黑体" w:cs="黑体"/>
                <w:spacing w:val="1"/>
                <w:sz w:val="24"/>
                <w:szCs w:val="24"/>
              </w:rPr>
              <w:t>第二百零一条  证券公司违反本法第一百零七条第一款的规</w:t>
            </w:r>
            <w:r>
              <w:rPr>
                <w:rFonts w:ascii="黑体" w:hAnsi="黑体" w:eastAsia="黑体" w:cs="黑体"/>
                <w:spacing w:val="6"/>
                <w:sz w:val="24"/>
                <w:szCs w:val="24"/>
              </w:rPr>
              <w:t xml:space="preserve"> </w:t>
            </w:r>
            <w:r>
              <w:rPr>
                <w:rFonts w:ascii="黑体" w:hAnsi="黑体" w:eastAsia="黑体" w:cs="黑体"/>
                <w:spacing w:val="11"/>
                <w:sz w:val="24"/>
                <w:szCs w:val="24"/>
              </w:rPr>
              <w:t>定，未对投资者开立账户提供的身份信息进行核对的，责令改</w:t>
            </w:r>
            <w:r>
              <w:rPr>
                <w:rFonts w:ascii="黑体" w:hAnsi="黑体" w:eastAsia="黑体" w:cs="黑体"/>
                <w:spacing w:val="3"/>
                <w:sz w:val="24"/>
                <w:szCs w:val="24"/>
              </w:rPr>
              <w:t xml:space="preserve"> </w:t>
            </w:r>
            <w:r>
              <w:rPr>
                <w:rFonts w:ascii="黑体" w:hAnsi="黑体" w:eastAsia="黑体" w:cs="黑体"/>
                <w:spacing w:val="-2"/>
                <w:sz w:val="24"/>
                <w:szCs w:val="24"/>
              </w:rPr>
              <w:t>正， 给予警告，并处以五万元以上五十万元以</w:t>
            </w:r>
            <w:r>
              <w:rPr>
                <w:rFonts w:ascii="黑体" w:hAnsi="黑体" w:eastAsia="黑体" w:cs="黑体"/>
                <w:spacing w:val="-3"/>
                <w:sz w:val="24"/>
                <w:szCs w:val="24"/>
              </w:rPr>
              <w:t>下的罚款。对直接</w:t>
            </w:r>
            <w:r>
              <w:rPr>
                <w:rFonts w:ascii="黑体" w:hAnsi="黑体" w:eastAsia="黑体" w:cs="黑体"/>
                <w:sz w:val="24"/>
                <w:szCs w:val="24"/>
              </w:rPr>
              <w:t xml:space="preserve"> </w:t>
            </w:r>
            <w:r>
              <w:rPr>
                <w:rFonts w:ascii="黑体" w:hAnsi="黑体" w:eastAsia="黑体" w:cs="黑体"/>
                <w:spacing w:val="2"/>
                <w:sz w:val="24"/>
                <w:szCs w:val="24"/>
              </w:rPr>
              <w:t>负责的主管人员和其他直接责任人员给予警告，并处以十万</w:t>
            </w:r>
            <w:r>
              <w:rPr>
                <w:rFonts w:ascii="黑体" w:hAnsi="黑体" w:eastAsia="黑体" w:cs="黑体"/>
                <w:spacing w:val="1"/>
                <w:sz w:val="24"/>
                <w:szCs w:val="24"/>
              </w:rPr>
              <w:t>元以</w:t>
            </w:r>
            <w:r>
              <w:rPr>
                <w:rFonts w:ascii="黑体" w:hAnsi="黑体" w:eastAsia="黑体" w:cs="黑体"/>
                <w:sz w:val="24"/>
                <w:szCs w:val="24"/>
              </w:rPr>
              <w:t xml:space="preserve"> </w:t>
            </w:r>
            <w:r>
              <w:rPr>
                <w:rFonts w:ascii="黑体" w:hAnsi="黑体" w:eastAsia="黑体" w:cs="黑体"/>
                <w:spacing w:val="-6"/>
                <w:sz w:val="24"/>
                <w:szCs w:val="24"/>
              </w:rPr>
              <w:t>下的罚款。</w:t>
            </w:r>
          </w:p>
          <w:p>
            <w:pPr>
              <w:spacing w:before="20" w:line="233" w:lineRule="auto"/>
              <w:ind w:left="10" w:right="6" w:firstLine="499"/>
              <w:jc w:val="both"/>
              <w:rPr>
                <w:rFonts w:ascii="黑体" w:hAnsi="黑体" w:eastAsia="黑体" w:cs="黑体"/>
                <w:sz w:val="24"/>
                <w:szCs w:val="24"/>
              </w:rPr>
            </w:pPr>
            <w:r>
              <w:rPr>
                <w:rFonts w:ascii="黑体" w:hAnsi="黑体" w:eastAsia="黑体" w:cs="黑体"/>
                <w:spacing w:val="1"/>
                <w:sz w:val="24"/>
                <w:szCs w:val="24"/>
              </w:rPr>
              <w:t>证券公司违反本法第一百零七条第二款的规定，将投资者的</w:t>
            </w:r>
            <w:r>
              <w:rPr>
                <w:rFonts w:ascii="黑体" w:hAnsi="黑体" w:eastAsia="黑体" w:cs="黑体"/>
                <w:spacing w:val="8"/>
                <w:sz w:val="24"/>
                <w:szCs w:val="24"/>
              </w:rPr>
              <w:t xml:space="preserve"> </w:t>
            </w:r>
            <w:r>
              <w:rPr>
                <w:rFonts w:ascii="黑体" w:hAnsi="黑体" w:eastAsia="黑体" w:cs="黑体"/>
                <w:spacing w:val="-2"/>
                <w:sz w:val="24"/>
                <w:szCs w:val="24"/>
              </w:rPr>
              <w:t>账户提供给他人使用的，责令改正， 给予</w:t>
            </w:r>
            <w:r>
              <w:rPr>
                <w:rFonts w:ascii="黑体" w:hAnsi="黑体" w:eastAsia="黑体" w:cs="黑体"/>
                <w:spacing w:val="-3"/>
                <w:sz w:val="24"/>
                <w:szCs w:val="24"/>
              </w:rPr>
              <w:t>警告，并处以十万元以</w:t>
            </w:r>
            <w:r>
              <w:rPr>
                <w:rFonts w:ascii="黑体" w:hAnsi="黑体" w:eastAsia="黑体" w:cs="黑体"/>
                <w:sz w:val="24"/>
                <w:szCs w:val="24"/>
              </w:rPr>
              <w:t xml:space="preserve"> </w:t>
            </w:r>
            <w:r>
              <w:rPr>
                <w:rFonts w:ascii="黑体" w:hAnsi="黑体" w:eastAsia="黑体" w:cs="黑体"/>
                <w:spacing w:val="2"/>
                <w:sz w:val="24"/>
                <w:szCs w:val="24"/>
              </w:rPr>
              <w:t>上一百万元以下的罚款。对直接负责的主管人员和其他</w:t>
            </w:r>
            <w:r>
              <w:rPr>
                <w:rFonts w:ascii="黑体" w:hAnsi="黑体" w:eastAsia="黑体" w:cs="黑体"/>
                <w:spacing w:val="1"/>
                <w:sz w:val="24"/>
                <w:szCs w:val="24"/>
              </w:rPr>
              <w:t>直接责任</w:t>
            </w:r>
            <w:r>
              <w:rPr>
                <w:rFonts w:ascii="黑体" w:hAnsi="黑体" w:eastAsia="黑体" w:cs="黑体"/>
                <w:sz w:val="24"/>
                <w:szCs w:val="24"/>
              </w:rPr>
              <w:t xml:space="preserve"> </w:t>
            </w:r>
            <w:r>
              <w:rPr>
                <w:rFonts w:ascii="黑体" w:hAnsi="黑体" w:eastAsia="黑体" w:cs="黑体"/>
                <w:spacing w:val="-2"/>
                <w:sz w:val="24"/>
                <w:szCs w:val="24"/>
              </w:rPr>
              <w:t>人员给予警告，并处以二十万元以下的罚款。</w:t>
            </w:r>
          </w:p>
        </w:tc>
      </w:tr>
    </w:tbl>
    <w:p>
      <w:pPr>
        <w:rPr>
          <w:rFonts w:ascii="Arial"/>
          <w:sz w:val="21"/>
        </w:rPr>
      </w:pPr>
    </w:p>
    <w:p>
      <w:pPr>
        <w:rPr>
          <w:rFonts w:ascii="Arial" w:hAnsi="Arial" w:eastAsia="Arial" w:cs="Arial"/>
          <w:sz w:val="21"/>
          <w:szCs w:val="21"/>
        </w:rPr>
        <w:sectPr>
          <w:footerReference r:id="rId59" w:type="default"/>
          <w:pgSz w:w="16845" w:h="11910"/>
          <w:pgMar w:top="1012" w:right="1501" w:bottom="1154" w:left="1420" w:header="0" w:footer="996" w:gutter="0"/>
          <w:cols w:space="720" w:num="1"/>
        </w:sectPr>
      </w:pPr>
    </w:p>
    <w:p>
      <w:pPr>
        <w:spacing w:line="120" w:lineRule="exact"/>
      </w:pPr>
    </w:p>
    <w:tbl>
      <w:tblPr>
        <w:tblStyle w:val="7"/>
        <w:tblW w:w="139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489"/>
        <w:gridCol w:w="250"/>
        <w:gridCol w:w="230"/>
        <w:gridCol w:w="741"/>
        <w:gridCol w:w="245"/>
        <w:gridCol w:w="492"/>
        <w:gridCol w:w="223"/>
        <w:gridCol w:w="756"/>
        <w:gridCol w:w="230"/>
        <w:gridCol w:w="264"/>
        <w:gridCol w:w="1674"/>
        <w:gridCol w:w="474"/>
        <w:gridCol w:w="20"/>
        <w:gridCol w:w="494"/>
        <w:gridCol w:w="6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83" w:type="dxa"/>
            <w:gridSpan w:val="4"/>
            <w:tcBorders>
              <w:top w:val="single" w:color="000000" w:sz="6" w:space="0"/>
              <w:left w:val="single" w:color="000000" w:sz="6" w:space="0"/>
              <w:bottom w:val="nil"/>
              <w:right w:val="nil"/>
            </w:tcBorders>
            <w:vAlign w:val="top"/>
          </w:tcPr>
          <w:p>
            <w:pPr>
              <w:pStyle w:val="8"/>
              <w:spacing w:before="52" w:line="232" w:lineRule="auto"/>
              <w:ind w:left="20" w:right="7" w:firstLine="492"/>
            </w:pPr>
            <w:r>
              <w:rPr>
                <w:rFonts w:ascii="黑体" w:hAnsi="黑体" w:eastAsia="黑体" w:cs="黑体"/>
                <w:spacing w:val="-2"/>
              </w:rPr>
              <w:t>第一百九</w:t>
            </w:r>
            <w:r>
              <w:rPr>
                <w:rFonts w:ascii="黑体" w:hAnsi="黑体" w:eastAsia="黑体" w:cs="黑体"/>
                <w:spacing w:val="2"/>
              </w:rPr>
              <w:t xml:space="preserve"> </w:t>
            </w:r>
            <w:r>
              <w:rPr>
                <w:spacing w:val="-2"/>
              </w:rPr>
              <w:t>证券业务的，</w:t>
            </w:r>
          </w:p>
        </w:tc>
        <w:tc>
          <w:tcPr>
            <w:tcW w:w="5613" w:type="dxa"/>
            <w:gridSpan w:val="11"/>
            <w:tcBorders>
              <w:top w:val="single" w:color="000000" w:sz="6" w:space="0"/>
              <w:left w:val="nil"/>
              <w:right w:val="single" w:color="000000" w:sz="6" w:space="0"/>
            </w:tcBorders>
            <w:vAlign w:val="top"/>
          </w:tcPr>
          <w:p>
            <w:pPr>
              <w:pStyle w:val="8"/>
              <w:spacing w:before="16"/>
              <w:ind w:right="1"/>
              <w:jc w:val="right"/>
            </w:pPr>
            <w:r>
              <w:rPr>
                <w:rFonts w:ascii="黑体" w:hAnsi="黑体" w:eastAsia="黑体" w:cs="黑体"/>
                <w:spacing w:val="2"/>
                <w:u w:val="single" w:color="auto"/>
              </w:rPr>
              <w:t xml:space="preserve">十七条  </w:t>
            </w:r>
            <w:r>
              <w:rPr>
                <w:position w:val="-7"/>
              </w:rPr>
              <w:drawing>
                <wp:inline distT="0" distB="0" distL="0" distR="0">
                  <wp:extent cx="7620" cy="204470"/>
                  <wp:effectExtent l="0" t="0" r="0" b="0"/>
                  <wp:docPr id="1102" name="IM 1102"/>
                  <wp:cNvGraphicFramePr/>
                  <a:graphic xmlns:a="http://schemas.openxmlformats.org/drawingml/2006/main">
                    <a:graphicData uri="http://schemas.openxmlformats.org/drawingml/2006/picture">
                      <pic:pic xmlns:pic="http://schemas.openxmlformats.org/drawingml/2006/picture">
                        <pic:nvPicPr>
                          <pic:cNvPr id="1102" name="IM 1102"/>
                          <pic:cNvPicPr/>
                        </pic:nvPicPr>
                        <pic:blipFill>
                          <a:blip r:embed="rId77"/>
                          <a:stretch>
                            <a:fillRect/>
                          </a:stretch>
                        </pic:blipFill>
                        <pic:spPr>
                          <a:xfrm>
                            <a:off x="0" y="0"/>
                            <a:ext cx="7696" cy="204520"/>
                          </a:xfrm>
                          <a:prstGeom prst="rect">
                            <a:avLst/>
                          </a:prstGeom>
                        </pic:spPr>
                      </pic:pic>
                    </a:graphicData>
                  </a:graphic>
                </wp:inline>
              </w:drawing>
            </w:r>
            <w:r>
              <w:rPr>
                <w:spacing w:val="2"/>
                <w:u w:val="single" w:color="auto"/>
                <w:shd w:val="clear" w:fill="D9D9D9"/>
              </w:rPr>
              <w:t>未经批准</w:t>
            </w:r>
            <w:r>
              <w:rPr>
                <w:position w:val="-7"/>
              </w:rPr>
              <w:drawing>
                <wp:inline distT="0" distB="0" distL="0" distR="0">
                  <wp:extent cx="7620" cy="204470"/>
                  <wp:effectExtent l="0" t="0" r="0" b="0"/>
                  <wp:docPr id="1104" name="IM 1104"/>
                  <wp:cNvGraphicFramePr/>
                  <a:graphic xmlns:a="http://schemas.openxmlformats.org/drawingml/2006/main">
                    <a:graphicData uri="http://schemas.openxmlformats.org/drawingml/2006/picture">
                      <pic:pic xmlns:pic="http://schemas.openxmlformats.org/drawingml/2006/picture">
                        <pic:nvPicPr>
                          <pic:cNvPr id="1104" name="IM 1104"/>
                          <pic:cNvPicPr/>
                        </pic:nvPicPr>
                        <pic:blipFill>
                          <a:blip r:embed="rId80"/>
                          <a:stretch>
                            <a:fillRect/>
                          </a:stretch>
                        </pic:blipFill>
                        <pic:spPr>
                          <a:xfrm>
                            <a:off x="0" y="0"/>
                            <a:ext cx="7696" cy="204520"/>
                          </a:xfrm>
                          <a:prstGeom prst="rect">
                            <a:avLst/>
                          </a:prstGeom>
                        </pic:spPr>
                      </pic:pic>
                    </a:graphicData>
                  </a:graphic>
                </wp:inline>
              </w:drawing>
            </w:r>
            <w:r>
              <w:rPr>
                <w:spacing w:val="2"/>
                <w:u w:val="single" w:color="auto"/>
              </w:rPr>
              <w:t>，擅自设立证</w:t>
            </w:r>
            <w:r>
              <w:rPr>
                <w:spacing w:val="2"/>
              </w:rPr>
              <w:t>券公司或者非法经营</w:t>
            </w:r>
          </w:p>
          <w:p>
            <w:pPr>
              <w:pStyle w:val="8"/>
              <w:spacing w:before="8" w:line="233" w:lineRule="auto"/>
              <w:jc w:val="right"/>
            </w:pPr>
            <w:r>
              <w:rPr>
                <w:spacing w:val="-4"/>
                <w:shd w:val="clear" w:fill="D9D9D9"/>
              </w:rPr>
              <w:t>由证券监督管理机构予以取缔，</w:t>
            </w:r>
            <w:r>
              <w:rPr>
                <w:position w:val="-6"/>
              </w:rPr>
              <w:drawing>
                <wp:inline distT="0" distB="0" distL="0" distR="0">
                  <wp:extent cx="5715" cy="195580"/>
                  <wp:effectExtent l="0" t="0" r="0" b="0"/>
                  <wp:docPr id="1106" name="IM 1106"/>
                  <wp:cNvGraphicFramePr/>
                  <a:graphic xmlns:a="http://schemas.openxmlformats.org/drawingml/2006/main">
                    <a:graphicData uri="http://schemas.openxmlformats.org/drawingml/2006/picture">
                      <pic:pic xmlns:pic="http://schemas.openxmlformats.org/drawingml/2006/picture">
                        <pic:nvPicPr>
                          <pic:cNvPr id="1106" name="IM 1106"/>
                          <pic:cNvPicPr/>
                        </pic:nvPicPr>
                        <pic:blipFill>
                          <a:blip r:embed="rId84"/>
                          <a:stretch>
                            <a:fillRect/>
                          </a:stretch>
                        </pic:blipFill>
                        <pic:spPr>
                          <a:xfrm>
                            <a:off x="0" y="0"/>
                            <a:ext cx="6096" cy="195656"/>
                          </a:xfrm>
                          <a:prstGeom prst="rect">
                            <a:avLst/>
                          </a:prstGeom>
                        </pic:spPr>
                      </pic:pic>
                    </a:graphicData>
                  </a:graphic>
                </wp:inline>
              </w:drawing>
            </w:r>
            <w:r>
              <w:rPr>
                <w:spacing w:val="-4"/>
              </w:rPr>
              <w:t>没收违法所得， 并处</w:t>
            </w:r>
          </w:p>
        </w:tc>
        <w:tc>
          <w:tcPr>
            <w:tcW w:w="6811" w:type="dxa"/>
            <w:vMerge w:val="restart"/>
            <w:tcBorders>
              <w:top w:val="single" w:color="000000" w:sz="6" w:space="0"/>
              <w:left w:val="single" w:color="000000" w:sz="6" w:space="0"/>
              <w:bottom w:val="nil"/>
              <w:right w:val="single" w:color="000000" w:sz="6" w:space="0"/>
            </w:tcBorders>
            <w:vAlign w:val="top"/>
          </w:tcPr>
          <w:p>
            <w:pPr>
              <w:pStyle w:val="8"/>
              <w:spacing w:before="42" w:line="236" w:lineRule="auto"/>
              <w:ind w:left="14" w:right="3" w:firstLine="500"/>
              <w:jc w:val="both"/>
              <w:rPr>
                <w:rFonts w:ascii="黑体" w:hAnsi="黑体" w:eastAsia="黑体" w:cs="黑体"/>
              </w:rPr>
            </w:pPr>
            <w:r>
              <w:rPr>
                <w:rFonts w:ascii="黑体" w:hAnsi="黑体" w:eastAsia="黑体" w:cs="黑体"/>
                <w:spacing w:val="1"/>
              </w:rPr>
              <w:t>第二百零二条  违反本法第一百一十八条、第一百二十条第</w:t>
            </w:r>
            <w:r>
              <w:rPr>
                <w:rFonts w:ascii="黑体" w:hAnsi="黑体" w:eastAsia="黑体" w:cs="黑体"/>
                <w:spacing w:val="6"/>
              </w:rPr>
              <w:t xml:space="preserve"> </w:t>
            </w:r>
            <w:r>
              <w:rPr>
                <w:rFonts w:ascii="黑体" w:hAnsi="黑体" w:eastAsia="黑体" w:cs="黑体"/>
                <w:spacing w:val="2"/>
              </w:rPr>
              <w:t>一款、第四款的规定</w:t>
            </w:r>
            <w:r>
              <w:rPr>
                <w:spacing w:val="2"/>
              </w:rPr>
              <w:t>，擅自设立证券公司、非法经营证券业务</w:t>
            </w:r>
            <w:r>
              <w:rPr>
                <w:rFonts w:ascii="黑体" w:hAnsi="黑体" w:eastAsia="黑体" w:cs="黑体"/>
                <w:spacing w:val="2"/>
              </w:rPr>
              <w:t>或</w:t>
            </w:r>
            <w:r>
              <w:rPr>
                <w:rFonts w:ascii="黑体" w:hAnsi="黑体" w:eastAsia="黑体" w:cs="黑体"/>
              </w:rPr>
              <w:t xml:space="preserve"> </w:t>
            </w:r>
            <w:r>
              <w:rPr>
                <w:rFonts w:ascii="黑体" w:hAnsi="黑体" w:eastAsia="黑体" w:cs="黑体"/>
                <w:spacing w:val="-2"/>
              </w:rPr>
              <w:t>者未经批准以证券公司名义开展证券业务活动</w:t>
            </w:r>
            <w:r>
              <w:rPr>
                <w:spacing w:val="-2"/>
              </w:rPr>
              <w:t xml:space="preserve">的， </w:t>
            </w:r>
            <w:r>
              <w:rPr>
                <w:spacing w:val="-3"/>
              </w:rPr>
              <w:t>责令改正，没</w:t>
            </w:r>
            <w:r>
              <w:t xml:space="preserve"> </w:t>
            </w:r>
            <w:r>
              <w:rPr>
                <w:spacing w:val="-2"/>
              </w:rPr>
              <w:t>收违法所得， 并处以违法所得一倍以上</w:t>
            </w:r>
            <w:r>
              <w:rPr>
                <w:rFonts w:ascii="黑体" w:hAnsi="黑体" w:eastAsia="黑体" w:cs="黑体"/>
                <w:spacing w:val="-2"/>
              </w:rPr>
              <w:t>十</w:t>
            </w:r>
            <w:r>
              <w:rPr>
                <w:spacing w:val="-2"/>
              </w:rPr>
              <w:t>倍</w:t>
            </w:r>
            <w:r>
              <w:rPr>
                <w:spacing w:val="-3"/>
              </w:rPr>
              <w:t>以下的罚款；没有违</w:t>
            </w:r>
            <w:r>
              <w:t xml:space="preserve"> </w:t>
            </w:r>
            <w:r>
              <w:rPr>
                <w:spacing w:val="-2"/>
              </w:rPr>
              <w:t>法所得或者违法所得不足</w:t>
            </w:r>
            <w:r>
              <w:rPr>
                <w:rFonts w:ascii="黑体" w:hAnsi="黑体" w:eastAsia="黑体" w:cs="黑体"/>
                <w:spacing w:val="-2"/>
              </w:rPr>
              <w:t>一百</w:t>
            </w:r>
            <w:r>
              <w:rPr>
                <w:spacing w:val="-2"/>
              </w:rPr>
              <w:t>万元的， 处以</w:t>
            </w:r>
            <w:r>
              <w:rPr>
                <w:rFonts w:ascii="黑体" w:hAnsi="黑体" w:eastAsia="黑体" w:cs="黑体"/>
                <w:spacing w:val="-2"/>
              </w:rPr>
              <w:t>一百</w:t>
            </w:r>
            <w:r>
              <w:rPr>
                <w:spacing w:val="-2"/>
              </w:rPr>
              <w:t>万</w:t>
            </w:r>
            <w:r>
              <w:rPr>
                <w:spacing w:val="-3"/>
              </w:rPr>
              <w:t>元以上</w:t>
            </w:r>
            <w:r>
              <w:rPr>
                <w:rFonts w:ascii="黑体" w:hAnsi="黑体" w:eastAsia="黑体" w:cs="黑体"/>
                <w:spacing w:val="-3"/>
              </w:rPr>
              <w:t>一千</w:t>
            </w:r>
            <w:r>
              <w:rPr>
                <w:spacing w:val="-3"/>
              </w:rPr>
              <w:t>万</w:t>
            </w:r>
            <w:r>
              <w:t xml:space="preserve"> </w:t>
            </w:r>
            <w:r>
              <w:rPr>
                <w:spacing w:val="2"/>
              </w:rPr>
              <w:t>元以下的罚款。对直接负责的主管人员和其他直接责任人员给予</w:t>
            </w:r>
            <w:r>
              <w:t xml:space="preserve"> </w:t>
            </w:r>
            <w:r>
              <w:rPr>
                <w:spacing w:val="2"/>
              </w:rPr>
              <w:t>警告，并处以</w:t>
            </w:r>
            <w:r>
              <w:rPr>
                <w:rFonts w:ascii="黑体" w:hAnsi="黑体" w:eastAsia="黑体" w:cs="黑体"/>
                <w:spacing w:val="2"/>
              </w:rPr>
              <w:t>二十</w:t>
            </w:r>
            <w:r>
              <w:rPr>
                <w:spacing w:val="2"/>
              </w:rPr>
              <w:t>万元以上</w:t>
            </w:r>
            <w:r>
              <w:rPr>
                <w:rFonts w:ascii="黑体" w:hAnsi="黑体" w:eastAsia="黑体" w:cs="黑体"/>
                <w:spacing w:val="2"/>
              </w:rPr>
              <w:t>二百</w:t>
            </w:r>
            <w:r>
              <w:rPr>
                <w:spacing w:val="2"/>
              </w:rPr>
              <w:t>万元以下的罚款</w:t>
            </w:r>
            <w:r>
              <w:rPr>
                <w:rFonts w:ascii="黑体" w:hAnsi="黑体" w:eastAsia="黑体" w:cs="黑体"/>
                <w:spacing w:val="2"/>
              </w:rPr>
              <w:t>。对擅自</w:t>
            </w:r>
            <w:r>
              <w:rPr>
                <w:rFonts w:ascii="黑体" w:hAnsi="黑体" w:eastAsia="黑体" w:cs="黑体"/>
                <w:spacing w:val="1"/>
              </w:rPr>
              <w:t>设立的</w:t>
            </w:r>
            <w:r>
              <w:rPr>
                <w:rFonts w:ascii="黑体" w:hAnsi="黑体" w:eastAsia="黑体" w:cs="黑体"/>
              </w:rPr>
              <w:t xml:space="preserve"> </w:t>
            </w:r>
            <w:r>
              <w:rPr>
                <w:rFonts w:ascii="黑体" w:hAnsi="黑体" w:eastAsia="黑体" w:cs="黑体"/>
                <w:spacing w:val="-2"/>
              </w:rPr>
              <w:t>证券公司，由国务院证券监督管理机构予以取缔。</w:t>
            </w:r>
          </w:p>
          <w:p>
            <w:pPr>
              <w:pStyle w:val="8"/>
              <w:spacing w:before="32" w:line="236" w:lineRule="auto"/>
              <w:ind w:left="19" w:right="3" w:firstLine="502"/>
              <w:jc w:val="both"/>
            </w:pPr>
            <w:r>
              <w:rPr>
                <w:spacing w:val="1"/>
              </w:rPr>
              <w:t>证券公司违反本法第</w:t>
            </w:r>
            <w:r>
              <w:rPr>
                <w:rFonts w:ascii="黑体" w:hAnsi="黑体" w:eastAsia="黑体" w:cs="黑体"/>
                <w:spacing w:val="1"/>
              </w:rPr>
              <w:t>一百二十</w:t>
            </w:r>
            <w:r>
              <w:rPr>
                <w:spacing w:val="1"/>
              </w:rPr>
              <w:t>条第五款规定提供融资融券</w:t>
            </w:r>
            <w:r>
              <w:rPr>
                <w:rFonts w:ascii="黑体" w:hAnsi="黑体" w:eastAsia="黑体" w:cs="黑体"/>
                <w:spacing w:val="1"/>
              </w:rPr>
              <w:t>服</w:t>
            </w:r>
            <w:r>
              <w:rPr>
                <w:rFonts w:ascii="黑体" w:hAnsi="黑体" w:eastAsia="黑体" w:cs="黑体"/>
                <w:spacing w:val="2"/>
              </w:rPr>
              <w:t xml:space="preserve"> </w:t>
            </w:r>
            <w:r>
              <w:rPr>
                <w:rFonts w:ascii="黑体" w:hAnsi="黑体" w:eastAsia="黑体" w:cs="黑体"/>
                <w:spacing w:val="-6"/>
              </w:rPr>
              <w:t>务</w:t>
            </w:r>
            <w:r>
              <w:rPr>
                <w:spacing w:val="-6"/>
              </w:rPr>
              <w:t>的， 没收违法所得，并处以融资融券等值</w:t>
            </w:r>
            <w:r>
              <w:rPr>
                <w:spacing w:val="-7"/>
              </w:rPr>
              <w:t xml:space="preserve">以下的罚款； </w:t>
            </w:r>
            <w:r>
              <w:rPr>
                <w:rFonts w:ascii="黑体" w:hAnsi="黑体" w:eastAsia="黑体" w:cs="黑体"/>
                <w:spacing w:val="-7"/>
              </w:rPr>
              <w:t>情节严</w:t>
            </w:r>
            <w:r>
              <w:rPr>
                <w:rFonts w:ascii="黑体" w:hAnsi="黑体" w:eastAsia="黑体" w:cs="黑体"/>
              </w:rPr>
              <w:t xml:space="preserve"> </w:t>
            </w:r>
            <w:r>
              <w:rPr>
                <w:rFonts w:ascii="黑体" w:hAnsi="黑体" w:eastAsia="黑体" w:cs="黑体"/>
                <w:spacing w:val="2"/>
              </w:rPr>
              <w:t>重的，禁止其在一定期限内从事证券融资融券</w:t>
            </w:r>
            <w:r>
              <w:rPr>
                <w:rFonts w:ascii="黑体" w:hAnsi="黑体" w:eastAsia="黑体" w:cs="黑体"/>
                <w:spacing w:val="1"/>
              </w:rPr>
              <w:t>业务</w:t>
            </w:r>
            <w:r>
              <w:rPr>
                <w:spacing w:val="1"/>
              </w:rPr>
              <w:t>。对直接负责</w:t>
            </w:r>
            <w:r>
              <w:t xml:space="preserve"> </w:t>
            </w:r>
            <w:r>
              <w:rPr>
                <w:spacing w:val="2"/>
              </w:rPr>
              <w:t>的主管人员和其他直接责任人员给予警告，并处以</w:t>
            </w:r>
            <w:r>
              <w:rPr>
                <w:rFonts w:ascii="黑体" w:hAnsi="黑体" w:eastAsia="黑体" w:cs="黑体"/>
                <w:spacing w:val="1"/>
              </w:rPr>
              <w:t>二十</w:t>
            </w:r>
            <w:r>
              <w:rPr>
                <w:spacing w:val="1"/>
              </w:rPr>
              <w:t>万元以上</w:t>
            </w:r>
            <w:r>
              <w:t xml:space="preserve"> </w:t>
            </w:r>
            <w:r>
              <w:rPr>
                <w:rFonts w:ascii="黑体" w:hAnsi="黑体" w:eastAsia="黑体" w:cs="黑体"/>
                <w:spacing w:val="-6"/>
              </w:rPr>
              <w:t>二百</w:t>
            </w:r>
            <w:r>
              <w:rPr>
                <w:spacing w:val="-6"/>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469" w:type="dxa"/>
            <w:gridSpan w:val="6"/>
            <w:vMerge w:val="restart"/>
            <w:tcBorders>
              <w:top w:val="nil"/>
              <w:left w:val="single" w:color="000000" w:sz="6" w:space="0"/>
              <w:bottom w:val="nil"/>
              <w:right w:val="nil"/>
            </w:tcBorders>
            <w:vAlign w:val="top"/>
          </w:tcPr>
          <w:p>
            <w:pPr>
              <w:pStyle w:val="8"/>
              <w:spacing w:before="9" w:line="243" w:lineRule="auto"/>
              <w:ind w:left="18" w:right="13" w:firstLine="28"/>
              <w:jc w:val="both"/>
            </w:pPr>
            <w:r>
              <w:pict>
                <v:shape id="_x0000_s1149" o:spid="_x0000_s1149" style="position:absolute;left:0pt;margin-left:25.4pt;margin-top:16.7pt;height:0.5pt;width:24.25pt;mso-position-horizontal-relative:page;mso-position-vertical-relative:page;z-index:-251538432;mso-width-relative:page;mso-height-relative:page;" fillcolor="#000000" filled="t" stroked="f" coordsize="485,10" path="m0,0l484,0,484,9,0,9,0,0xe">
                  <v:path/>
                  <v:fill on="t" focussize="0,0"/>
                  <v:stroke on="f"/>
                  <v:imagedata o:title=""/>
                  <o:lock v:ext="edit"/>
                </v:shape>
              </w:pict>
            </w:r>
            <w:r>
              <w:rPr>
                <w:spacing w:val="-2"/>
              </w:rPr>
              <w:t>以违法所得一倍以上</w:t>
            </w:r>
            <w:r>
              <w:rPr>
                <w:position w:val="-7"/>
              </w:rPr>
              <w:drawing>
                <wp:inline distT="0" distB="0" distL="0" distR="0">
                  <wp:extent cx="10795" cy="203200"/>
                  <wp:effectExtent l="0" t="0" r="0" b="0"/>
                  <wp:docPr id="1108" name="IM 1108"/>
                  <wp:cNvGraphicFramePr/>
                  <a:graphic xmlns:a="http://schemas.openxmlformats.org/drawingml/2006/main">
                    <a:graphicData uri="http://schemas.openxmlformats.org/drawingml/2006/picture">
                      <pic:pic xmlns:pic="http://schemas.openxmlformats.org/drawingml/2006/picture">
                        <pic:nvPicPr>
                          <pic:cNvPr id="1108" name="IM 1108"/>
                          <pic:cNvPicPr/>
                        </pic:nvPicPr>
                        <pic:blipFill>
                          <a:blip r:embed="rId76"/>
                          <a:stretch>
                            <a:fillRect/>
                          </a:stretch>
                        </pic:blipFill>
                        <pic:spPr>
                          <a:xfrm>
                            <a:off x="0" y="0"/>
                            <a:ext cx="11074" cy="203446"/>
                          </a:xfrm>
                          <a:prstGeom prst="rect">
                            <a:avLst/>
                          </a:prstGeom>
                        </pic:spPr>
                      </pic:pic>
                    </a:graphicData>
                  </a:graphic>
                </wp:inline>
              </w:drawing>
            </w:r>
            <w:r>
              <w:rPr>
                <w:spacing w:val="-2"/>
                <w:u w:val="single" w:color="auto"/>
                <w:shd w:val="clear" w:fill="D9D9D9"/>
              </w:rPr>
              <w:t>五</w:t>
            </w:r>
            <w:r>
              <w:t xml:space="preserve"> </w:t>
            </w:r>
            <w:r>
              <w:rPr>
                <w:spacing w:val="-12"/>
              </w:rPr>
              <w:t>不足</w:t>
            </w:r>
            <w:r>
              <w:rPr>
                <w:spacing w:val="-109"/>
              </w:rPr>
              <w:t xml:space="preserve"> </w:t>
            </w:r>
            <w:r>
              <w:rPr>
                <w:position w:val="24"/>
              </w:rPr>
              <w:drawing>
                <wp:inline distT="0" distB="0" distL="0" distR="0">
                  <wp:extent cx="2540" cy="5715"/>
                  <wp:effectExtent l="0" t="0" r="0" b="0"/>
                  <wp:docPr id="1110" name="IM 1110"/>
                  <wp:cNvGraphicFramePr/>
                  <a:graphic xmlns:a="http://schemas.openxmlformats.org/drawingml/2006/main">
                    <a:graphicData uri="http://schemas.openxmlformats.org/drawingml/2006/picture">
                      <pic:pic xmlns:pic="http://schemas.openxmlformats.org/drawingml/2006/picture">
                        <pic:nvPicPr>
                          <pic:cNvPr id="1110" name="IM 1110"/>
                          <pic:cNvPicPr/>
                        </pic:nvPicPr>
                        <pic:blipFill>
                          <a:blip r:embed="rId82"/>
                          <a:stretch>
                            <a:fillRect/>
                          </a:stretch>
                        </pic:blipFill>
                        <pic:spPr>
                          <a:xfrm>
                            <a:off x="0" y="0"/>
                            <a:ext cx="3048" cy="6074"/>
                          </a:xfrm>
                          <a:prstGeom prst="rect">
                            <a:avLst/>
                          </a:prstGeom>
                        </pic:spPr>
                      </pic:pic>
                    </a:graphicData>
                  </a:graphic>
                </wp:inline>
              </w:drawing>
            </w:r>
            <w:r>
              <w:rPr>
                <w:position w:val="-7"/>
              </w:rPr>
              <w:drawing>
                <wp:inline distT="0" distB="0" distL="0" distR="0">
                  <wp:extent cx="2540" cy="203200"/>
                  <wp:effectExtent l="0" t="0" r="0" b="0"/>
                  <wp:docPr id="1112" name="IM 1112"/>
                  <wp:cNvGraphicFramePr/>
                  <a:graphic xmlns:a="http://schemas.openxmlformats.org/drawingml/2006/main">
                    <a:graphicData uri="http://schemas.openxmlformats.org/drawingml/2006/picture">
                      <pic:pic xmlns:pic="http://schemas.openxmlformats.org/drawingml/2006/picture">
                        <pic:nvPicPr>
                          <pic:cNvPr id="1112" name="IM 1112"/>
                          <pic:cNvPicPr/>
                        </pic:nvPicPr>
                        <pic:blipFill>
                          <a:blip r:embed="rId70"/>
                          <a:stretch>
                            <a:fillRect/>
                          </a:stretch>
                        </pic:blipFill>
                        <pic:spPr>
                          <a:xfrm>
                            <a:off x="0" y="0"/>
                            <a:ext cx="3048" cy="203496"/>
                          </a:xfrm>
                          <a:prstGeom prst="rect">
                            <a:avLst/>
                          </a:prstGeom>
                        </pic:spPr>
                      </pic:pic>
                    </a:graphicData>
                  </a:graphic>
                </wp:inline>
              </w:drawing>
            </w:r>
            <w:r>
              <w:rPr>
                <w:spacing w:val="-12"/>
                <w:u w:val="single" w:color="auto"/>
                <w:shd w:val="clear" w:fill="D9D9D9"/>
              </w:rPr>
              <w:t>三十</w:t>
            </w:r>
            <w:r>
              <w:rPr>
                <w:spacing w:val="-115"/>
                <w:u w:val="single" w:color="auto"/>
                <w:shd w:val="clear" w:fill="D9D9D9"/>
              </w:rPr>
              <w:t xml:space="preserve"> </w:t>
            </w:r>
            <w:r>
              <w:rPr>
                <w:position w:val="24"/>
              </w:rPr>
              <w:drawing>
                <wp:inline distT="0" distB="0" distL="0" distR="0">
                  <wp:extent cx="2540" cy="5715"/>
                  <wp:effectExtent l="0" t="0" r="0" b="0"/>
                  <wp:docPr id="1114" name="IM 1114"/>
                  <wp:cNvGraphicFramePr/>
                  <a:graphic xmlns:a="http://schemas.openxmlformats.org/drawingml/2006/main">
                    <a:graphicData uri="http://schemas.openxmlformats.org/drawingml/2006/picture">
                      <pic:pic xmlns:pic="http://schemas.openxmlformats.org/drawingml/2006/picture">
                        <pic:nvPicPr>
                          <pic:cNvPr id="1114" name="IM 1114"/>
                          <pic:cNvPicPr/>
                        </pic:nvPicPr>
                        <pic:blipFill>
                          <a:blip r:embed="rId82"/>
                          <a:stretch>
                            <a:fillRect/>
                          </a:stretch>
                        </pic:blipFill>
                        <pic:spPr>
                          <a:xfrm>
                            <a:off x="0" y="0"/>
                            <a:ext cx="3048" cy="6074"/>
                          </a:xfrm>
                          <a:prstGeom prst="rect">
                            <a:avLst/>
                          </a:prstGeom>
                        </pic:spPr>
                      </pic:pic>
                    </a:graphicData>
                  </a:graphic>
                </wp:inline>
              </w:drawing>
            </w:r>
            <w:r>
              <w:rPr>
                <w:position w:val="-7"/>
              </w:rPr>
              <w:drawing>
                <wp:inline distT="0" distB="0" distL="0" distR="0">
                  <wp:extent cx="2540" cy="203200"/>
                  <wp:effectExtent l="0" t="0" r="0" b="0"/>
                  <wp:docPr id="1116" name="IM 1116"/>
                  <wp:cNvGraphicFramePr/>
                  <a:graphic xmlns:a="http://schemas.openxmlformats.org/drawingml/2006/main">
                    <a:graphicData uri="http://schemas.openxmlformats.org/drawingml/2006/picture">
                      <pic:pic xmlns:pic="http://schemas.openxmlformats.org/drawingml/2006/picture">
                        <pic:nvPicPr>
                          <pic:cNvPr id="1116" name="IM 1116"/>
                          <pic:cNvPicPr/>
                        </pic:nvPicPr>
                        <pic:blipFill>
                          <a:blip r:embed="rId70"/>
                          <a:stretch>
                            <a:fillRect/>
                          </a:stretch>
                        </pic:blipFill>
                        <pic:spPr>
                          <a:xfrm>
                            <a:off x="0" y="0"/>
                            <a:ext cx="3048" cy="203496"/>
                          </a:xfrm>
                          <a:prstGeom prst="rect">
                            <a:avLst/>
                          </a:prstGeom>
                        </pic:spPr>
                      </pic:pic>
                    </a:graphicData>
                  </a:graphic>
                </wp:inline>
              </w:drawing>
            </w:r>
            <w:r>
              <w:rPr>
                <w:spacing w:val="-12"/>
              </w:rPr>
              <w:t>万元的， 处以</w:t>
            </w:r>
            <w:r>
              <w:t xml:space="preserve"> </w:t>
            </w:r>
            <w:r>
              <w:rPr>
                <w:spacing w:val="-2"/>
                <w:u w:val="single" w:color="auto"/>
              </w:rPr>
              <w:t>负责</w:t>
            </w:r>
            <w:r>
              <w:rPr>
                <w:spacing w:val="-109"/>
                <w:u w:val="single" w:color="auto"/>
              </w:rPr>
              <w:t xml:space="preserve"> </w:t>
            </w:r>
            <w:r>
              <w:rPr>
                <w:position w:val="-8"/>
              </w:rPr>
              <w:drawing>
                <wp:inline distT="0" distB="0" distL="0" distR="0">
                  <wp:extent cx="5715" cy="5715"/>
                  <wp:effectExtent l="0" t="0" r="0" b="0"/>
                  <wp:docPr id="1118" name="IM 1118"/>
                  <wp:cNvGraphicFramePr/>
                  <a:graphic xmlns:a="http://schemas.openxmlformats.org/drawingml/2006/main">
                    <a:graphicData uri="http://schemas.openxmlformats.org/drawingml/2006/picture">
                      <pic:pic xmlns:pic="http://schemas.openxmlformats.org/drawingml/2006/picture">
                        <pic:nvPicPr>
                          <pic:cNvPr id="1118" name="IM 1118"/>
                          <pic:cNvPicPr/>
                        </pic:nvPicPr>
                        <pic:blipFill>
                          <a:blip r:embed="rId81"/>
                          <a:stretch>
                            <a:fillRect/>
                          </a:stretch>
                        </pic:blipFill>
                        <pic:spPr>
                          <a:xfrm>
                            <a:off x="0" y="0"/>
                            <a:ext cx="6096" cy="6074"/>
                          </a:xfrm>
                          <a:prstGeom prst="rect">
                            <a:avLst/>
                          </a:prstGeom>
                        </pic:spPr>
                      </pic:pic>
                    </a:graphicData>
                  </a:graphic>
                </wp:inline>
              </w:drawing>
            </w:r>
            <w:r>
              <w:rPr>
                <w:spacing w:val="-105"/>
              </w:rPr>
              <w:t xml:space="preserve"> </w:t>
            </w:r>
            <w:r>
              <w:rPr>
                <w:spacing w:val="-2"/>
              </w:rPr>
              <w:t>的主管人员和其他</w:t>
            </w:r>
            <w:r>
              <w:t xml:space="preserve"> </w:t>
            </w:r>
            <w:r>
              <w:rPr>
                <w:spacing w:val="-5"/>
                <w:shd w:val="clear" w:fill="D9D9D9"/>
              </w:rPr>
              <w:t>三十</w:t>
            </w:r>
            <w:r>
              <w:rPr>
                <w:position w:val="-6"/>
              </w:rPr>
              <w:drawing>
                <wp:inline distT="0" distB="0" distL="0" distR="0">
                  <wp:extent cx="6350" cy="196850"/>
                  <wp:effectExtent l="0" t="0" r="0" b="0"/>
                  <wp:docPr id="1120" name="IM 1120"/>
                  <wp:cNvGraphicFramePr/>
                  <a:graphic xmlns:a="http://schemas.openxmlformats.org/drawingml/2006/main">
                    <a:graphicData uri="http://schemas.openxmlformats.org/drawingml/2006/picture">
                      <pic:pic xmlns:pic="http://schemas.openxmlformats.org/drawingml/2006/picture">
                        <pic:nvPicPr>
                          <pic:cNvPr id="1120" name="IM 1120"/>
                          <pic:cNvPicPr/>
                        </pic:nvPicPr>
                        <pic:blipFill>
                          <a:blip r:embed="rId84"/>
                          <a:stretch>
                            <a:fillRect/>
                          </a:stretch>
                        </pic:blipFill>
                        <pic:spPr>
                          <a:xfrm>
                            <a:off x="0" y="0"/>
                            <a:ext cx="6400" cy="197422"/>
                          </a:xfrm>
                          <a:prstGeom prst="rect">
                            <a:avLst/>
                          </a:prstGeom>
                        </pic:spPr>
                      </pic:pic>
                    </a:graphicData>
                  </a:graphic>
                </wp:inline>
              </w:drawing>
            </w:r>
            <w:r>
              <w:rPr>
                <w:spacing w:val="-5"/>
              </w:rPr>
              <w:t>万元以下的罚款。</w:t>
            </w:r>
          </w:p>
        </w:tc>
        <w:tc>
          <w:tcPr>
            <w:tcW w:w="4627" w:type="dxa"/>
            <w:gridSpan w:val="9"/>
            <w:tcBorders>
              <w:bottom w:val="nil"/>
              <w:right w:val="single" w:color="000000" w:sz="6" w:space="0"/>
            </w:tcBorders>
            <w:vAlign w:val="top"/>
          </w:tcPr>
          <w:p>
            <w:pPr>
              <w:pStyle w:val="8"/>
              <w:spacing w:before="45" w:line="209" w:lineRule="auto"/>
              <w:jc w:val="right"/>
            </w:pPr>
            <w:r>
              <w:rPr>
                <w:spacing w:val="-4"/>
              </w:rPr>
              <w:t>倍以下的罚款； 没有违法所得或者违法所得</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69" w:type="dxa"/>
            <w:gridSpan w:val="6"/>
            <w:vMerge w:val="continue"/>
            <w:tcBorders>
              <w:top w:val="nil"/>
              <w:left w:val="single" w:color="000000" w:sz="6" w:space="0"/>
              <w:bottom w:val="nil"/>
              <w:right w:val="nil"/>
            </w:tcBorders>
            <w:vAlign w:val="top"/>
          </w:tcPr>
          <w:p>
            <w:pPr>
              <w:rPr>
                <w:rFonts w:ascii="Arial"/>
                <w:sz w:val="21"/>
              </w:rPr>
            </w:pPr>
          </w:p>
        </w:tc>
        <w:tc>
          <w:tcPr>
            <w:tcW w:w="492" w:type="dxa"/>
            <w:shd w:val="clear" w:color="auto" w:fill="D9D9D9"/>
            <w:vAlign w:val="top"/>
          </w:tcPr>
          <w:p>
            <w:pPr>
              <w:pStyle w:val="8"/>
              <w:spacing w:before="44" w:line="202" w:lineRule="auto"/>
              <w:ind w:right="2"/>
              <w:jc w:val="right"/>
            </w:pPr>
            <w:r>
              <w:rPr>
                <w:spacing w:val="-7"/>
              </w:rPr>
              <w:t>三十</w:t>
            </w:r>
          </w:p>
        </w:tc>
        <w:tc>
          <w:tcPr>
            <w:tcW w:w="979" w:type="dxa"/>
            <w:gridSpan w:val="2"/>
            <w:tcBorders>
              <w:top w:val="nil"/>
              <w:bottom w:val="nil"/>
            </w:tcBorders>
            <w:vAlign w:val="top"/>
          </w:tcPr>
          <w:p>
            <w:pPr>
              <w:pStyle w:val="8"/>
              <w:spacing w:before="44" w:line="202" w:lineRule="auto"/>
              <w:ind w:left="15"/>
            </w:pPr>
            <w:r>
              <w:rPr>
                <w:spacing w:val="-5"/>
              </w:rPr>
              <w:t>万元以上</w:t>
            </w:r>
          </w:p>
        </w:tc>
        <w:tc>
          <w:tcPr>
            <w:tcW w:w="494" w:type="dxa"/>
            <w:gridSpan w:val="2"/>
            <w:shd w:val="clear" w:color="auto" w:fill="D9D9D9"/>
            <w:vAlign w:val="top"/>
          </w:tcPr>
          <w:p>
            <w:pPr>
              <w:pStyle w:val="8"/>
              <w:spacing w:before="44" w:line="202" w:lineRule="auto"/>
              <w:ind w:left="13"/>
            </w:pPr>
            <w:r>
              <w:rPr>
                <w:spacing w:val="-5"/>
              </w:rPr>
              <w:t>六十</w:t>
            </w:r>
          </w:p>
        </w:tc>
        <w:tc>
          <w:tcPr>
            <w:tcW w:w="2662" w:type="dxa"/>
            <w:gridSpan w:val="4"/>
            <w:tcBorders>
              <w:top w:val="nil"/>
              <w:bottom w:val="nil"/>
              <w:right w:val="single" w:color="000000" w:sz="6" w:space="0"/>
            </w:tcBorders>
            <w:vAlign w:val="top"/>
          </w:tcPr>
          <w:p>
            <w:pPr>
              <w:pStyle w:val="8"/>
              <w:spacing w:before="44" w:line="202" w:lineRule="auto"/>
              <w:jc w:val="right"/>
            </w:pPr>
            <w:r>
              <w:rPr>
                <w:spacing w:val="-1"/>
              </w:rPr>
              <w:t>万元以下的罚款。对直接</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469" w:type="dxa"/>
            <w:gridSpan w:val="6"/>
            <w:vMerge w:val="continue"/>
            <w:tcBorders>
              <w:top w:val="nil"/>
              <w:left w:val="single" w:color="000000" w:sz="6" w:space="0"/>
              <w:right w:val="nil"/>
            </w:tcBorders>
            <w:vAlign w:val="top"/>
          </w:tcPr>
          <w:p>
            <w:pPr>
              <w:rPr>
                <w:rFonts w:ascii="Arial"/>
                <w:sz w:val="21"/>
              </w:rPr>
            </w:pPr>
          </w:p>
        </w:tc>
        <w:tc>
          <w:tcPr>
            <w:tcW w:w="492" w:type="dxa"/>
            <w:tcBorders>
              <w:left w:val="nil"/>
              <w:bottom w:val="nil"/>
              <w:right w:val="nil"/>
            </w:tcBorders>
            <w:vAlign w:val="top"/>
          </w:tcPr>
          <w:p>
            <w:pPr>
              <w:pStyle w:val="8"/>
              <w:spacing w:before="53" w:line="218" w:lineRule="auto"/>
            </w:pPr>
            <w:r>
              <w:rPr>
                <w:spacing w:val="-6"/>
              </w:rPr>
              <w:t>直接</w:t>
            </w:r>
          </w:p>
        </w:tc>
        <w:tc>
          <w:tcPr>
            <w:tcW w:w="4135" w:type="dxa"/>
            <w:gridSpan w:val="8"/>
            <w:tcBorders>
              <w:top w:val="nil"/>
              <w:left w:val="nil"/>
              <w:right w:val="single" w:color="000000" w:sz="6" w:space="0"/>
            </w:tcBorders>
            <w:vAlign w:val="top"/>
          </w:tcPr>
          <w:p>
            <w:pPr>
              <w:pStyle w:val="8"/>
              <w:spacing w:before="53" w:line="215" w:lineRule="auto"/>
            </w:pPr>
            <w:r>
              <w:pict>
                <v:shape id="_x0000_s1150" o:spid="_x0000_s1150" o:spt="202" type="#_x0000_t202" style="position:absolute;left:0pt;margin-left:143.75pt;margin-top:-0.15pt;height:18.1pt;width:15.25pt;z-index:251779072;mso-width-relative:page;mso-height-relative:page;" filled="f" stroked="f" coordsize="21600,21600">
                  <v:path/>
                  <v:fill on="f" focussize="0,0"/>
                  <v:stroke on="f"/>
                  <v:imagedata o:title=""/>
                  <o:lock v:ext="edit" aspectratio="f"/>
                  <v:textbox inset="0mm,0mm,0mm,0mm">
                    <w:txbxContent>
                      <w:p>
                        <w:pPr>
                          <w:pStyle w:val="8"/>
                          <w:spacing w:before="20"/>
                          <w:ind w:left="20"/>
                        </w:pPr>
                        <w:r>
                          <w:rPr>
                            <w:position w:val="-7"/>
                            <w:shd w:val="clear" w:fill="D9D9D9"/>
                          </w:rPr>
                          <w:drawing>
                            <wp:inline distT="0" distB="0" distL="0" distR="0">
                              <wp:extent cx="7620" cy="203835"/>
                              <wp:effectExtent l="0" t="0" r="0" b="0"/>
                              <wp:docPr id="1122" name="IM 1122"/>
                              <wp:cNvGraphicFramePr/>
                              <a:graphic xmlns:a="http://schemas.openxmlformats.org/drawingml/2006/main">
                                <a:graphicData uri="http://schemas.openxmlformats.org/drawingml/2006/picture">
                                  <pic:pic xmlns:pic="http://schemas.openxmlformats.org/drawingml/2006/picture">
                                    <pic:nvPicPr>
                                      <pic:cNvPr id="1122" name="IM 1122"/>
                                      <pic:cNvPicPr/>
                                    </pic:nvPicPr>
                                    <pic:blipFill>
                                      <a:blip r:embed="rId110"/>
                                      <a:stretch>
                                        <a:fillRect/>
                                      </a:stretch>
                                    </pic:blipFill>
                                    <pic:spPr>
                                      <a:xfrm>
                                        <a:off x="0" y="0"/>
                                        <a:ext cx="7620" cy="204216"/>
                                      </a:xfrm>
                                      <a:prstGeom prst="rect">
                                        <a:avLst/>
                                      </a:prstGeom>
                                    </pic:spPr>
                                  </pic:pic>
                                </a:graphicData>
                              </a:graphic>
                            </wp:inline>
                          </w:drawing>
                        </w:r>
                        <w:r>
                          <w:rPr>
                            <w:shd w:val="clear" w:fill="D9D9D9"/>
                          </w:rPr>
                          <w:t>三</w:t>
                        </w:r>
                        <w:r>
                          <w:rPr>
                            <w:position w:val="-7"/>
                            <w:shd w:val="clear" w:fill="D9D9D9"/>
                          </w:rPr>
                          <w:drawing>
                            <wp:inline distT="0" distB="0" distL="0" distR="0">
                              <wp:extent cx="7620" cy="203835"/>
                              <wp:effectExtent l="0" t="0" r="0" b="0"/>
                              <wp:docPr id="1124" name="IM 1124"/>
                              <wp:cNvGraphicFramePr/>
                              <a:graphic xmlns:a="http://schemas.openxmlformats.org/drawingml/2006/main">
                                <a:graphicData uri="http://schemas.openxmlformats.org/drawingml/2006/picture">
                                  <pic:pic xmlns:pic="http://schemas.openxmlformats.org/drawingml/2006/picture">
                                    <pic:nvPicPr>
                                      <pic:cNvPr id="1124" name="IM 1124"/>
                                      <pic:cNvPicPr/>
                                    </pic:nvPicPr>
                                    <pic:blipFill>
                                      <a:blip r:embed="rId110"/>
                                      <a:stretch>
                                        <a:fillRect/>
                                      </a:stretch>
                                    </pic:blipFill>
                                    <pic:spPr>
                                      <a:xfrm>
                                        <a:off x="0" y="0"/>
                                        <a:ext cx="7620" cy="204216"/>
                                      </a:xfrm>
                                      <a:prstGeom prst="rect">
                                        <a:avLst/>
                                      </a:prstGeom>
                                    </pic:spPr>
                                  </pic:pic>
                                </a:graphicData>
                              </a:graphic>
                            </wp:inline>
                          </w:drawing>
                        </w:r>
                      </w:p>
                    </w:txbxContent>
                  </v:textbox>
                </v:shape>
              </w:pict>
            </w:r>
            <w:r>
              <w:pict>
                <v:shape id="_x0000_s1151" o:spid="_x0000_s1151" o:spt="202" type="#_x0000_t202" style="position:absolute;left:0pt;margin-left:158.1pt;margin-top:1.65pt;height:16.35pt;width:49.25pt;z-index:251780096;mso-width-relative:page;mso-height-relative:page;" filled="f" stroked="f" coordsize="21600,21600">
                  <v:path/>
                  <v:fill on="f" focussize="0,0"/>
                  <v:stroke on="f"/>
                  <v:imagedata o:title=""/>
                  <o:lock v:ext="edit" aspectratio="f"/>
                  <v:textbox inset="0mm,0mm,0mm,0mm">
                    <w:txbxContent>
                      <w:p>
                        <w:pPr>
                          <w:pStyle w:val="8"/>
                          <w:spacing w:before="20" w:line="220" w:lineRule="auto"/>
                          <w:ind w:left="20"/>
                        </w:pPr>
                        <w:r>
                          <w:rPr>
                            <w:spacing w:val="-4"/>
                          </w:rPr>
                          <w:t>万元以上</w:t>
                        </w:r>
                      </w:p>
                    </w:txbxContent>
                  </v:textbox>
                </v:shape>
              </w:pict>
            </w:r>
            <w:r>
              <w:rPr>
                <w:spacing w:val="1"/>
              </w:rPr>
              <w:t>责任人员给予警告，并处以</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14" w:type="dxa"/>
            <w:tcBorders>
              <w:left w:val="single" w:color="000000" w:sz="6" w:space="0"/>
              <w:bottom w:val="nil"/>
            </w:tcBorders>
            <w:vAlign w:val="top"/>
          </w:tcPr>
          <w:p>
            <w:pPr>
              <w:rPr>
                <w:rFonts w:ascii="Arial"/>
                <w:sz w:val="21"/>
              </w:rPr>
            </w:pPr>
          </w:p>
        </w:tc>
        <w:tc>
          <w:tcPr>
            <w:tcW w:w="1710" w:type="dxa"/>
            <w:gridSpan w:val="4"/>
            <w:shd w:val="clear" w:color="auto" w:fill="D9D9D9"/>
            <w:vAlign w:val="top"/>
          </w:tcPr>
          <w:p>
            <w:pPr>
              <w:pStyle w:val="8"/>
              <w:spacing w:before="45" w:line="202" w:lineRule="auto"/>
              <w:ind w:left="26"/>
            </w:pPr>
            <w:r>
              <w:rPr>
                <w:spacing w:val="-3"/>
              </w:rPr>
              <w:t>第二百零五条</w:t>
            </w:r>
          </w:p>
        </w:tc>
        <w:tc>
          <w:tcPr>
            <w:tcW w:w="1946" w:type="dxa"/>
            <w:gridSpan w:val="5"/>
            <w:tcBorders>
              <w:top w:val="nil"/>
            </w:tcBorders>
            <w:vAlign w:val="top"/>
          </w:tcPr>
          <w:p>
            <w:pPr>
              <w:pStyle w:val="8"/>
              <w:spacing w:before="45" w:line="202" w:lineRule="auto"/>
              <w:ind w:left="17"/>
            </w:pPr>
            <w:r>
              <w:rPr>
                <w:spacing w:val="-1"/>
              </w:rPr>
              <w:t>证券公司违反本法</w:t>
            </w:r>
          </w:p>
        </w:tc>
        <w:tc>
          <w:tcPr>
            <w:tcW w:w="2432" w:type="dxa"/>
            <w:gridSpan w:val="4"/>
            <w:shd w:val="clear" w:color="auto" w:fill="D9D9D9"/>
            <w:vAlign w:val="top"/>
          </w:tcPr>
          <w:p>
            <w:pPr>
              <w:pStyle w:val="8"/>
              <w:spacing w:before="45" w:line="202" w:lineRule="auto"/>
              <w:ind w:left="18"/>
            </w:pPr>
            <w:r>
              <w:t>规定，为客户买卖证券</w:t>
            </w:r>
          </w:p>
        </w:tc>
        <w:tc>
          <w:tcPr>
            <w:tcW w:w="494" w:type="dxa"/>
            <w:tcBorders>
              <w:top w:val="nil"/>
              <w:bottom w:val="nil"/>
              <w:right w:val="single" w:color="000000" w:sz="6" w:space="0"/>
            </w:tcBorders>
            <w:vAlign w:val="top"/>
          </w:tcPr>
          <w:p>
            <w:pPr>
              <w:pStyle w:val="8"/>
              <w:spacing w:before="45" w:line="202" w:lineRule="auto"/>
              <w:jc w:val="right"/>
            </w:pPr>
            <w:r>
              <w:rPr>
                <w:spacing w:val="-4"/>
              </w:rPr>
              <w:t>提供</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24" w:type="dxa"/>
            <w:gridSpan w:val="5"/>
            <w:tcBorders>
              <w:left w:val="single" w:color="000000" w:sz="6" w:space="0"/>
              <w:bottom w:val="nil"/>
              <w:right w:val="nil"/>
            </w:tcBorders>
            <w:vAlign w:val="top"/>
          </w:tcPr>
          <w:p>
            <w:pPr>
              <w:pStyle w:val="8"/>
              <w:spacing w:before="54" w:line="201" w:lineRule="auto"/>
              <w:ind w:left="26"/>
            </w:pPr>
            <w:r>
              <w:t>融资融券的，没收违</w:t>
            </w:r>
          </w:p>
        </w:tc>
        <w:tc>
          <w:tcPr>
            <w:tcW w:w="960" w:type="dxa"/>
            <w:gridSpan w:val="3"/>
            <w:tcBorders>
              <w:top w:val="nil"/>
              <w:left w:val="nil"/>
              <w:bottom w:val="nil"/>
            </w:tcBorders>
            <w:vAlign w:val="top"/>
          </w:tcPr>
          <w:p>
            <w:pPr>
              <w:pStyle w:val="8"/>
              <w:spacing w:before="54" w:line="201" w:lineRule="auto"/>
            </w:pPr>
            <w:r>
              <w:rPr>
                <w:spacing w:val="-4"/>
              </w:rPr>
              <w:t>法所得，</w:t>
            </w:r>
          </w:p>
        </w:tc>
        <w:tc>
          <w:tcPr>
            <w:tcW w:w="2924" w:type="dxa"/>
            <w:gridSpan w:val="4"/>
            <w:shd w:val="clear" w:color="auto" w:fill="D9D9D9"/>
            <w:vAlign w:val="top"/>
          </w:tcPr>
          <w:p>
            <w:pPr>
              <w:pStyle w:val="8"/>
              <w:spacing w:before="54" w:line="201" w:lineRule="auto"/>
              <w:ind w:right="2"/>
              <w:jc w:val="right"/>
            </w:pPr>
            <w:r>
              <w:rPr>
                <w:spacing w:val="1"/>
              </w:rPr>
              <w:t>暂停或者撤销相关业务许可</w:t>
            </w:r>
          </w:p>
        </w:tc>
        <w:tc>
          <w:tcPr>
            <w:tcW w:w="988" w:type="dxa"/>
            <w:gridSpan w:val="3"/>
            <w:tcBorders>
              <w:top w:val="nil"/>
              <w:bottom w:val="nil"/>
              <w:right w:val="single" w:color="000000" w:sz="6" w:space="0"/>
            </w:tcBorders>
            <w:vAlign w:val="top"/>
          </w:tcPr>
          <w:p>
            <w:pPr>
              <w:pStyle w:val="8"/>
              <w:spacing w:before="54" w:line="201" w:lineRule="auto"/>
              <w:ind w:left="43"/>
            </w:pPr>
            <w:r>
              <w:rPr>
                <w:spacing w:val="16"/>
              </w:rPr>
              <w:t>,并处以</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7096" w:type="dxa"/>
            <w:gridSpan w:val="15"/>
            <w:tcBorders>
              <w:top w:val="nil"/>
              <w:left w:val="single" w:color="000000" w:sz="6" w:space="0"/>
              <w:right w:val="single" w:color="000000" w:sz="6" w:space="0"/>
            </w:tcBorders>
            <w:vAlign w:val="top"/>
          </w:tcPr>
          <w:p>
            <w:pPr>
              <w:pStyle w:val="8"/>
              <w:spacing w:before="17" w:line="233" w:lineRule="auto"/>
              <w:ind w:right="1"/>
              <w:jc w:val="right"/>
            </w:pPr>
            <w:r>
              <w:pict>
                <v:shape id="_x0000_s1152" o:spid="_x0000_s1152" style="position:absolute;left:0pt;margin-left:110.35pt;margin-top:17.2pt;height:0.5pt;width:182.2pt;mso-position-horizontal-relative:page;mso-position-vertical-relative:page;z-index:-251539456;mso-width-relative:page;mso-height-relative:page;" fillcolor="#000000" filled="t" stroked="f" coordsize="3643,10" path="m0,0l3643,0,3643,9,0,9,0,0xe">
                  <v:path/>
                  <v:fill on="t" focussize="0,0"/>
                  <v:stroke on="f"/>
                  <v:imagedata o:title=""/>
                  <o:lock v:ext="edit"/>
                </v:shape>
              </w:pict>
            </w:r>
            <w:r>
              <w:rPr>
                <w:spacing w:val="2"/>
                <w:shd w:val="clear" w:fill="D9D9D9"/>
              </w:rPr>
              <w:t>非法</w:t>
            </w:r>
            <w:r>
              <w:rPr>
                <w:position w:val="-6"/>
              </w:rPr>
              <w:drawing>
                <wp:inline distT="0" distB="0" distL="0" distR="0">
                  <wp:extent cx="8890" cy="198120"/>
                  <wp:effectExtent l="0" t="0" r="0" b="0"/>
                  <wp:docPr id="1126" name="IM 1126"/>
                  <wp:cNvGraphicFramePr/>
                  <a:graphic xmlns:a="http://schemas.openxmlformats.org/drawingml/2006/main">
                    <a:graphicData uri="http://schemas.openxmlformats.org/drawingml/2006/picture">
                      <pic:pic xmlns:pic="http://schemas.openxmlformats.org/drawingml/2006/picture">
                        <pic:nvPicPr>
                          <pic:cNvPr id="1126" name="IM 1126"/>
                          <pic:cNvPicPr/>
                        </pic:nvPicPr>
                        <pic:blipFill>
                          <a:blip r:embed="rId97"/>
                          <a:stretch>
                            <a:fillRect/>
                          </a:stretch>
                        </pic:blipFill>
                        <pic:spPr>
                          <a:xfrm>
                            <a:off x="0" y="0"/>
                            <a:ext cx="9448" cy="198120"/>
                          </a:xfrm>
                          <a:prstGeom prst="rect">
                            <a:avLst/>
                          </a:prstGeom>
                        </pic:spPr>
                      </pic:pic>
                    </a:graphicData>
                  </a:graphic>
                </wp:inline>
              </w:drawing>
            </w:r>
            <w:r>
              <w:rPr>
                <w:spacing w:val="2"/>
              </w:rPr>
              <w:t>融资融券等值以下的罚款。对直接负责的主管人员和其他直接</w:t>
            </w:r>
          </w:p>
          <w:p>
            <w:pPr>
              <w:spacing w:line="9" w:lineRule="exact"/>
              <w:ind w:left="13"/>
            </w:pPr>
            <w:r>
              <w:drawing>
                <wp:inline distT="0" distB="0" distL="0" distR="0">
                  <wp:extent cx="313690" cy="5715"/>
                  <wp:effectExtent l="0" t="0" r="0" b="0"/>
                  <wp:docPr id="1128" name="IM 1128"/>
                  <wp:cNvGraphicFramePr/>
                  <a:graphic xmlns:a="http://schemas.openxmlformats.org/drawingml/2006/main">
                    <a:graphicData uri="http://schemas.openxmlformats.org/drawingml/2006/picture">
                      <pic:pic xmlns:pic="http://schemas.openxmlformats.org/drawingml/2006/picture">
                        <pic:nvPicPr>
                          <pic:cNvPr id="1128" name="IM 1128"/>
                          <pic:cNvPicPr/>
                        </pic:nvPicPr>
                        <pic:blipFill>
                          <a:blip r:embed="rId133"/>
                          <a:stretch>
                            <a:fillRect/>
                          </a:stretch>
                        </pic:blipFill>
                        <pic:spPr>
                          <a:xfrm>
                            <a:off x="0" y="0"/>
                            <a:ext cx="314248" cy="6096"/>
                          </a:xfrm>
                          <a:prstGeom prst="rect">
                            <a:avLst/>
                          </a:prstGeom>
                        </pic:spPr>
                      </pic:pic>
                    </a:graphicData>
                  </a:graphic>
                </wp:inline>
              </w:drawing>
            </w:r>
          </w:p>
          <w:p>
            <w:pPr>
              <w:pStyle w:val="8"/>
              <w:spacing w:before="1" w:line="243" w:lineRule="auto"/>
              <w:ind w:left="20"/>
            </w:pPr>
            <w:r>
              <w:rPr>
                <w:spacing w:val="-3"/>
              </w:rPr>
              <w:t>责任人</w:t>
            </w:r>
            <w:r>
              <w:rPr>
                <w:spacing w:val="-3"/>
                <w:u w:val="single" w:color="auto"/>
              </w:rPr>
              <w:t>员给</w:t>
            </w:r>
            <w:r>
              <w:rPr>
                <w:position w:val="-8"/>
              </w:rPr>
              <w:drawing>
                <wp:inline distT="0" distB="0" distL="0" distR="0">
                  <wp:extent cx="3175" cy="5715"/>
                  <wp:effectExtent l="0" t="0" r="0" b="0"/>
                  <wp:docPr id="1130" name="IM 1130"/>
                  <wp:cNvGraphicFramePr/>
                  <a:graphic xmlns:a="http://schemas.openxmlformats.org/drawingml/2006/main">
                    <a:graphicData uri="http://schemas.openxmlformats.org/drawingml/2006/picture">
                      <pic:pic xmlns:pic="http://schemas.openxmlformats.org/drawingml/2006/picture">
                        <pic:nvPicPr>
                          <pic:cNvPr id="1130" name="IM 1130"/>
                          <pic:cNvPicPr/>
                        </pic:nvPicPr>
                        <pic:blipFill>
                          <a:blip r:embed="rId99"/>
                          <a:stretch>
                            <a:fillRect/>
                          </a:stretch>
                        </pic:blipFill>
                        <pic:spPr>
                          <a:xfrm>
                            <a:off x="0" y="0"/>
                            <a:ext cx="3787" cy="6096"/>
                          </a:xfrm>
                          <a:prstGeom prst="rect">
                            <a:avLst/>
                          </a:prstGeom>
                        </pic:spPr>
                      </pic:pic>
                    </a:graphicData>
                  </a:graphic>
                </wp:inline>
              </w:drawing>
            </w:r>
            <w:r>
              <w:rPr>
                <w:spacing w:val="-101"/>
              </w:rPr>
              <w:t xml:space="preserve"> </w:t>
            </w:r>
            <w:r>
              <w:rPr>
                <w:spacing w:val="-3"/>
              </w:rPr>
              <w:t>予警告，</w:t>
            </w:r>
            <w:r>
              <w:rPr>
                <w:position w:val="24"/>
              </w:rPr>
              <w:drawing>
                <wp:inline distT="0" distB="0" distL="0" distR="0">
                  <wp:extent cx="3175" cy="5715"/>
                  <wp:effectExtent l="0" t="0" r="0" b="0"/>
                  <wp:docPr id="1132" name="IM 1132"/>
                  <wp:cNvGraphicFramePr/>
                  <a:graphic xmlns:a="http://schemas.openxmlformats.org/drawingml/2006/main">
                    <a:graphicData uri="http://schemas.openxmlformats.org/drawingml/2006/picture">
                      <pic:pic xmlns:pic="http://schemas.openxmlformats.org/drawingml/2006/picture">
                        <pic:nvPicPr>
                          <pic:cNvPr id="1132" name="IM 1132"/>
                          <pic:cNvPicPr/>
                        </pic:nvPicPr>
                        <pic:blipFill>
                          <a:blip r:embed="rId99"/>
                          <a:stretch>
                            <a:fillRect/>
                          </a:stretch>
                        </pic:blipFill>
                        <pic:spPr>
                          <a:xfrm>
                            <a:off x="0" y="0"/>
                            <a:ext cx="3787" cy="6096"/>
                          </a:xfrm>
                          <a:prstGeom prst="rect">
                            <a:avLst/>
                          </a:prstGeom>
                        </pic:spPr>
                      </pic:pic>
                    </a:graphicData>
                  </a:graphic>
                </wp:inline>
              </w:drawing>
            </w:r>
            <w:r>
              <w:rPr>
                <w:position w:val="-7"/>
              </w:rPr>
              <w:drawing>
                <wp:inline distT="0" distB="0" distL="0" distR="0">
                  <wp:extent cx="3175" cy="203835"/>
                  <wp:effectExtent l="0" t="0" r="0" b="0"/>
                  <wp:docPr id="1134" name="IM 1134"/>
                  <wp:cNvGraphicFramePr/>
                  <a:graphic xmlns:a="http://schemas.openxmlformats.org/drawingml/2006/main">
                    <a:graphicData uri="http://schemas.openxmlformats.org/drawingml/2006/picture">
                      <pic:pic xmlns:pic="http://schemas.openxmlformats.org/drawingml/2006/picture">
                        <pic:nvPicPr>
                          <pic:cNvPr id="1134" name="IM 1134"/>
                          <pic:cNvPicPr/>
                        </pic:nvPicPr>
                        <pic:blipFill>
                          <a:blip r:embed="rId83"/>
                          <a:stretch>
                            <a:fillRect/>
                          </a:stretch>
                        </pic:blipFill>
                        <pic:spPr>
                          <a:xfrm>
                            <a:off x="0" y="0"/>
                            <a:ext cx="3787" cy="204216"/>
                          </a:xfrm>
                          <a:prstGeom prst="rect">
                            <a:avLst/>
                          </a:prstGeom>
                        </pic:spPr>
                      </pic:pic>
                    </a:graphicData>
                  </a:graphic>
                </wp:inline>
              </w:drawing>
            </w:r>
            <w:r>
              <w:rPr>
                <w:spacing w:val="-3"/>
                <w:u w:val="single" w:color="auto"/>
                <w:shd w:val="clear" w:fill="D9D9D9"/>
              </w:rPr>
              <w:t>撤销任职资格或者证券从业资格，</w:t>
            </w:r>
            <w:r>
              <w:rPr>
                <w:spacing w:val="-25"/>
                <w:u w:val="single" w:color="auto"/>
                <w:shd w:val="clear" w:fill="D9D9D9"/>
              </w:rPr>
              <w:t xml:space="preserve"> </w:t>
            </w:r>
            <w:r>
              <w:rPr>
                <w:position w:val="-7"/>
              </w:rPr>
              <w:drawing>
                <wp:inline distT="0" distB="0" distL="0" distR="0">
                  <wp:extent cx="3175" cy="203835"/>
                  <wp:effectExtent l="0" t="0" r="0" b="0"/>
                  <wp:docPr id="1136" name="IM 1136"/>
                  <wp:cNvGraphicFramePr/>
                  <a:graphic xmlns:a="http://schemas.openxmlformats.org/drawingml/2006/main">
                    <a:graphicData uri="http://schemas.openxmlformats.org/drawingml/2006/picture">
                      <pic:pic xmlns:pic="http://schemas.openxmlformats.org/drawingml/2006/picture">
                        <pic:nvPicPr>
                          <pic:cNvPr id="1136" name="IM 1136"/>
                          <pic:cNvPicPr/>
                        </pic:nvPicPr>
                        <pic:blipFill>
                          <a:blip r:embed="rId76"/>
                          <a:stretch>
                            <a:fillRect/>
                          </a:stretch>
                        </pic:blipFill>
                        <pic:spPr>
                          <a:xfrm>
                            <a:off x="0" y="0"/>
                            <a:ext cx="3787" cy="204216"/>
                          </a:xfrm>
                          <a:prstGeom prst="rect">
                            <a:avLst/>
                          </a:prstGeom>
                        </pic:spPr>
                      </pic:pic>
                    </a:graphicData>
                  </a:graphic>
                </wp:inline>
              </w:drawing>
            </w:r>
            <w:r>
              <w:rPr>
                <w:position w:val="24"/>
              </w:rPr>
              <w:drawing>
                <wp:inline distT="0" distB="0" distL="0" distR="0">
                  <wp:extent cx="3175" cy="5715"/>
                  <wp:effectExtent l="0" t="0" r="0" b="0"/>
                  <wp:docPr id="1138" name="IM 1138"/>
                  <wp:cNvGraphicFramePr/>
                  <a:graphic xmlns:a="http://schemas.openxmlformats.org/drawingml/2006/main">
                    <a:graphicData uri="http://schemas.openxmlformats.org/drawingml/2006/picture">
                      <pic:pic xmlns:pic="http://schemas.openxmlformats.org/drawingml/2006/picture">
                        <pic:nvPicPr>
                          <pic:cNvPr id="1138" name="IM 1138"/>
                          <pic:cNvPicPr/>
                        </pic:nvPicPr>
                        <pic:blipFill>
                          <a:blip r:embed="rId95"/>
                          <a:stretch>
                            <a:fillRect/>
                          </a:stretch>
                        </pic:blipFill>
                        <pic:spPr>
                          <a:xfrm>
                            <a:off x="0" y="0"/>
                            <a:ext cx="3787" cy="6096"/>
                          </a:xfrm>
                          <a:prstGeom prst="rect">
                            <a:avLst/>
                          </a:prstGeom>
                        </pic:spPr>
                      </pic:pic>
                    </a:graphicData>
                  </a:graphic>
                </wp:inline>
              </w:drawing>
            </w:r>
            <w:r>
              <w:rPr>
                <w:spacing w:val="-103"/>
              </w:rPr>
              <w:t xml:space="preserve"> </w:t>
            </w:r>
            <w:r>
              <w:rPr>
                <w:spacing w:val="-3"/>
              </w:rPr>
              <w:t>并处以</w:t>
            </w:r>
            <w:r>
              <w:rPr>
                <w:position w:val="24"/>
              </w:rPr>
              <w:drawing>
                <wp:inline distT="0" distB="0" distL="0" distR="0">
                  <wp:extent cx="3175" cy="5715"/>
                  <wp:effectExtent l="0" t="0" r="0" b="0"/>
                  <wp:docPr id="1140" name="IM 1140"/>
                  <wp:cNvGraphicFramePr/>
                  <a:graphic xmlns:a="http://schemas.openxmlformats.org/drawingml/2006/main">
                    <a:graphicData uri="http://schemas.openxmlformats.org/drawingml/2006/picture">
                      <pic:pic xmlns:pic="http://schemas.openxmlformats.org/drawingml/2006/picture">
                        <pic:nvPicPr>
                          <pic:cNvPr id="1140" name="IM 1140"/>
                          <pic:cNvPicPr/>
                        </pic:nvPicPr>
                        <pic:blipFill>
                          <a:blip r:embed="rId95"/>
                          <a:stretch>
                            <a:fillRect/>
                          </a:stretch>
                        </pic:blipFill>
                        <pic:spPr>
                          <a:xfrm>
                            <a:off x="0" y="0"/>
                            <a:ext cx="3787" cy="6096"/>
                          </a:xfrm>
                          <a:prstGeom prst="rect">
                            <a:avLst/>
                          </a:prstGeom>
                        </pic:spPr>
                      </pic:pic>
                    </a:graphicData>
                  </a:graphic>
                </wp:inline>
              </w:drawing>
            </w:r>
            <w:r>
              <w:rPr>
                <w:position w:val="-7"/>
              </w:rPr>
              <w:drawing>
                <wp:inline distT="0" distB="0" distL="0" distR="0">
                  <wp:extent cx="3175" cy="203835"/>
                  <wp:effectExtent l="0" t="0" r="0" b="0"/>
                  <wp:docPr id="1142" name="IM 1142"/>
                  <wp:cNvGraphicFramePr/>
                  <a:graphic xmlns:a="http://schemas.openxmlformats.org/drawingml/2006/main">
                    <a:graphicData uri="http://schemas.openxmlformats.org/drawingml/2006/picture">
                      <pic:pic xmlns:pic="http://schemas.openxmlformats.org/drawingml/2006/picture">
                        <pic:nvPicPr>
                          <pic:cNvPr id="1142" name="IM 1142"/>
                          <pic:cNvPicPr/>
                        </pic:nvPicPr>
                        <pic:blipFill>
                          <a:blip r:embed="rId76"/>
                          <a:stretch>
                            <a:fillRect/>
                          </a:stretch>
                        </pic:blipFill>
                        <pic:spPr>
                          <a:xfrm>
                            <a:off x="0" y="0"/>
                            <a:ext cx="3787" cy="204216"/>
                          </a:xfrm>
                          <a:prstGeom prst="rect">
                            <a:avLst/>
                          </a:prstGeom>
                        </pic:spPr>
                      </pic:pic>
                    </a:graphicData>
                  </a:graphic>
                </wp:inline>
              </w:drawing>
            </w:r>
            <w:r>
              <w:rPr>
                <w:spacing w:val="-3"/>
                <w:shd w:val="clear" w:fill="D9D9D9"/>
              </w:rPr>
              <w:t>三</w:t>
            </w:r>
            <w:r>
              <w:rPr>
                <w:position w:val="24"/>
              </w:rPr>
              <w:drawing>
                <wp:inline distT="0" distB="0" distL="0" distR="0">
                  <wp:extent cx="3175" cy="5715"/>
                  <wp:effectExtent l="0" t="0" r="0" b="0"/>
                  <wp:docPr id="1144" name="IM 1144"/>
                  <wp:cNvGraphicFramePr/>
                  <a:graphic xmlns:a="http://schemas.openxmlformats.org/drawingml/2006/main">
                    <a:graphicData uri="http://schemas.openxmlformats.org/drawingml/2006/picture">
                      <pic:pic xmlns:pic="http://schemas.openxmlformats.org/drawingml/2006/picture">
                        <pic:nvPicPr>
                          <pic:cNvPr id="1144" name="IM 1144"/>
                          <pic:cNvPicPr/>
                        </pic:nvPicPr>
                        <pic:blipFill>
                          <a:blip r:embed="rId95"/>
                          <a:stretch>
                            <a:fillRect/>
                          </a:stretch>
                        </pic:blipFill>
                        <pic:spPr>
                          <a:xfrm>
                            <a:off x="0" y="0"/>
                            <a:ext cx="3787" cy="6096"/>
                          </a:xfrm>
                          <a:prstGeom prst="rect">
                            <a:avLst/>
                          </a:prstGeom>
                        </pic:spPr>
                      </pic:pic>
                    </a:graphicData>
                  </a:graphic>
                </wp:inline>
              </w:drawing>
            </w:r>
            <w:r>
              <w:rPr>
                <w:position w:val="-7"/>
              </w:rPr>
              <w:drawing>
                <wp:inline distT="0" distB="0" distL="0" distR="0">
                  <wp:extent cx="3175" cy="203835"/>
                  <wp:effectExtent l="0" t="0" r="0" b="0"/>
                  <wp:docPr id="1146" name="IM 1146"/>
                  <wp:cNvGraphicFramePr/>
                  <a:graphic xmlns:a="http://schemas.openxmlformats.org/drawingml/2006/main">
                    <a:graphicData uri="http://schemas.openxmlformats.org/drawingml/2006/picture">
                      <pic:pic xmlns:pic="http://schemas.openxmlformats.org/drawingml/2006/picture">
                        <pic:nvPicPr>
                          <pic:cNvPr id="1146" name="IM 1146"/>
                          <pic:cNvPicPr/>
                        </pic:nvPicPr>
                        <pic:blipFill>
                          <a:blip r:embed="rId76"/>
                          <a:stretch>
                            <a:fillRect/>
                          </a:stretch>
                        </pic:blipFill>
                        <pic:spPr>
                          <a:xfrm>
                            <a:off x="0" y="0"/>
                            <a:ext cx="3787" cy="204216"/>
                          </a:xfrm>
                          <a:prstGeom prst="rect">
                            <a:avLst/>
                          </a:prstGeom>
                        </pic:spPr>
                      </pic:pic>
                    </a:graphicData>
                  </a:graphic>
                </wp:inline>
              </w:drawing>
            </w:r>
            <w:r>
              <w:rPr>
                <w:spacing w:val="-3"/>
              </w:rPr>
              <w:t>万</w:t>
            </w:r>
            <w:r>
              <w:t xml:space="preserve"> </w:t>
            </w:r>
            <w:r>
              <w:rPr>
                <w:spacing w:val="-6"/>
              </w:rPr>
              <w:t>元以上</w:t>
            </w:r>
            <w:r>
              <w:rPr>
                <w:position w:val="-7"/>
              </w:rPr>
              <w:drawing>
                <wp:inline distT="0" distB="0" distL="0" distR="0">
                  <wp:extent cx="5715" cy="203835"/>
                  <wp:effectExtent l="0" t="0" r="0" b="0"/>
                  <wp:docPr id="1148" name="IM 1148"/>
                  <wp:cNvGraphicFramePr/>
                  <a:graphic xmlns:a="http://schemas.openxmlformats.org/drawingml/2006/main">
                    <a:graphicData uri="http://schemas.openxmlformats.org/drawingml/2006/picture">
                      <pic:pic xmlns:pic="http://schemas.openxmlformats.org/drawingml/2006/picture">
                        <pic:nvPicPr>
                          <pic:cNvPr id="1148" name="IM 1148"/>
                          <pic:cNvPicPr/>
                        </pic:nvPicPr>
                        <pic:blipFill>
                          <a:blip r:embed="rId76"/>
                          <a:stretch>
                            <a:fillRect/>
                          </a:stretch>
                        </pic:blipFill>
                        <pic:spPr>
                          <a:xfrm>
                            <a:off x="0" y="0"/>
                            <a:ext cx="6223" cy="204216"/>
                          </a:xfrm>
                          <a:prstGeom prst="rect">
                            <a:avLst/>
                          </a:prstGeom>
                        </pic:spPr>
                      </pic:pic>
                    </a:graphicData>
                  </a:graphic>
                </wp:inline>
              </w:drawing>
            </w:r>
            <w:r>
              <w:rPr>
                <w:spacing w:val="-6"/>
                <w:u w:val="single" w:color="auto"/>
                <w:shd w:val="clear" w:fill="D9D9D9"/>
              </w:rPr>
              <w:t>三十</w:t>
            </w:r>
            <w:r>
              <w:rPr>
                <w:position w:val="-7"/>
              </w:rPr>
              <w:drawing>
                <wp:inline distT="0" distB="0" distL="0" distR="0">
                  <wp:extent cx="5715" cy="203835"/>
                  <wp:effectExtent l="0" t="0" r="0" b="0"/>
                  <wp:docPr id="1150" name="IM 1150"/>
                  <wp:cNvGraphicFramePr/>
                  <a:graphic xmlns:a="http://schemas.openxmlformats.org/drawingml/2006/main">
                    <a:graphicData uri="http://schemas.openxmlformats.org/drawingml/2006/picture">
                      <pic:pic xmlns:pic="http://schemas.openxmlformats.org/drawingml/2006/picture">
                        <pic:nvPicPr>
                          <pic:cNvPr id="1150" name="IM 1150"/>
                          <pic:cNvPicPr/>
                        </pic:nvPicPr>
                        <pic:blipFill>
                          <a:blip r:embed="rId83"/>
                          <a:stretch>
                            <a:fillRect/>
                          </a:stretch>
                        </pic:blipFill>
                        <pic:spPr>
                          <a:xfrm>
                            <a:off x="0" y="0"/>
                            <a:ext cx="6222" cy="204216"/>
                          </a:xfrm>
                          <a:prstGeom prst="rect">
                            <a:avLst/>
                          </a:prstGeom>
                        </pic:spPr>
                      </pic:pic>
                    </a:graphicData>
                  </a:graphic>
                </wp:inline>
              </w:drawing>
            </w:r>
            <w:r>
              <w:rPr>
                <w:spacing w:val="-6"/>
              </w:rPr>
              <w:t>万元以下的</w:t>
            </w:r>
            <w:r>
              <w:rPr>
                <w:spacing w:val="-6"/>
                <w:u w:val="single" w:color="auto"/>
              </w:rPr>
              <w:t xml:space="preserve">罚款。                                   </w:t>
            </w:r>
          </w:p>
          <w:p>
            <w:pPr>
              <w:pStyle w:val="8"/>
              <w:spacing w:before="9" w:line="232" w:lineRule="auto"/>
              <w:ind w:right="11"/>
              <w:jc w:val="right"/>
            </w:pPr>
            <w:r>
              <w:pict>
                <v:shape id="_x0000_s1153" o:spid="_x0000_s1153" o:spt="202" type="#_x0000_t202" style="position:absolute;left:0pt;margin-left:24.65pt;margin-top:1.25pt;height:16.45pt;width:86.3pt;z-index:251781120;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4"/>
                            <w:szCs w:val="24"/>
                          </w:rPr>
                        </w:pPr>
                        <w:r>
                          <w:rPr>
                            <w:rFonts w:ascii="黑体" w:hAnsi="黑体" w:eastAsia="黑体" w:cs="黑体"/>
                            <w:sz w:val="24"/>
                            <w:szCs w:val="24"/>
                          </w:rPr>
                          <w:t>第二百一十九条</w:t>
                        </w:r>
                      </w:p>
                    </w:txbxContent>
                  </v:textbox>
                </v:shape>
              </w:pict>
            </w:r>
            <w:r>
              <w:rPr>
                <w:position w:val="-6"/>
              </w:rPr>
              <w:drawing>
                <wp:inline distT="0" distB="0" distL="0" distR="0">
                  <wp:extent cx="5715" cy="191135"/>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84"/>
                          <a:stretch>
                            <a:fillRect/>
                          </a:stretch>
                        </pic:blipFill>
                        <pic:spPr>
                          <a:xfrm>
                            <a:off x="0" y="0"/>
                            <a:ext cx="6095" cy="191515"/>
                          </a:xfrm>
                          <a:prstGeom prst="rect">
                            <a:avLst/>
                          </a:prstGeom>
                        </pic:spPr>
                      </pic:pic>
                    </a:graphicData>
                  </a:graphic>
                </wp:inline>
              </w:drawing>
            </w:r>
            <w:r>
              <w:rPr>
                <w:spacing w:val="-4"/>
                <w:shd w:val="clear" w:fill="D9D9D9"/>
              </w:rPr>
              <w:t>证券公司违反本法规定， 超出业务许可范围</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096" w:type="dxa"/>
            <w:gridSpan w:val="15"/>
            <w:tcBorders>
              <w:left w:val="single" w:color="000000" w:sz="6" w:space="0"/>
              <w:right w:val="single" w:color="000000" w:sz="6" w:space="0"/>
            </w:tcBorders>
            <w:shd w:val="clear" w:color="auto" w:fill="D9D9D9"/>
            <w:vAlign w:val="top"/>
          </w:tcPr>
          <w:p>
            <w:pPr>
              <w:pStyle w:val="8"/>
              <w:spacing w:before="51" w:line="204" w:lineRule="auto"/>
              <w:ind w:left="28"/>
            </w:pPr>
            <w:r>
              <w:rPr>
                <w:spacing w:val="3"/>
              </w:rPr>
              <w:t>经营证券业务的，责令改正，没收违法所得，并</w:t>
            </w:r>
            <w:r>
              <w:rPr>
                <w:spacing w:val="2"/>
              </w:rPr>
              <w:t>处以违法所得一倍</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96" w:type="dxa"/>
            <w:gridSpan w:val="15"/>
            <w:tcBorders>
              <w:left w:val="single" w:color="000000" w:sz="6" w:space="0"/>
              <w:right w:val="single" w:color="000000" w:sz="6" w:space="0"/>
            </w:tcBorders>
            <w:shd w:val="clear" w:color="auto" w:fill="D9D9D9"/>
            <w:vAlign w:val="top"/>
          </w:tcPr>
          <w:p>
            <w:pPr>
              <w:pStyle w:val="8"/>
              <w:spacing w:before="50" w:line="197" w:lineRule="auto"/>
              <w:ind w:right="8"/>
              <w:jc w:val="right"/>
            </w:pPr>
            <w:r>
              <w:rPr>
                <w:spacing w:val="10"/>
              </w:rPr>
              <w:t>以上五倍以下的罚款；没有违法所得或者违法所得不足三十万元</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096" w:type="dxa"/>
            <w:gridSpan w:val="15"/>
            <w:tcBorders>
              <w:left w:val="single" w:color="000000" w:sz="6" w:space="0"/>
              <w:right w:val="single" w:color="000000" w:sz="6" w:space="0"/>
            </w:tcBorders>
            <w:shd w:val="clear" w:color="auto" w:fill="D9D9D9"/>
            <w:vAlign w:val="top"/>
          </w:tcPr>
          <w:p>
            <w:pPr>
              <w:pStyle w:val="8"/>
              <w:spacing w:before="60" w:line="197" w:lineRule="auto"/>
              <w:ind w:left="43"/>
            </w:pPr>
            <w:r>
              <w:rPr>
                <w:spacing w:val="11"/>
              </w:rPr>
              <w:t>的，处以三十万元以上六十万元以下罚款；情节严重的，责令关</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096" w:type="dxa"/>
            <w:gridSpan w:val="15"/>
            <w:tcBorders>
              <w:left w:val="single" w:color="000000" w:sz="6" w:space="0"/>
              <w:right w:val="single" w:color="000000" w:sz="6" w:space="0"/>
            </w:tcBorders>
            <w:shd w:val="clear" w:color="auto" w:fill="D9D9D9"/>
            <w:vAlign w:val="top"/>
          </w:tcPr>
          <w:p>
            <w:pPr>
              <w:pStyle w:val="8"/>
              <w:spacing w:before="59" w:line="198" w:lineRule="auto"/>
              <w:ind w:left="46"/>
            </w:pPr>
            <w:r>
              <w:rPr>
                <w:spacing w:val="2"/>
              </w:rPr>
              <w:t>闭。对直接负责的主管人员和其他直接责任人员给予警告，撤销任</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096" w:type="dxa"/>
            <w:gridSpan w:val="15"/>
            <w:tcBorders>
              <w:left w:val="single" w:color="000000" w:sz="6" w:space="0"/>
              <w:bottom w:val="single" w:color="000000" w:sz="6" w:space="0"/>
              <w:right w:val="single" w:color="000000" w:sz="6" w:space="0"/>
            </w:tcBorders>
            <w:shd w:val="clear" w:color="auto" w:fill="D9D9D9"/>
            <w:vAlign w:val="top"/>
          </w:tcPr>
          <w:p>
            <w:pPr>
              <w:pStyle w:val="8"/>
              <w:spacing w:before="21" w:line="232" w:lineRule="auto"/>
              <w:ind w:left="33"/>
            </w:pPr>
            <w:r>
              <w:rPr>
                <w:spacing w:val="-7"/>
              </w:rPr>
              <w:t>职资格或者证券从业资格，并处以三万元以上十万元以下的罚款。</w:t>
            </w:r>
            <w:r>
              <w:rPr>
                <w:spacing w:val="63"/>
              </w:rPr>
              <w:t xml:space="preserve"> </w:t>
            </w:r>
            <w:r>
              <w:rPr>
                <w:position w:val="-6"/>
              </w:rPr>
              <w:drawing>
                <wp:inline distT="0" distB="0" distL="0" distR="0">
                  <wp:extent cx="5715" cy="19113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84"/>
                          <a:stretch>
                            <a:fillRect/>
                          </a:stretch>
                        </pic:blipFill>
                        <pic:spPr>
                          <a:xfrm>
                            <a:off x="0" y="0"/>
                            <a:ext cx="6096" cy="191262"/>
                          </a:xfrm>
                          <a:prstGeom prst="rect">
                            <a:avLst/>
                          </a:prstGeom>
                        </pic:spPr>
                      </pic:pic>
                    </a:graphicData>
                  </a:graphic>
                </wp:inline>
              </w:drawing>
            </w:r>
          </w:p>
        </w:tc>
        <w:tc>
          <w:tcPr>
            <w:tcW w:w="6811"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096" w:type="dxa"/>
            <w:gridSpan w:val="15"/>
            <w:tcBorders>
              <w:top w:val="single" w:color="000000" w:sz="6" w:space="0"/>
              <w:left w:val="single" w:color="000000" w:sz="6" w:space="0"/>
              <w:right w:val="single" w:color="000000" w:sz="6" w:space="0"/>
            </w:tcBorders>
            <w:vAlign w:val="top"/>
          </w:tcPr>
          <w:p>
            <w:pPr>
              <w:pStyle w:val="8"/>
              <w:spacing w:before="51" w:line="223" w:lineRule="auto"/>
              <w:ind w:left="24" w:firstLine="488"/>
            </w:pPr>
            <w:r>
              <w:rPr>
                <w:rFonts w:ascii="黑体" w:hAnsi="黑体" w:eastAsia="黑体" w:cs="黑体"/>
                <w:spacing w:val="3"/>
              </w:rPr>
              <w:t xml:space="preserve">第二百二十一条  </w:t>
            </w:r>
            <w:r>
              <w:rPr>
                <w:spacing w:val="3"/>
              </w:rPr>
              <w:t>提交虚假证</w:t>
            </w:r>
            <w:r>
              <w:rPr>
                <w:spacing w:val="3"/>
                <w:u w:val="single" w:color="auto"/>
              </w:rPr>
              <w:t>明文件或者采取其他欺诈手段隐</w:t>
            </w:r>
            <w:r>
              <w:rPr>
                <w:spacing w:val="2"/>
              </w:rPr>
              <w:t xml:space="preserve"> </w:t>
            </w:r>
            <w:r>
              <w:rPr>
                <w:spacing w:val="-1"/>
              </w:rPr>
              <w:t>瞒重要事实骗取证券业务许可的，</w:t>
            </w:r>
            <w:r>
              <w:rPr>
                <w:spacing w:val="-19"/>
              </w:rPr>
              <w:t xml:space="preserve"> </w:t>
            </w:r>
            <w:r>
              <w:rPr>
                <w:position w:val="-6"/>
              </w:rPr>
              <w:drawing>
                <wp:inline distT="0" distB="0" distL="0" distR="0">
                  <wp:extent cx="5715" cy="193040"/>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105"/>
                          <a:stretch>
                            <a:fillRect/>
                          </a:stretch>
                        </pic:blipFill>
                        <pic:spPr>
                          <a:xfrm>
                            <a:off x="0" y="0"/>
                            <a:ext cx="6093" cy="193410"/>
                          </a:xfrm>
                          <a:prstGeom prst="rect">
                            <a:avLst/>
                          </a:prstGeom>
                        </pic:spPr>
                      </pic:pic>
                    </a:graphicData>
                  </a:graphic>
                </wp:inline>
              </w:drawing>
            </w:r>
            <w:r>
              <w:rPr>
                <w:spacing w:val="-1"/>
                <w:shd w:val="clear" w:fill="D9D9D9"/>
              </w:rPr>
              <w:t>或者证券公司在证券交易中有严</w:t>
            </w:r>
          </w:p>
        </w:tc>
        <w:tc>
          <w:tcPr>
            <w:tcW w:w="6811" w:type="dxa"/>
            <w:vMerge w:val="restart"/>
            <w:tcBorders>
              <w:top w:val="single" w:color="000000" w:sz="6" w:space="0"/>
              <w:left w:val="single" w:color="000000" w:sz="6" w:space="0"/>
              <w:bottom w:val="nil"/>
              <w:right w:val="single" w:color="000000" w:sz="6" w:space="0"/>
            </w:tcBorders>
            <w:vAlign w:val="top"/>
          </w:tcPr>
          <w:p>
            <w:pPr>
              <w:pStyle w:val="8"/>
              <w:spacing w:before="53" w:line="235" w:lineRule="auto"/>
              <w:ind w:left="17" w:right="4" w:firstLine="497"/>
              <w:jc w:val="both"/>
              <w:rPr>
                <w:rFonts w:ascii="黑体" w:hAnsi="黑体" w:eastAsia="黑体" w:cs="黑体"/>
              </w:rPr>
            </w:pPr>
            <w:r>
              <w:rPr>
                <w:rFonts w:ascii="黑体" w:hAnsi="黑体" w:eastAsia="黑体" w:cs="黑体"/>
                <w:spacing w:val="1"/>
              </w:rPr>
              <w:t xml:space="preserve">第二百零三条  </w:t>
            </w:r>
            <w:r>
              <w:rPr>
                <w:spacing w:val="1"/>
              </w:rPr>
              <w:t>提交虚假证明文件或者采取其他欺诈手段骗</w:t>
            </w:r>
            <w:r>
              <w:rPr>
                <w:spacing w:val="5"/>
              </w:rPr>
              <w:t xml:space="preserve"> </w:t>
            </w:r>
            <w:r>
              <w:rPr>
                <w:spacing w:val="-3"/>
              </w:rPr>
              <w:t>取证券公司设立许可、业务许可或者重大事项变更核准的， 撤销</w:t>
            </w:r>
            <w:r>
              <w:rPr>
                <w:spacing w:val="16"/>
              </w:rPr>
              <w:t xml:space="preserve"> </w:t>
            </w:r>
            <w:r>
              <w:rPr>
                <w:rFonts w:ascii="黑体" w:hAnsi="黑体" w:eastAsia="黑体" w:cs="黑体"/>
                <w:spacing w:val="2"/>
              </w:rPr>
              <w:t>相关</w:t>
            </w:r>
            <w:r>
              <w:rPr>
                <w:spacing w:val="2"/>
              </w:rPr>
              <w:t>许可</w:t>
            </w:r>
            <w:r>
              <w:rPr>
                <w:rFonts w:ascii="黑体" w:hAnsi="黑体" w:eastAsia="黑体" w:cs="黑体"/>
                <w:spacing w:val="2"/>
              </w:rPr>
              <w:t>，并处以一百万元以上一千万元以下的罚</w:t>
            </w:r>
            <w:r>
              <w:rPr>
                <w:rFonts w:ascii="黑体" w:hAnsi="黑体" w:eastAsia="黑体" w:cs="黑体"/>
                <w:spacing w:val="1"/>
              </w:rPr>
              <w:t>款。对直接负</w:t>
            </w:r>
            <w:r>
              <w:rPr>
                <w:rFonts w:ascii="黑体" w:hAnsi="黑体" w:eastAsia="黑体" w:cs="黑体"/>
              </w:rPr>
              <w:t xml:space="preserve"> </w:t>
            </w:r>
            <w:r>
              <w:rPr>
                <w:rFonts w:ascii="黑体" w:hAnsi="黑体" w:eastAsia="黑体" w:cs="黑体"/>
                <w:spacing w:val="-2"/>
              </w:rPr>
              <w:t>责的主管人员和其他直接责任人员给予警告</w:t>
            </w:r>
            <w:r>
              <w:rPr>
                <w:rFonts w:ascii="黑体" w:hAnsi="黑体" w:eastAsia="黑体" w:cs="黑体"/>
                <w:spacing w:val="-3"/>
              </w:rPr>
              <w:t>， 并处以二十万元以</w:t>
            </w:r>
            <w:r>
              <w:rPr>
                <w:rFonts w:ascii="黑体" w:hAnsi="黑体" w:eastAsia="黑体" w:cs="黑体"/>
              </w:rPr>
              <w:t xml:space="preserve"> </w:t>
            </w:r>
            <w:r>
              <w:rPr>
                <w:rFonts w:ascii="黑体" w:hAnsi="黑体" w:eastAsia="黑体" w:cs="黑体"/>
                <w:spacing w:val="-4"/>
              </w:rPr>
              <w:t>上二百万元以下的罚款。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108" w:type="dxa"/>
            <w:gridSpan w:val="12"/>
            <w:tcBorders>
              <w:left w:val="single" w:color="000000" w:sz="6" w:space="0"/>
            </w:tcBorders>
            <w:shd w:val="clear" w:color="auto" w:fill="D9D9D9"/>
            <w:vAlign w:val="top"/>
          </w:tcPr>
          <w:p>
            <w:pPr>
              <w:pStyle w:val="8"/>
              <w:spacing w:before="55" w:line="195" w:lineRule="auto"/>
              <w:ind w:left="33"/>
            </w:pPr>
            <w:r>
              <w:rPr>
                <w:spacing w:val="-7"/>
              </w:rPr>
              <w:t>重违法行为， 不再具备经营资格的， 由证券监</w:t>
            </w:r>
            <w:r>
              <w:rPr>
                <w:spacing w:val="-8"/>
              </w:rPr>
              <w:t>督管理机构</w:t>
            </w:r>
          </w:p>
        </w:tc>
        <w:tc>
          <w:tcPr>
            <w:tcW w:w="474" w:type="dxa"/>
            <w:tcBorders>
              <w:bottom w:val="nil"/>
            </w:tcBorders>
            <w:vAlign w:val="top"/>
          </w:tcPr>
          <w:p>
            <w:pPr>
              <w:pStyle w:val="8"/>
              <w:spacing w:before="55" w:line="195" w:lineRule="auto"/>
              <w:jc w:val="right"/>
            </w:pPr>
            <w:r>
              <w:rPr>
                <w:spacing w:val="-8"/>
              </w:rPr>
              <w:t>撤销</w:t>
            </w:r>
          </w:p>
        </w:tc>
        <w:tc>
          <w:tcPr>
            <w:tcW w:w="514" w:type="dxa"/>
            <w:gridSpan w:val="2"/>
            <w:tcBorders>
              <w:right w:val="single" w:color="000000" w:sz="6" w:space="0"/>
            </w:tcBorders>
            <w:shd w:val="clear" w:color="auto" w:fill="D9D9D9"/>
            <w:vAlign w:val="top"/>
          </w:tcPr>
          <w:p>
            <w:pPr>
              <w:pStyle w:val="8"/>
              <w:spacing w:before="55" w:line="195" w:lineRule="auto"/>
              <w:ind w:right="4"/>
              <w:jc w:val="right"/>
            </w:pPr>
            <w:r>
              <w:rPr>
                <w:spacing w:val="-5"/>
              </w:rPr>
              <w:t>证券</w:t>
            </w: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14" w:type="dxa"/>
            <w:tcBorders>
              <w:left w:val="single" w:color="000000" w:sz="6" w:space="0"/>
            </w:tcBorders>
            <w:shd w:val="clear" w:color="auto" w:fill="D9D9D9"/>
            <w:vAlign w:val="top"/>
          </w:tcPr>
          <w:p>
            <w:pPr>
              <w:pStyle w:val="8"/>
              <w:spacing w:before="62" w:line="188" w:lineRule="auto"/>
              <w:jc w:val="right"/>
            </w:pPr>
            <w:r>
              <w:rPr>
                <w:spacing w:val="-5"/>
              </w:rPr>
              <w:t>业务</w:t>
            </w:r>
          </w:p>
        </w:tc>
        <w:tc>
          <w:tcPr>
            <w:tcW w:w="489" w:type="dxa"/>
            <w:tcBorders>
              <w:bottom w:val="nil"/>
            </w:tcBorders>
            <w:vAlign w:val="top"/>
          </w:tcPr>
          <w:p>
            <w:pPr>
              <w:pStyle w:val="8"/>
              <w:spacing w:before="62" w:line="188" w:lineRule="auto"/>
              <w:ind w:right="1"/>
              <w:jc w:val="right"/>
            </w:pPr>
            <w:r>
              <w:rPr>
                <w:spacing w:val="-4"/>
              </w:rPr>
              <w:t>许可</w:t>
            </w:r>
          </w:p>
        </w:tc>
        <w:tc>
          <w:tcPr>
            <w:tcW w:w="250" w:type="dxa"/>
            <w:shd w:val="clear" w:color="auto" w:fill="D9D9D9"/>
            <w:vAlign w:val="top"/>
          </w:tcPr>
          <w:p>
            <w:pPr>
              <w:pStyle w:val="8"/>
              <w:spacing w:before="232" w:line="75" w:lineRule="exact"/>
              <w:jc w:val="right"/>
            </w:pPr>
            <w:r>
              <w:rPr>
                <w:spacing w:val="-63"/>
                <w:w w:val="95"/>
              </w:rPr>
              <w:t>。</w:t>
            </w:r>
          </w:p>
        </w:tc>
        <w:tc>
          <w:tcPr>
            <w:tcW w:w="5843" w:type="dxa"/>
            <w:gridSpan w:val="12"/>
            <w:vMerge w:val="restart"/>
            <w:tcBorders>
              <w:left w:val="nil"/>
              <w:bottom w:val="nil"/>
              <w:right w:val="single" w:color="000000" w:sz="6" w:space="0"/>
            </w:tcBorders>
            <w:vAlign w:val="top"/>
          </w:tcPr>
          <w:p>
            <w:pPr>
              <w:rPr>
                <w:rFonts w:ascii="Arial"/>
                <w:sz w:val="21"/>
              </w:rPr>
            </w:pPr>
          </w:p>
        </w:tc>
        <w:tc>
          <w:tcPr>
            <w:tcW w:w="6811"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253" w:type="dxa"/>
            <w:gridSpan w:val="3"/>
            <w:tcBorders>
              <w:left w:val="single" w:color="000000" w:sz="6" w:space="0"/>
              <w:bottom w:val="single" w:color="000000" w:sz="6" w:space="0"/>
              <w:right w:val="nil"/>
            </w:tcBorders>
            <w:vAlign w:val="top"/>
          </w:tcPr>
          <w:p>
            <w:pPr>
              <w:rPr>
                <w:rFonts w:ascii="Arial"/>
                <w:sz w:val="21"/>
              </w:rPr>
            </w:pPr>
          </w:p>
        </w:tc>
        <w:tc>
          <w:tcPr>
            <w:tcW w:w="5843" w:type="dxa"/>
            <w:gridSpan w:val="12"/>
            <w:vMerge w:val="continue"/>
            <w:tcBorders>
              <w:top w:val="nil"/>
              <w:left w:val="nil"/>
              <w:bottom w:val="single" w:color="000000" w:sz="6" w:space="0"/>
              <w:right w:val="single" w:color="000000" w:sz="6" w:space="0"/>
            </w:tcBorders>
            <w:vAlign w:val="top"/>
          </w:tcPr>
          <w:p>
            <w:pPr>
              <w:rPr>
                <w:rFonts w:ascii="Arial"/>
                <w:sz w:val="21"/>
              </w:rPr>
            </w:pPr>
          </w:p>
        </w:tc>
        <w:tc>
          <w:tcPr>
            <w:tcW w:w="6811"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6845" w:h="11910"/>
          <w:pgMar w:top="1012" w:right="1501" w:bottom="1157" w:left="1420" w:header="0" w:footer="996" w:gutter="0"/>
          <w:cols w:space="720" w:num="1"/>
        </w:sectPr>
      </w:pPr>
    </w:p>
    <w:p>
      <w:pPr>
        <w:spacing w:line="120" w:lineRule="exact"/>
      </w:pPr>
    </w:p>
    <w:tbl>
      <w:tblPr>
        <w:tblStyle w:val="7"/>
        <w:tblW w:w="139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6"/>
        <w:gridCol w:w="1706"/>
        <w:gridCol w:w="3132"/>
        <w:gridCol w:w="234"/>
        <w:gridCol w:w="1508"/>
        <w:gridCol w:w="6802"/>
        <w:gridCol w:w="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7096" w:type="dxa"/>
            <w:gridSpan w:val="5"/>
            <w:vMerge w:val="restart"/>
            <w:tcBorders>
              <w:bottom w:val="nil"/>
            </w:tcBorders>
            <w:vAlign w:val="top"/>
          </w:tcPr>
          <w:p>
            <w:pPr>
              <w:pStyle w:val="8"/>
              <w:tabs>
                <w:tab w:val="left" w:pos="512"/>
              </w:tabs>
              <w:spacing w:before="15"/>
              <w:ind w:left="13"/>
            </w:pPr>
            <w:r>
              <w:rPr>
                <w:rFonts w:ascii="黑体" w:hAnsi="黑体" w:eastAsia="黑体" w:cs="黑体"/>
                <w:u w:val="single" w:color="auto"/>
              </w:rPr>
              <w:tab/>
            </w:r>
            <w:r>
              <w:rPr>
                <w:rFonts w:ascii="黑体" w:hAnsi="黑体" w:eastAsia="黑体" w:cs="黑体"/>
                <w:u w:val="single" w:color="auto"/>
              </w:rPr>
              <w:t xml:space="preserve">第二百一十八条  </w:t>
            </w:r>
            <w:r>
              <w:rPr>
                <w:u w:val="single" w:color="auto"/>
              </w:rPr>
              <w:t>证券公司违反本</w:t>
            </w:r>
            <w:r>
              <w:rPr>
                <w:spacing w:val="-102"/>
                <w:u w:val="single" w:color="auto"/>
              </w:rPr>
              <w:t xml:space="preserve"> </w:t>
            </w:r>
            <w:r>
              <w:rPr>
                <w:position w:val="-8"/>
              </w:rPr>
              <w:drawing>
                <wp:inline distT="0" distB="0" distL="0" distR="0">
                  <wp:extent cx="7620" cy="571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75"/>
                          <a:stretch>
                            <a:fillRect/>
                          </a:stretch>
                        </pic:blipFill>
                        <pic:spPr>
                          <a:xfrm>
                            <a:off x="0" y="0"/>
                            <a:ext cx="7797" cy="6095"/>
                          </a:xfrm>
                          <a:prstGeom prst="rect">
                            <a:avLst/>
                          </a:prstGeom>
                        </pic:spPr>
                      </pic:pic>
                    </a:graphicData>
                  </a:graphic>
                </wp:inline>
              </w:drawing>
            </w:r>
            <w:r>
              <w:t>法第</w:t>
            </w:r>
            <w:r>
              <w:rPr>
                <w:position w:val="-7"/>
              </w:rPr>
              <w:drawing>
                <wp:inline distT="0" distB="0" distL="0" distR="0">
                  <wp:extent cx="7620" cy="204470"/>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77"/>
                          <a:stretch>
                            <a:fillRect/>
                          </a:stretch>
                        </pic:blipFill>
                        <pic:spPr>
                          <a:xfrm>
                            <a:off x="0" y="0"/>
                            <a:ext cx="7797" cy="204520"/>
                          </a:xfrm>
                          <a:prstGeom prst="rect">
                            <a:avLst/>
                          </a:prstGeom>
                        </pic:spPr>
                      </pic:pic>
                    </a:graphicData>
                  </a:graphic>
                </wp:inline>
              </w:drawing>
            </w:r>
            <w:r>
              <w:rPr>
                <w:u w:val="single" w:color="auto"/>
                <w:shd w:val="clear" w:fill="D9D9D9"/>
              </w:rPr>
              <w:t>一百二十九条</w:t>
            </w:r>
            <w:r>
              <w:rPr>
                <w:position w:val="-7"/>
              </w:rPr>
              <w:drawing>
                <wp:inline distT="0" distB="0" distL="0" distR="0">
                  <wp:extent cx="7620" cy="204470"/>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73"/>
                          <a:stretch>
                            <a:fillRect/>
                          </a:stretch>
                        </pic:blipFill>
                        <pic:spPr>
                          <a:xfrm>
                            <a:off x="0" y="0"/>
                            <a:ext cx="7797" cy="204520"/>
                          </a:xfrm>
                          <a:prstGeom prst="rect">
                            <a:avLst/>
                          </a:prstGeom>
                        </pic:spPr>
                      </pic:pic>
                    </a:graphicData>
                  </a:graphic>
                </wp:inline>
              </w:drawing>
            </w:r>
            <w:r>
              <w:t>的规定，</w:t>
            </w:r>
          </w:p>
          <w:p>
            <w:pPr>
              <w:pStyle w:val="8"/>
              <w:spacing w:before="1" w:line="230" w:lineRule="auto"/>
              <w:ind w:left="26"/>
            </w:pPr>
            <w:r>
              <w:rPr>
                <w:spacing w:val="-3"/>
                <w:shd w:val="clear" w:fill="D9D9D9"/>
              </w:rPr>
              <w:t>擅自设立、收购、撤销分支机构， 或者</w:t>
            </w:r>
            <w:r>
              <w:rPr>
                <w:position w:val="-6"/>
              </w:rPr>
              <w:drawing>
                <wp:inline distT="0" distB="0" distL="0" distR="0">
                  <wp:extent cx="11430" cy="190500"/>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94"/>
                          <a:stretch>
                            <a:fillRect/>
                          </a:stretch>
                        </pic:blipFill>
                        <pic:spPr>
                          <a:xfrm>
                            <a:off x="0" y="0"/>
                            <a:ext cx="11455" cy="190576"/>
                          </a:xfrm>
                          <a:prstGeom prst="rect">
                            <a:avLst/>
                          </a:prstGeom>
                        </pic:spPr>
                      </pic:pic>
                    </a:graphicData>
                  </a:graphic>
                </wp:inline>
              </w:drawing>
            </w:r>
            <w:r>
              <w:rPr>
                <w:spacing w:val="-3"/>
              </w:rPr>
              <w:t>合并、分立、停业、解散、</w:t>
            </w:r>
          </w:p>
        </w:tc>
        <w:tc>
          <w:tcPr>
            <w:tcW w:w="6802" w:type="dxa"/>
            <w:vMerge w:val="restart"/>
            <w:tcBorders>
              <w:bottom w:val="nil"/>
            </w:tcBorders>
            <w:vAlign w:val="top"/>
          </w:tcPr>
          <w:p>
            <w:pPr>
              <w:pStyle w:val="8"/>
              <w:spacing w:before="35" w:line="237" w:lineRule="auto"/>
              <w:ind w:left="18" w:firstLine="495"/>
            </w:pPr>
            <w:r>
              <w:rPr>
                <w:rFonts w:ascii="黑体" w:hAnsi="黑体" w:eastAsia="黑体" w:cs="黑体"/>
                <w:spacing w:val="-3"/>
              </w:rPr>
              <w:t xml:space="preserve">第二百零四条  </w:t>
            </w:r>
            <w:r>
              <w:rPr>
                <w:spacing w:val="-3"/>
              </w:rPr>
              <w:t>证券公司违反本法第</w:t>
            </w:r>
            <w:r>
              <w:rPr>
                <w:rFonts w:ascii="黑体" w:hAnsi="黑体" w:eastAsia="黑体" w:cs="黑体"/>
                <w:spacing w:val="-3"/>
              </w:rPr>
              <w:t>一百二十二</w:t>
            </w:r>
            <w:r>
              <w:rPr>
                <w:spacing w:val="-4"/>
              </w:rPr>
              <w:t xml:space="preserve">条规定， </w:t>
            </w:r>
            <w:r>
              <w:rPr>
                <w:rFonts w:ascii="黑体" w:hAnsi="黑体" w:eastAsia="黑体" w:cs="黑体"/>
                <w:spacing w:val="-4"/>
              </w:rPr>
              <w:t>未</w:t>
            </w:r>
            <w:r>
              <w:rPr>
                <w:rFonts w:ascii="黑体" w:hAnsi="黑体" w:eastAsia="黑体" w:cs="黑体"/>
              </w:rPr>
              <w:t xml:space="preserve"> </w:t>
            </w:r>
            <w:r>
              <w:rPr>
                <w:rFonts w:ascii="黑体" w:hAnsi="黑体" w:eastAsia="黑体" w:cs="黑体"/>
                <w:spacing w:val="10"/>
              </w:rPr>
              <w:t>经核准变更证券业务范围，变更主要股东或者公司的实际控制</w:t>
            </w:r>
            <w:r>
              <w:rPr>
                <w:rFonts w:ascii="黑体" w:hAnsi="黑体" w:eastAsia="黑体" w:cs="黑体"/>
                <w:spacing w:val="17"/>
              </w:rPr>
              <w:t xml:space="preserve"> </w:t>
            </w:r>
            <w:r>
              <w:rPr>
                <w:rFonts w:ascii="黑体" w:hAnsi="黑体" w:eastAsia="黑体" w:cs="黑体"/>
                <w:spacing w:val="-3"/>
              </w:rPr>
              <w:t>人</w:t>
            </w:r>
            <w:r>
              <w:rPr>
                <w:spacing w:val="-3"/>
              </w:rPr>
              <w:t>，合并、分立、停业、解散、破产的，责令改正， 给予警告，</w:t>
            </w:r>
            <w:r>
              <w:rPr>
                <w:spacing w:val="7"/>
              </w:rPr>
              <w:t xml:space="preserve"> </w:t>
            </w:r>
            <w:r>
              <w:rPr>
                <w:spacing w:val="1"/>
              </w:rPr>
              <w:t>没收违法所得，并处以违法所得一倍以上</w:t>
            </w:r>
            <w:r>
              <w:rPr>
                <w:rFonts w:ascii="黑体" w:hAnsi="黑体" w:eastAsia="黑体" w:cs="黑体"/>
                <w:spacing w:val="1"/>
              </w:rPr>
              <w:t>十</w:t>
            </w:r>
            <w:r>
              <w:rPr>
                <w:spacing w:val="1"/>
              </w:rPr>
              <w:t>倍以下的罚款；没有</w:t>
            </w:r>
            <w:r>
              <w:rPr>
                <w:spacing w:val="17"/>
              </w:rPr>
              <w:t xml:space="preserve"> </w:t>
            </w:r>
            <w:r>
              <w:rPr>
                <w:spacing w:val="-3"/>
              </w:rPr>
              <w:t>违法所得或者违法所得不足</w:t>
            </w:r>
            <w:r>
              <w:rPr>
                <w:rFonts w:ascii="黑体" w:hAnsi="黑体" w:eastAsia="黑体" w:cs="黑体"/>
                <w:spacing w:val="-3"/>
              </w:rPr>
              <w:t>五十</w:t>
            </w:r>
            <w:r>
              <w:rPr>
                <w:spacing w:val="-3"/>
              </w:rPr>
              <w:t>万元的， 处以</w:t>
            </w:r>
            <w:r>
              <w:rPr>
                <w:rFonts w:ascii="黑体" w:hAnsi="黑体" w:eastAsia="黑体" w:cs="黑体"/>
                <w:spacing w:val="-3"/>
              </w:rPr>
              <w:t>五十</w:t>
            </w:r>
            <w:r>
              <w:rPr>
                <w:spacing w:val="-3"/>
              </w:rPr>
              <w:t>万元以上</w:t>
            </w:r>
            <w:r>
              <w:rPr>
                <w:rFonts w:ascii="黑体" w:hAnsi="黑体" w:eastAsia="黑体" w:cs="黑体"/>
                <w:spacing w:val="-3"/>
              </w:rPr>
              <w:t>五百</w:t>
            </w:r>
            <w:r>
              <w:rPr>
                <w:rFonts w:ascii="黑体" w:hAnsi="黑体" w:eastAsia="黑体" w:cs="黑体"/>
                <w:spacing w:val="13"/>
              </w:rPr>
              <w:t xml:space="preserve"> </w:t>
            </w:r>
            <w:r>
              <w:rPr>
                <w:spacing w:val="-7"/>
              </w:rPr>
              <w:t xml:space="preserve">万元以下的罚款； </w:t>
            </w:r>
            <w:r>
              <w:rPr>
                <w:rFonts w:ascii="黑体" w:hAnsi="黑体" w:eastAsia="黑体" w:cs="黑体"/>
                <w:spacing w:val="-7"/>
              </w:rPr>
              <w:t>情节严重的， 并处撤销相关业务许可</w:t>
            </w:r>
            <w:r>
              <w:rPr>
                <w:spacing w:val="-7"/>
              </w:rPr>
              <w:t>。对直接</w:t>
            </w:r>
            <w:r>
              <w:rPr>
                <w:spacing w:val="13"/>
              </w:rPr>
              <w:t xml:space="preserve"> </w:t>
            </w:r>
            <w:r>
              <w:rPr>
                <w:spacing w:val="1"/>
              </w:rPr>
              <w:t>负责的主管人员和其他直接责任人员给予警告，并处以</w:t>
            </w:r>
            <w:r>
              <w:rPr>
                <w:rFonts w:ascii="黑体" w:hAnsi="黑体" w:eastAsia="黑体" w:cs="黑体"/>
                <w:spacing w:val="1"/>
              </w:rPr>
              <w:t>二</w:t>
            </w:r>
            <w:r>
              <w:rPr>
                <w:spacing w:val="1"/>
              </w:rPr>
              <w:t>十万元</w:t>
            </w:r>
            <w:r>
              <w:rPr>
                <w:spacing w:val="15"/>
              </w:rPr>
              <w:t xml:space="preserve"> </w:t>
            </w:r>
            <w:r>
              <w:rPr>
                <w:spacing w:val="-5"/>
              </w:rPr>
              <w:t>以上</w:t>
            </w:r>
            <w:r>
              <w:rPr>
                <w:rFonts w:ascii="黑体" w:hAnsi="黑体" w:eastAsia="黑体" w:cs="黑体"/>
                <w:spacing w:val="-5"/>
              </w:rPr>
              <w:t>二</w:t>
            </w:r>
            <w:r>
              <w:rPr>
                <w:spacing w:val="-5"/>
              </w:rPr>
              <w:t>百万元以下的罚款。</w:t>
            </w:r>
          </w:p>
        </w:tc>
        <w:tc>
          <w:tcPr>
            <w:tcW w:w="86" w:type="dxa"/>
            <w:tcBorders>
              <w:top w:val="nil"/>
              <w:bottom w:val="nil"/>
              <w:right w:val="nil"/>
            </w:tcBorders>
            <w:vAlign w:val="top"/>
          </w:tcPr>
          <w:p>
            <w:pPr>
              <w:spacing w:line="215" w:lineRule="exact"/>
              <w:rPr>
                <w:rFonts w:ascii="Arial"/>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7096" w:type="dxa"/>
            <w:gridSpan w:val="5"/>
            <w:vMerge w:val="continue"/>
            <w:tcBorders>
              <w:top w:val="nil"/>
              <w:bottom w:val="single" w:color="000000" w:sz="2" w:space="0"/>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516" w:type="dxa"/>
            <w:tcBorders>
              <w:top w:val="single" w:color="000000" w:sz="2" w:space="0"/>
              <w:bottom w:val="nil"/>
              <w:right w:val="single" w:color="000000" w:sz="2" w:space="0"/>
            </w:tcBorders>
            <w:vAlign w:val="top"/>
          </w:tcPr>
          <w:p>
            <w:pPr>
              <w:pStyle w:val="8"/>
              <w:spacing w:before="52" w:line="201" w:lineRule="auto"/>
              <w:ind w:left="8"/>
            </w:pPr>
            <w:r>
              <w:rPr>
                <w:spacing w:val="-2"/>
              </w:rPr>
              <w:t>破产</w:t>
            </w:r>
          </w:p>
        </w:tc>
        <w:tc>
          <w:tcPr>
            <w:tcW w:w="4838"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52" w:line="201" w:lineRule="auto"/>
              <w:jc w:val="right"/>
            </w:pPr>
            <w:r>
              <w:rPr>
                <w:spacing w:val="-3"/>
              </w:rPr>
              <w:t>,</w:t>
            </w:r>
            <w:r>
              <w:rPr>
                <w:spacing w:val="70"/>
              </w:rPr>
              <w:t xml:space="preserve"> </w:t>
            </w:r>
            <w:r>
              <w:rPr>
                <w:spacing w:val="-3"/>
              </w:rPr>
              <w:t>或者在境外设立、收购、参股证券经营机构</w:t>
            </w:r>
          </w:p>
        </w:tc>
        <w:tc>
          <w:tcPr>
            <w:tcW w:w="1742" w:type="dxa"/>
            <w:gridSpan w:val="2"/>
            <w:tcBorders>
              <w:top w:val="nil"/>
              <w:left w:val="single" w:color="000000" w:sz="2" w:space="0"/>
              <w:bottom w:val="nil"/>
            </w:tcBorders>
            <w:vAlign w:val="top"/>
          </w:tcPr>
          <w:p>
            <w:pPr>
              <w:pStyle w:val="8"/>
              <w:spacing w:before="52" w:line="201" w:lineRule="auto"/>
              <w:ind w:left="62"/>
            </w:pPr>
            <w:r>
              <w:rPr>
                <w:spacing w:val="-6"/>
              </w:rPr>
              <w:t>的，责令改正，</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7096" w:type="dxa"/>
            <w:gridSpan w:val="5"/>
            <w:vMerge w:val="restart"/>
            <w:tcBorders>
              <w:top w:val="single" w:color="000000" w:sz="2" w:space="0"/>
              <w:bottom w:val="nil"/>
            </w:tcBorders>
            <w:vAlign w:val="top"/>
          </w:tcPr>
          <w:p>
            <w:pPr>
              <w:pStyle w:val="8"/>
              <w:spacing w:before="54" w:line="227" w:lineRule="auto"/>
              <w:ind w:left="21" w:firstLine="1"/>
            </w:pPr>
            <w:r>
              <w:pict>
                <v:shape id="_x0000_s1154" o:spid="_x0000_s1154" o:spt="202" type="#_x0000_t202" style="position:absolute;left:0pt;margin-left:218.25pt;margin-top:-0.1pt;height:34.65pt;width:27.1pt;z-index:2517882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6"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
                          <w:gridCol w:w="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9" w:type="dxa"/>
                              <w:tcBorders>
                                <w:top w:val="nil"/>
                              </w:tcBorders>
                              <w:shd w:val="clear" w:color="auto" w:fill="D9D9D9"/>
                              <w:vAlign w:val="top"/>
                            </w:tcPr>
                            <w:p>
                              <w:pPr>
                                <w:pStyle w:val="8"/>
                                <w:spacing w:before="73" w:line="181" w:lineRule="auto"/>
                                <w:jc w:val="right"/>
                              </w:pPr>
                              <w:r>
                                <w:rPr>
                                  <w:spacing w:val="-18"/>
                                </w:rPr>
                                <w:t>五</w:t>
                              </w:r>
                            </w:p>
                          </w:tc>
                          <w:tc>
                            <w:tcPr>
                              <w:tcW w:w="237"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96" w:type="dxa"/>
                              <w:gridSpan w:val="2"/>
                              <w:shd w:val="clear" w:color="auto" w:fill="D9D9D9"/>
                              <w:vAlign w:val="top"/>
                            </w:tcPr>
                            <w:p>
                              <w:pPr>
                                <w:pStyle w:val="8"/>
                                <w:spacing w:before="43" w:line="207" w:lineRule="auto"/>
                                <w:jc w:val="right"/>
                              </w:pPr>
                              <w:r>
                                <w:rPr>
                                  <w:spacing w:val="-10"/>
                                </w:rPr>
                                <w:t>十万</w:t>
                              </w:r>
                            </w:p>
                          </w:tc>
                        </w:tr>
                      </w:tbl>
                      <w:p>
                        <w:pPr>
                          <w:rPr>
                            <w:rFonts w:ascii="Arial"/>
                            <w:sz w:val="21"/>
                          </w:rPr>
                        </w:pPr>
                      </w:p>
                    </w:txbxContent>
                  </v:textbox>
                </v:shape>
              </w:pict>
            </w:r>
            <w:r>
              <w:pict>
                <v:shape id="_x0000_s1155" o:spid="_x0000_s1155" o:spt="202" type="#_x0000_t202" style="position:absolute;left:0pt;margin-left:132.4pt;margin-top:15.95pt;height:18.6pt;width:27.2pt;z-index:2517872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49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1" w:hRule="atLeast"/>
                          </w:trPr>
                          <w:tc>
                            <w:tcPr>
                              <w:tcW w:w="498" w:type="dxa"/>
                              <w:vAlign w:val="top"/>
                            </w:tcPr>
                            <w:p>
                              <w:pPr>
                                <w:pStyle w:val="8"/>
                                <w:spacing w:before="41" w:line="207" w:lineRule="auto"/>
                                <w:jc w:val="right"/>
                              </w:pPr>
                              <w:r>
                                <w:rPr>
                                  <w:spacing w:val="-10"/>
                                  <w:shd w:val="clear" w:fill="D9D9D9"/>
                                </w:rPr>
                                <w:t>十万</w:t>
                              </w:r>
                            </w:p>
                          </w:tc>
                        </w:tr>
                      </w:tbl>
                      <w:p>
                        <w:pPr>
                          <w:rPr>
                            <w:rFonts w:ascii="Arial"/>
                            <w:sz w:val="21"/>
                          </w:rPr>
                        </w:pPr>
                      </w:p>
                    </w:txbxContent>
                  </v:textbox>
                </v:shape>
              </w:pict>
            </w:r>
            <w:r>
              <w:pict>
                <v:shape id="_x0000_s1156" o:spid="_x0000_s1156" style="position:absolute;left:0pt;margin-left:329.35pt;margin-top:34.25pt;height:15.65pt;width:0.5pt;mso-position-horizontal-relative:page;mso-position-vertical-relative:page;z-index:-251531264;mso-width-relative:page;mso-height-relative:page;" fillcolor="#000000" filled="t" stroked="f" coordsize="10,312" path="m0,0l9,0,9,312,0,312,0,0xe">
                  <v:path/>
                  <v:fill on="t" focussize="0,0"/>
                  <v:stroke on="f"/>
                  <v:imagedata o:title=""/>
                  <o:lock v:ext="edit"/>
                </v:shape>
              </w:pict>
            </w:r>
            <w:r>
              <w:pict>
                <v:shape id="_x0000_s1157" o:spid="_x0000_s1157" style="position:absolute;left:0pt;margin-left:329.35pt;margin-top:49.85pt;height:0.5pt;width:24.75pt;mso-position-horizontal-relative:page;mso-position-vertical-relative:page;z-index:-251532288;mso-width-relative:page;mso-height-relative:page;" fillcolor="#000000" filled="t" stroked="f" coordsize="495,10" path="m0,0l9,0,9,9,0,9,0,0xem0,0l9,0,9,9,0,9,0,0xem9,0l494,0,494,9,9,9,9,0xe">
                  <v:path/>
                  <v:fill on="t" focussize="0,0"/>
                  <v:stroke on="f"/>
                  <v:imagedata o:title=""/>
                  <o:lock v:ext="edit"/>
                </v:shape>
              </w:pict>
            </w:r>
            <w:r>
              <w:pict>
                <v:shape id="_x0000_s1158" o:spid="_x0000_s1158" style="position:absolute;left:0pt;margin-left:281.1pt;margin-top:17.2pt;height:16.6pt;width:49.45pt;mso-position-horizontal-relative:page;mso-position-vertical-relative:page;z-index:-251533312;mso-width-relative:page;mso-height-relative:page;" fillcolor="#000000" filled="t" stroked="f" coordsize="989,332" path="m0,0l9,0,9,9,0,9,0,0xem0,0l9,0,9,9,0,9,0,0xem9,0l979,0,979,9,9,9,9,0xem979,0l988,0,988,9,979,9,979,0xem979,0l988,0,988,9,979,9,979,0xem0,9l9,9,9,321,0,321,0,9xem979,9l988,9,988,321,979,321,979,9xem0,321l9,321,9,331,0,331,0,321xem0,321l9,321,9,331,0,331,0,321xem9,321l979,321,979,331,9,331,9,321xem979,321l988,321,988,331,979,331,979,321xem979,321l988,321,988,331,979,331,979,321xe">
                  <v:path/>
                  <v:fill on="t" focussize="0,0"/>
                  <v:stroke on="f"/>
                  <v:imagedata o:title=""/>
                  <o:lock v:ext="edit"/>
                </v:shape>
              </w:pict>
            </w:r>
            <w:r>
              <w:pict>
                <v:group id="_x0000_s1159" o:spid="_x0000_s1159" o:spt="203" style="position:absolute;left:0pt;margin-left:1.1pt;margin-top:50.35pt;height:16.1pt;width:12.55pt;mso-position-horizontal-relative:page;mso-position-vertical-relative:page;z-index:251786240;mso-width-relative:page;mso-height-relative:page;" coordsize="251,322">
                  <o:lock v:ext="edit"/>
                  <v:rect id="_x0000_s1160" o:spid="_x0000_s1160" o:spt="1" style="position:absolute;left:0;top:9;height:312;width:241;" fillcolor="#D9D9D9" filled="t" stroked="f" coordsize="21600,21600">
                    <v:path/>
                    <v:fill on="t" focussize="0,0"/>
                    <v:stroke on="f"/>
                    <v:imagedata o:title=""/>
                    <o:lock v:ext="edit"/>
                  </v:rect>
                  <v:shape id="_x0000_s1161" o:spid="_x0000_s1161" o:spt="202" type="#_x0000_t202" style="position:absolute;left:-2;top:-10;height:362;width:272;" filled="f" stroked="f" coordsize="21600,21600">
                    <v:path/>
                    <v:fill on="f" focussize="0,0"/>
                    <v:stroke on="f"/>
                    <v:imagedata o:title=""/>
                    <o:lock v:ext="edit" aspectratio="f"/>
                    <v:textbox inset="0mm,0mm,0mm,0mm">
                      <w:txbxContent>
                        <w:p>
                          <w:pPr>
                            <w:pStyle w:val="8"/>
                            <w:spacing w:before="20"/>
                            <w:ind w:left="20"/>
                          </w:pPr>
                          <w:r>
                            <w:rPr>
                              <w:spacing w:val="-18"/>
                            </w:rPr>
                            <w:t>元</w:t>
                          </w:r>
                          <w:r>
                            <w:rPr>
                              <w:position w:val="-6"/>
                            </w:rPr>
                            <w:drawing>
                              <wp:inline distT="0" distB="0" distL="0" distR="0">
                                <wp:extent cx="6350" cy="198120"/>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94"/>
                                        <a:stretch>
                                          <a:fillRect/>
                                        </a:stretch>
                                      </pic:blipFill>
                                      <pic:spPr>
                                        <a:xfrm>
                                          <a:off x="0" y="0"/>
                                          <a:ext cx="6400" cy="198120"/>
                                        </a:xfrm>
                                        <a:prstGeom prst="rect">
                                          <a:avLst/>
                                        </a:prstGeom>
                                      </pic:spPr>
                                    </pic:pic>
                                  </a:graphicData>
                                </a:graphic>
                              </wp:inline>
                            </w:drawing>
                          </w:r>
                        </w:p>
                      </w:txbxContent>
                    </v:textbox>
                  </v:shape>
                  <v:shape id="_x0000_s1162" o:spid="_x0000_s1162" style="position:absolute;left:0;top:0;height:10;width:251;" fillcolor="#000000" filled="t" stroked="f" coordsize="251,10" path="m0,0l240,0,240,9,0,9,0,0xem240,0l250,0,250,9,240,9,240,0xem240,0l250,0,250,9,240,9,240,0xe">
                    <v:path/>
                    <v:fill on="t" focussize="0,0"/>
                    <v:stroke on="f"/>
                    <v:imagedata o:title=""/>
                    <o:lock v:ext="edit"/>
                  </v:shape>
                </v:group>
              </w:pict>
            </w:r>
            <w:r>
              <w:pict>
                <v:shape id="_x0000_s1163" o:spid="_x0000_s1163" style="position:absolute;left:0pt;margin-left:267.8pt;margin-top:33.8pt;height:16.6pt;width:86.35pt;mso-position-horizontal-relative:page;mso-position-vertical-relative:page;z-index:-251534336;mso-width-relative:page;mso-height-relative:page;" fillcolor="#000000" filled="t" stroked="f" coordsize="1726,332" path="m0,0l9,0,9,9,0,9,0,0xem0,0l9,0,9,9,0,9,0,0xem9,0l251,0,251,9,9,9,9,0xem252,0l261,0,261,9,252,9,252,0xem252,0l261,0,261,9,252,9,252,0xem0,9l9,9,9,321,0,321,0,9xem252,9l261,9,261,321,252,321,252,9xem0,321l9,321,9,331,0,331,0,321xem0,321l9,321,9,331,0,331,0,321xem9,321l251,321,251,331,9,331,9,321xem252,321l261,321,261,331,252,331,252,321xem252,321l261,321,261,331,252,331,252,321xem1231,0l1240,0,1240,9,1231,9,1231,0xem1231,0l1240,0,1240,9,1231,9,1231,0xem1240,0l1726,0,1726,9,1240,9,1240,0xe">
                  <v:path/>
                  <v:fill on="t" focussize="0,0"/>
                  <v:stroke on="f"/>
                  <v:imagedata o:title=""/>
                  <o:lock v:ext="edit"/>
                </v:shape>
              </w:pict>
            </w:r>
            <w:r>
              <w:rPr>
                <w:spacing w:val="-1"/>
              </w:rPr>
              <w:t>没收违法所得， 并处以违法所得一倍以上  倍以下的罚款；没有违</w:t>
            </w:r>
            <w:r>
              <w:rPr>
                <w:spacing w:val="4"/>
              </w:rPr>
              <w:t xml:space="preserve"> </w:t>
            </w:r>
            <w:r>
              <w:t>法所得或者违法所得不足    元的，处以</w:t>
            </w:r>
            <w:r>
              <w:rPr>
                <w:spacing w:val="10"/>
              </w:rPr>
              <w:t xml:space="preserve">    </w:t>
            </w:r>
            <w:r>
              <w:t>元以上</w:t>
            </w:r>
            <w:r>
              <w:rPr>
                <w:shd w:val="clear" w:fill="D9D9D9"/>
              </w:rPr>
              <w:t>六十万元</w:t>
            </w:r>
            <w:r>
              <w:rPr>
                <w:spacing w:val="-60"/>
              </w:rPr>
              <w:t xml:space="preserve"> </w:t>
            </w:r>
            <w:r>
              <w:rPr>
                <w:spacing w:val="-1"/>
              </w:rPr>
              <w:t>以下</w:t>
            </w:r>
          </w:p>
          <w:p>
            <w:pPr>
              <w:pStyle w:val="8"/>
              <w:spacing w:before="70" w:line="233" w:lineRule="auto"/>
              <w:ind w:left="305" w:right="12" w:hanging="271"/>
            </w:pPr>
            <w:r>
              <w:rPr>
                <w:spacing w:val="2"/>
              </w:rPr>
              <w:t>的罚款。对直接负责的主管人员给予警告，并处以</w:t>
            </w:r>
            <w:r>
              <w:rPr>
                <w:spacing w:val="2"/>
                <w:shd w:val="clear" w:fill="D9D9D9"/>
              </w:rPr>
              <w:t>三</w:t>
            </w:r>
            <w:r>
              <w:rPr>
                <w:spacing w:val="2"/>
              </w:rPr>
              <w:t>万元以上</w:t>
            </w:r>
            <w:r>
              <w:rPr>
                <w:spacing w:val="2"/>
                <w:shd w:val="clear" w:fill="D9D9D9"/>
              </w:rPr>
              <w:t>十万</w:t>
            </w:r>
            <w:r>
              <w:rPr>
                <w:spacing w:val="15"/>
              </w:rPr>
              <w:t xml:space="preserve"> </w:t>
            </w:r>
            <w:r>
              <w:rPr>
                <w:spacing w:val="-13"/>
              </w:rPr>
              <w:t>以下的罚款。</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 w:hRule="atLeast"/>
        </w:trPr>
        <w:tc>
          <w:tcPr>
            <w:tcW w:w="7096" w:type="dxa"/>
            <w:gridSpan w:val="5"/>
            <w:vMerge w:val="continue"/>
            <w:tcBorders>
              <w:top w:val="nil"/>
              <w:bottom w:val="nil"/>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spacing w:line="23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096" w:type="dxa"/>
            <w:gridSpan w:val="5"/>
            <w:vMerge w:val="continue"/>
            <w:tcBorders>
              <w:top w:val="nil"/>
              <w:bottom w:val="nil"/>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096" w:type="dxa"/>
            <w:gridSpan w:val="5"/>
            <w:vMerge w:val="continue"/>
            <w:tcBorders>
              <w:top w:val="nil"/>
              <w:bottom w:val="single" w:color="000000" w:sz="2" w:space="0"/>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516" w:type="dxa"/>
            <w:tcBorders>
              <w:top w:val="nil"/>
              <w:bottom w:val="single" w:color="000000" w:sz="2" w:space="0"/>
              <w:right w:val="single" w:color="000000" w:sz="2" w:space="0"/>
            </w:tcBorders>
            <w:vAlign w:val="top"/>
          </w:tcPr>
          <w:p>
            <w:pPr>
              <w:rPr>
                <w:rFonts w:ascii="Arial"/>
                <w:sz w:val="21"/>
              </w:rPr>
            </w:pPr>
          </w:p>
        </w:tc>
        <w:tc>
          <w:tcPr>
            <w:tcW w:w="6580" w:type="dxa"/>
            <w:gridSpan w:val="4"/>
            <w:tcBorders>
              <w:top w:val="single" w:color="000000" w:sz="2" w:space="0"/>
              <w:left w:val="single" w:color="000000" w:sz="2" w:space="0"/>
              <w:bottom w:val="single" w:color="000000" w:sz="2" w:space="0"/>
            </w:tcBorders>
            <w:shd w:val="clear" w:color="auto" w:fill="D9D9D9"/>
            <w:vAlign w:val="top"/>
          </w:tcPr>
          <w:p>
            <w:pPr>
              <w:pStyle w:val="8"/>
              <w:spacing w:before="44" w:line="207" w:lineRule="auto"/>
              <w:ind w:left="19"/>
            </w:pPr>
            <w:r>
              <w:rPr>
                <w:spacing w:val="-2"/>
              </w:rPr>
              <w:t>证券公司违反本法第一百二十九条的规定， 擅自</w:t>
            </w:r>
            <w:r>
              <w:rPr>
                <w:spacing w:val="-3"/>
              </w:rPr>
              <w:t>变更有关事项</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096" w:type="dxa"/>
            <w:gridSpan w:val="5"/>
            <w:tcBorders>
              <w:top w:val="single" w:color="000000" w:sz="2" w:space="0"/>
              <w:bottom w:val="single" w:color="000000" w:sz="2" w:space="0"/>
            </w:tcBorders>
            <w:shd w:val="clear" w:color="auto" w:fill="D9D9D9"/>
            <w:vAlign w:val="top"/>
          </w:tcPr>
          <w:p>
            <w:pPr>
              <w:pStyle w:val="8"/>
              <w:spacing w:before="47" w:line="196" w:lineRule="auto"/>
              <w:ind w:left="43"/>
            </w:pPr>
            <w:r>
              <w:rPr>
                <w:spacing w:val="-5"/>
              </w:rPr>
              <w:t>的，</w:t>
            </w:r>
            <w:r>
              <w:rPr>
                <w:spacing w:val="-26"/>
              </w:rPr>
              <w:t xml:space="preserve"> </w:t>
            </w:r>
            <w:r>
              <w:rPr>
                <w:spacing w:val="-5"/>
              </w:rPr>
              <w:t>责令改正， 并处以十万元以上三十万元以下的罚款。对直接负</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5588" w:type="dxa"/>
            <w:gridSpan w:val="4"/>
            <w:tcBorders>
              <w:top w:val="single" w:color="000000" w:sz="2" w:space="0"/>
              <w:right w:val="single" w:color="000000" w:sz="2" w:space="0"/>
            </w:tcBorders>
            <w:shd w:val="clear" w:color="auto" w:fill="D9D9D9"/>
            <w:vAlign w:val="top"/>
          </w:tcPr>
          <w:p>
            <w:pPr>
              <w:pStyle w:val="8"/>
              <w:spacing w:before="61" w:line="215" w:lineRule="auto"/>
              <w:ind w:left="30"/>
            </w:pPr>
            <w:r>
              <w:rPr>
                <w:spacing w:val="-3"/>
              </w:rPr>
              <w:t>责的主管人员给予警告，并处以五万元以下的罚款。</w:t>
            </w:r>
          </w:p>
        </w:tc>
        <w:tc>
          <w:tcPr>
            <w:tcW w:w="1508" w:type="dxa"/>
            <w:tcBorders>
              <w:top w:val="single" w:color="000000" w:sz="2" w:space="0"/>
              <w:left w:val="single" w:color="000000" w:sz="2" w:space="0"/>
            </w:tcBorders>
            <w:vAlign w:val="top"/>
          </w:tcPr>
          <w:p>
            <w:pPr>
              <w:rPr>
                <w:rFonts w:ascii="Arial"/>
                <w:sz w:val="21"/>
              </w:rPr>
            </w:pPr>
          </w:p>
        </w:tc>
        <w:tc>
          <w:tcPr>
            <w:tcW w:w="6802" w:type="dxa"/>
            <w:vMerge w:val="continue"/>
            <w:tcBorders>
              <w:top w:val="nil"/>
            </w:tcBorders>
            <w:vAlign w:val="top"/>
          </w:tcPr>
          <w:p>
            <w:pPr>
              <w:rPr>
                <w:rFonts w:ascii="Arial"/>
                <w:sz w:val="21"/>
              </w:rPr>
            </w:pPr>
          </w:p>
        </w:tc>
        <w:tc>
          <w:tcPr>
            <w:tcW w:w="86" w:type="dxa"/>
            <w:tcBorders>
              <w:top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096" w:type="dxa"/>
            <w:gridSpan w:val="5"/>
            <w:tcBorders>
              <w:bottom w:val="nil"/>
            </w:tcBorders>
            <w:vAlign w:val="top"/>
          </w:tcPr>
          <w:p>
            <w:pPr>
              <w:pStyle w:val="8"/>
              <w:spacing w:before="31" w:line="208" w:lineRule="auto"/>
              <w:jc w:val="right"/>
            </w:pPr>
            <w:r>
              <w:rPr>
                <w:rFonts w:ascii="黑体" w:hAnsi="黑体" w:eastAsia="黑体" w:cs="黑体"/>
                <w:spacing w:val="3"/>
              </w:rPr>
              <w:t xml:space="preserve">第二百二十二条第二款  </w:t>
            </w:r>
            <w:r>
              <w:rPr>
                <w:spacing w:val="3"/>
              </w:rPr>
              <w:t>证券公司为其股东或者股东的关联人</w:t>
            </w:r>
          </w:p>
        </w:tc>
        <w:tc>
          <w:tcPr>
            <w:tcW w:w="6888" w:type="dxa"/>
            <w:gridSpan w:val="2"/>
            <w:vMerge w:val="restart"/>
            <w:tcBorders>
              <w:bottom w:val="nil"/>
            </w:tcBorders>
            <w:vAlign w:val="top"/>
          </w:tcPr>
          <w:p>
            <w:pPr>
              <w:pStyle w:val="8"/>
              <w:spacing w:before="28" w:line="236" w:lineRule="auto"/>
              <w:ind w:left="13" w:right="6" w:firstLine="501"/>
            </w:pPr>
            <w:r>
              <w:rPr>
                <w:rFonts w:ascii="黑体" w:hAnsi="黑体" w:eastAsia="黑体" w:cs="黑体"/>
                <w:spacing w:val="4"/>
              </w:rPr>
              <w:t xml:space="preserve">第二百零五条  </w:t>
            </w:r>
            <w:r>
              <w:rPr>
                <w:spacing w:val="4"/>
              </w:rPr>
              <w:t>证券公司</w:t>
            </w:r>
            <w:r>
              <w:rPr>
                <w:rFonts w:ascii="黑体" w:hAnsi="黑体" w:eastAsia="黑体" w:cs="黑体"/>
                <w:spacing w:val="4"/>
              </w:rPr>
              <w:t>违反本法第一百二十三条第二款的</w:t>
            </w:r>
            <w:r>
              <w:rPr>
                <w:rFonts w:ascii="黑体" w:hAnsi="黑体" w:eastAsia="黑体" w:cs="黑体"/>
                <w:spacing w:val="2"/>
              </w:rPr>
              <w:t xml:space="preserve"> </w:t>
            </w:r>
            <w:r>
              <w:rPr>
                <w:rFonts w:ascii="黑体" w:hAnsi="黑体" w:eastAsia="黑体" w:cs="黑体"/>
                <w:spacing w:val="4"/>
              </w:rPr>
              <w:t>规定</w:t>
            </w:r>
            <w:r>
              <w:rPr>
                <w:spacing w:val="4"/>
                <w14:textOutline w14:w="3810" w14:cap="rnd" w14:cmpd="sng">
                  <w14:solidFill>
                    <w14:srgbClr w14:val="000000"/>
                  </w14:solidFill>
                  <w14:prstDash w14:val="solid"/>
                  <w14:round/>
                </w14:textOutline>
              </w:rPr>
              <w:t>，</w:t>
            </w:r>
            <w:r>
              <w:rPr>
                <w:spacing w:val="4"/>
              </w:rPr>
              <w:t>为其股东或者股东的关联人提供融资或者担保的，责令改</w:t>
            </w:r>
            <w:r>
              <w:rPr>
                <w:spacing w:val="18"/>
              </w:rPr>
              <w:t xml:space="preserve"> </w:t>
            </w:r>
            <w:r>
              <w:rPr>
                <w:spacing w:val="5"/>
              </w:rPr>
              <w:t>正，给予警告，并处以</w:t>
            </w:r>
            <w:r>
              <w:rPr>
                <w:rFonts w:ascii="黑体" w:hAnsi="黑体" w:eastAsia="黑体" w:cs="黑体"/>
                <w:spacing w:val="5"/>
              </w:rPr>
              <w:t>五十万元以上五百万</w:t>
            </w:r>
            <w:r>
              <w:rPr>
                <w:rFonts w:ascii="黑体" w:hAnsi="黑体" w:eastAsia="黑体" w:cs="黑体"/>
                <w:spacing w:val="4"/>
              </w:rPr>
              <w:t>元以下</w:t>
            </w:r>
            <w:r>
              <w:rPr>
                <w:spacing w:val="4"/>
              </w:rPr>
              <w:t>的罚款。对直</w:t>
            </w:r>
            <w:r>
              <w:t xml:space="preserve"> </w:t>
            </w:r>
            <w:r>
              <w:rPr>
                <w:spacing w:val="5"/>
              </w:rPr>
              <w:t>接负责的主管人员和其他直接责任人员</w:t>
            </w:r>
            <w:r>
              <w:rPr>
                <w:rFonts w:ascii="黑体" w:hAnsi="黑体" w:eastAsia="黑体" w:cs="黑体"/>
                <w:spacing w:val="5"/>
              </w:rPr>
              <w:t>给予</w:t>
            </w:r>
            <w:r>
              <w:rPr>
                <w:rFonts w:ascii="黑体" w:hAnsi="黑体" w:eastAsia="黑体" w:cs="黑体"/>
                <w:spacing w:val="4"/>
              </w:rPr>
              <w:t>警告，并处以十万元</w:t>
            </w:r>
            <w:r>
              <w:rPr>
                <w:rFonts w:ascii="黑体" w:hAnsi="黑体" w:eastAsia="黑体" w:cs="黑体"/>
              </w:rPr>
              <w:t xml:space="preserve"> </w:t>
            </w:r>
            <w:r>
              <w:rPr>
                <w:rFonts w:ascii="黑体" w:hAnsi="黑体" w:eastAsia="黑体" w:cs="黑体"/>
                <w:spacing w:val="4"/>
              </w:rPr>
              <w:t>以上一百万元以下</w:t>
            </w:r>
            <w:r>
              <w:rPr>
                <w:spacing w:val="4"/>
              </w:rPr>
              <w:t>的罚款。股东有过错的，在按照要求改正前，</w:t>
            </w:r>
            <w:r>
              <w:rPr>
                <w:spacing w:val="13"/>
              </w:rPr>
              <w:t xml:space="preserve"> </w:t>
            </w:r>
            <w:r>
              <w:rPr>
                <w:spacing w:val="4"/>
              </w:rPr>
              <w:t>国务院证券监督管理机构可以限制其股东权利；拒不改正的，可</w:t>
            </w:r>
            <w:r>
              <w:rPr>
                <w:spacing w:val="18"/>
              </w:rPr>
              <w:t xml:space="preserve"> </w:t>
            </w:r>
            <w:r>
              <w:rPr>
                <w:spacing w:val="-4"/>
              </w:rPr>
              <w:t>以责令其转让所持证券公司股权。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588" w:type="dxa"/>
            <w:gridSpan w:val="4"/>
            <w:tcBorders>
              <w:top w:val="nil"/>
              <w:bottom w:val="nil"/>
              <w:right w:val="single" w:color="000000" w:sz="2" w:space="0"/>
            </w:tcBorders>
            <w:vAlign w:val="top"/>
          </w:tcPr>
          <w:p>
            <w:pPr>
              <w:pStyle w:val="8"/>
              <w:spacing w:before="40" w:line="206" w:lineRule="auto"/>
              <w:jc w:val="right"/>
            </w:pPr>
            <w:r>
              <w:rPr>
                <w:spacing w:val="-3"/>
              </w:rPr>
              <w:t>提供融资或者担保的，责令改正， 给予警告，</w:t>
            </w:r>
            <w:r>
              <w:rPr>
                <w:spacing w:val="-4"/>
              </w:rPr>
              <w:t>并处以</w:t>
            </w:r>
          </w:p>
        </w:tc>
        <w:tc>
          <w:tcPr>
            <w:tcW w:w="1508" w:type="dxa"/>
            <w:tcBorders>
              <w:top w:val="single" w:color="000000" w:sz="2" w:space="0"/>
              <w:left w:val="single" w:color="000000" w:sz="2" w:space="0"/>
              <w:bottom w:val="single" w:color="000000" w:sz="2" w:space="0"/>
            </w:tcBorders>
            <w:shd w:val="clear" w:color="auto" w:fill="D9D9D9"/>
            <w:vAlign w:val="top"/>
          </w:tcPr>
          <w:p>
            <w:pPr>
              <w:pStyle w:val="8"/>
              <w:spacing w:before="40" w:line="206" w:lineRule="auto"/>
              <w:ind w:left="53"/>
            </w:pPr>
            <w:r>
              <w:rPr>
                <w:spacing w:val="-1"/>
              </w:rPr>
              <w:t>十万元以上三</w:t>
            </w:r>
          </w:p>
        </w:tc>
        <w:tc>
          <w:tcPr>
            <w:tcW w:w="6888" w:type="dxa"/>
            <w:gridSpan w:val="2"/>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7096" w:type="dxa"/>
            <w:gridSpan w:val="5"/>
            <w:tcBorders>
              <w:top w:val="nil"/>
              <w:bottom w:val="nil"/>
            </w:tcBorders>
            <w:vAlign w:val="top"/>
          </w:tcPr>
          <w:p>
            <w:pPr>
              <w:pStyle w:val="8"/>
              <w:spacing w:before="10"/>
              <w:ind w:left="22" w:right="1" w:firstLine="10"/>
            </w:pPr>
            <w:r>
              <w:rPr>
                <w:u w:val="single" w:color="auto"/>
                <w:shd w:val="clear" w:fill="D9D9D9"/>
              </w:rPr>
              <w:t>十万元以下</w:t>
            </w:r>
            <w:r>
              <w:rPr>
                <w:position w:val="-7"/>
              </w:rPr>
              <w:drawing>
                <wp:inline distT="0" distB="0" distL="0" distR="0">
                  <wp:extent cx="10795" cy="200660"/>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76"/>
                          <a:stretch>
                            <a:fillRect/>
                          </a:stretch>
                        </pic:blipFill>
                        <pic:spPr>
                          <a:xfrm>
                            <a:off x="0" y="0"/>
                            <a:ext cx="11074" cy="201104"/>
                          </a:xfrm>
                          <a:prstGeom prst="rect">
                            <a:avLst/>
                          </a:prstGeom>
                        </pic:spPr>
                      </pic:pic>
                    </a:graphicData>
                  </a:graphic>
                </wp:inline>
              </w:drawing>
            </w:r>
            <w:r>
              <w:rPr>
                <w:u w:val="single" w:color="auto"/>
              </w:rPr>
              <w:t>的罚款。对直接</w:t>
            </w:r>
            <w:r>
              <w:t>负责的主管人员和其他直接责任人员，</w:t>
            </w:r>
            <w:r>
              <w:rPr>
                <w:spacing w:val="13"/>
              </w:rPr>
              <w:t xml:space="preserve"> </w:t>
            </w:r>
            <w:r>
              <w:rPr>
                <w:spacing w:val="2"/>
              </w:rPr>
              <w:t>处以</w:t>
            </w:r>
            <w:r>
              <w:rPr>
                <w:position w:val="-6"/>
              </w:rPr>
              <w:drawing>
                <wp:inline distT="0" distB="0" distL="0" distR="0">
                  <wp:extent cx="8890" cy="19494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94"/>
                          <a:stretch>
                            <a:fillRect/>
                          </a:stretch>
                        </pic:blipFill>
                        <pic:spPr>
                          <a:xfrm>
                            <a:off x="0" y="0"/>
                            <a:ext cx="9347" cy="195101"/>
                          </a:xfrm>
                          <a:prstGeom prst="rect">
                            <a:avLst/>
                          </a:prstGeom>
                        </pic:spPr>
                      </pic:pic>
                    </a:graphicData>
                  </a:graphic>
                </wp:inline>
              </w:drawing>
            </w:r>
            <w:r>
              <w:rPr>
                <w:spacing w:val="2"/>
                <w:shd w:val="clear" w:fill="D9D9D9"/>
              </w:rPr>
              <w:t>三万元以上十万元以下</w:t>
            </w:r>
            <w:r>
              <w:rPr>
                <w:position w:val="-6"/>
              </w:rPr>
              <w:drawing>
                <wp:inline distT="0" distB="0" distL="0" distR="0">
                  <wp:extent cx="8890" cy="19494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71"/>
                          <a:stretch>
                            <a:fillRect/>
                          </a:stretch>
                        </pic:blipFill>
                        <pic:spPr>
                          <a:xfrm>
                            <a:off x="0" y="0"/>
                            <a:ext cx="9346" cy="195101"/>
                          </a:xfrm>
                          <a:prstGeom prst="rect">
                            <a:avLst/>
                          </a:prstGeom>
                        </pic:spPr>
                      </pic:pic>
                    </a:graphicData>
                  </a:graphic>
                </wp:inline>
              </w:drawing>
            </w:r>
            <w:r>
              <w:rPr>
                <w:spacing w:val="2"/>
              </w:rPr>
              <w:t>的罚款。股东有过错的，在按照要求改</w:t>
            </w:r>
          </w:p>
        </w:tc>
        <w:tc>
          <w:tcPr>
            <w:tcW w:w="6888" w:type="dxa"/>
            <w:gridSpan w:val="2"/>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7096" w:type="dxa"/>
            <w:gridSpan w:val="5"/>
            <w:tcBorders>
              <w:top w:val="nil"/>
            </w:tcBorders>
            <w:vAlign w:val="top"/>
          </w:tcPr>
          <w:p>
            <w:pPr>
              <w:pStyle w:val="8"/>
              <w:spacing w:before="44" w:line="227" w:lineRule="auto"/>
              <w:ind w:left="33" w:hanging="13"/>
            </w:pPr>
            <w:r>
              <w:rPr>
                <w:spacing w:val="10"/>
              </w:rPr>
              <w:t>正前，</w:t>
            </w:r>
            <w:r>
              <w:rPr>
                <w:spacing w:val="-61"/>
              </w:rPr>
              <w:t xml:space="preserve"> </w:t>
            </w:r>
            <w:r>
              <w:rPr>
                <w:spacing w:val="10"/>
              </w:rPr>
              <w:t>国务院证券监督管理机构可以限制其股东权利；拒不改正</w:t>
            </w:r>
            <w:r>
              <w:t xml:space="preserve"> </w:t>
            </w:r>
            <w:r>
              <w:rPr>
                <w:spacing w:val="-5"/>
              </w:rPr>
              <w:t>的，可以责令其转让所持证券公司股权。</w:t>
            </w:r>
          </w:p>
        </w:tc>
        <w:tc>
          <w:tcPr>
            <w:tcW w:w="6888" w:type="dxa"/>
            <w:gridSpan w:val="2"/>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2222" w:type="dxa"/>
            <w:gridSpan w:val="2"/>
            <w:tcBorders>
              <w:bottom w:val="single" w:color="000000" w:sz="2" w:space="0"/>
              <w:right w:val="single" w:color="000000" w:sz="2" w:space="0"/>
            </w:tcBorders>
            <w:vAlign w:val="top"/>
          </w:tcPr>
          <w:p>
            <w:pPr>
              <w:spacing w:before="43" w:line="195" w:lineRule="auto"/>
              <w:ind w:right="13"/>
              <w:jc w:val="right"/>
              <w:rPr>
                <w:rFonts w:ascii="黑体" w:hAnsi="黑体" w:eastAsia="黑体" w:cs="黑体"/>
                <w:sz w:val="24"/>
                <w:szCs w:val="24"/>
              </w:rPr>
            </w:pPr>
            <w:r>
              <w:rPr>
                <w:rFonts w:ascii="黑体" w:hAnsi="黑体" w:eastAsia="黑体" w:cs="黑体"/>
                <w:sz w:val="24"/>
                <w:szCs w:val="24"/>
              </w:rPr>
              <w:t>第一百九十八条</w:t>
            </w:r>
          </w:p>
        </w:tc>
        <w:tc>
          <w:tcPr>
            <w:tcW w:w="4874" w:type="dxa"/>
            <w:gridSpan w:val="3"/>
            <w:tcBorders>
              <w:left w:val="single" w:color="000000" w:sz="2" w:space="0"/>
              <w:bottom w:val="single" w:color="000000" w:sz="2" w:space="0"/>
            </w:tcBorders>
            <w:shd w:val="clear" w:color="auto" w:fill="D9D9D9"/>
            <w:vAlign w:val="top"/>
          </w:tcPr>
          <w:p>
            <w:pPr>
              <w:pStyle w:val="8"/>
              <w:spacing w:before="44" w:line="194" w:lineRule="auto"/>
              <w:ind w:right="11"/>
              <w:jc w:val="right"/>
            </w:pPr>
            <w:r>
              <w:rPr>
                <w:spacing w:val="2"/>
              </w:rPr>
              <w:t>违反本法规定，聘任不具有任职资格、证券</w:t>
            </w:r>
          </w:p>
        </w:tc>
        <w:tc>
          <w:tcPr>
            <w:tcW w:w="6888" w:type="dxa"/>
            <w:gridSpan w:val="2"/>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096" w:type="dxa"/>
            <w:gridSpan w:val="5"/>
            <w:tcBorders>
              <w:top w:val="single" w:color="000000" w:sz="2" w:space="0"/>
              <w:bottom w:val="single" w:color="000000" w:sz="2" w:space="0"/>
            </w:tcBorders>
            <w:shd w:val="clear" w:color="auto" w:fill="D9D9D9"/>
            <w:vAlign w:val="top"/>
          </w:tcPr>
          <w:p>
            <w:pPr>
              <w:pStyle w:val="8"/>
              <w:spacing w:before="63" w:line="188" w:lineRule="auto"/>
              <w:ind w:left="28"/>
            </w:pPr>
            <w:r>
              <w:rPr>
                <w:spacing w:val="-2"/>
              </w:rPr>
              <w:t>从业资格的人员的， 由证券监督管理机构责令改正，给予警告，可</w:t>
            </w:r>
          </w:p>
        </w:tc>
        <w:tc>
          <w:tcPr>
            <w:tcW w:w="6888" w:type="dxa"/>
            <w:gridSpan w:val="2"/>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6" w:type="dxa"/>
            <w:gridSpan w:val="5"/>
            <w:tcBorders>
              <w:top w:val="single" w:color="000000" w:sz="2" w:space="0"/>
              <w:bottom w:val="single" w:color="000000" w:sz="2" w:space="0"/>
            </w:tcBorders>
            <w:shd w:val="clear" w:color="auto" w:fill="D9D9D9"/>
            <w:vAlign w:val="top"/>
          </w:tcPr>
          <w:p>
            <w:pPr>
              <w:pStyle w:val="8"/>
              <w:spacing w:before="72" w:line="188" w:lineRule="auto"/>
              <w:ind w:left="56"/>
            </w:pPr>
            <w:r>
              <w:rPr>
                <w:spacing w:val="2"/>
              </w:rPr>
              <w:t>以并处十万元以上三十万元以下的罚款；对直接负责的</w:t>
            </w:r>
            <w:r>
              <w:rPr>
                <w:spacing w:val="1"/>
              </w:rPr>
              <w:t>主管人员给</w:t>
            </w:r>
          </w:p>
        </w:tc>
        <w:tc>
          <w:tcPr>
            <w:tcW w:w="6888" w:type="dxa"/>
            <w:gridSpan w:val="2"/>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5354" w:type="dxa"/>
            <w:gridSpan w:val="3"/>
            <w:tcBorders>
              <w:top w:val="single" w:color="000000" w:sz="2" w:space="0"/>
              <w:bottom w:val="single" w:color="000000" w:sz="2" w:space="0"/>
              <w:right w:val="single" w:color="000000" w:sz="2" w:space="0"/>
            </w:tcBorders>
            <w:shd w:val="clear" w:color="auto" w:fill="D9D9D9"/>
            <w:vAlign w:val="top"/>
          </w:tcPr>
          <w:p>
            <w:pPr>
              <w:pStyle w:val="8"/>
              <w:spacing w:before="71" w:line="184" w:lineRule="auto"/>
              <w:ind w:left="33"/>
            </w:pPr>
            <w:r>
              <w:rPr>
                <w:spacing w:val="-3"/>
              </w:rPr>
              <w:t>予警告，可以并处三万元以上十万元以下的罚款。</w:t>
            </w:r>
          </w:p>
        </w:tc>
        <w:tc>
          <w:tcPr>
            <w:tcW w:w="1742" w:type="dxa"/>
            <w:gridSpan w:val="2"/>
            <w:tcBorders>
              <w:top w:val="single" w:color="000000" w:sz="2" w:space="0"/>
              <w:left w:val="single" w:color="000000" w:sz="2" w:space="0"/>
              <w:bottom w:val="nil"/>
            </w:tcBorders>
            <w:vAlign w:val="top"/>
          </w:tcPr>
          <w:p>
            <w:pPr>
              <w:rPr>
                <w:rFonts w:ascii="Arial"/>
                <w:sz w:val="21"/>
              </w:rPr>
            </w:pPr>
          </w:p>
        </w:tc>
        <w:tc>
          <w:tcPr>
            <w:tcW w:w="6888" w:type="dxa"/>
            <w:gridSpan w:val="2"/>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2" w:hRule="atLeast"/>
        </w:trPr>
        <w:tc>
          <w:tcPr>
            <w:tcW w:w="7096" w:type="dxa"/>
            <w:gridSpan w:val="5"/>
            <w:tcBorders>
              <w:top w:val="single" w:color="000000" w:sz="2" w:space="0"/>
            </w:tcBorders>
            <w:vAlign w:val="top"/>
          </w:tcPr>
          <w:p>
            <w:pPr>
              <w:rPr>
                <w:rFonts w:ascii="Arial"/>
                <w:sz w:val="21"/>
              </w:rPr>
            </w:pPr>
          </w:p>
        </w:tc>
        <w:tc>
          <w:tcPr>
            <w:tcW w:w="6888" w:type="dxa"/>
            <w:gridSpan w:val="2"/>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1" w:type="default"/>
          <w:pgSz w:w="16845" w:h="11910"/>
          <w:pgMar w:top="1012" w:right="1425" w:bottom="1157" w:left="1420" w:header="0" w:footer="996" w:gutter="0"/>
          <w:cols w:space="720" w:num="1"/>
        </w:sectPr>
      </w:pPr>
    </w:p>
    <w:p>
      <w:pPr>
        <w:spacing w:line="120" w:lineRule="exact"/>
      </w:pPr>
    </w:p>
    <w:tbl>
      <w:tblPr>
        <w:tblStyle w:val="7"/>
        <w:tblW w:w="139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485"/>
        <w:gridCol w:w="1197"/>
        <w:gridCol w:w="514"/>
        <w:gridCol w:w="225"/>
        <w:gridCol w:w="248"/>
        <w:gridCol w:w="247"/>
        <w:gridCol w:w="492"/>
        <w:gridCol w:w="240"/>
        <w:gridCol w:w="489"/>
        <w:gridCol w:w="247"/>
        <w:gridCol w:w="242"/>
        <w:gridCol w:w="1444"/>
        <w:gridCol w:w="20"/>
        <w:gridCol w:w="485"/>
        <w:gridCol w:w="6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88" w:type="dxa"/>
            <w:gridSpan w:val="6"/>
            <w:tcBorders>
              <w:top w:val="single" w:color="000000" w:sz="6" w:space="0"/>
              <w:left w:val="single" w:color="000000" w:sz="6" w:space="0"/>
            </w:tcBorders>
            <w:vAlign w:val="top"/>
          </w:tcPr>
          <w:p>
            <w:pPr>
              <w:pStyle w:val="8"/>
              <w:spacing w:before="52" w:line="210" w:lineRule="auto"/>
              <w:ind w:right="3"/>
              <w:jc w:val="right"/>
            </w:pPr>
            <w:r>
              <w:rPr>
                <w:rFonts w:ascii="黑体" w:hAnsi="黑体" w:eastAsia="黑体" w:cs="黑体"/>
                <w:spacing w:val="1"/>
              </w:rPr>
              <w:t xml:space="preserve">第二百二十条  </w:t>
            </w:r>
            <w:r>
              <w:rPr>
                <w:spacing w:val="1"/>
              </w:rPr>
              <w:t>证券公司</w:t>
            </w:r>
          </w:p>
        </w:tc>
        <w:tc>
          <w:tcPr>
            <w:tcW w:w="3906" w:type="dxa"/>
            <w:gridSpan w:val="9"/>
            <w:tcBorders>
              <w:top w:val="single" w:color="000000" w:sz="6" w:space="0"/>
              <w:right w:val="single" w:color="000000" w:sz="6" w:space="0"/>
            </w:tcBorders>
            <w:shd w:val="clear" w:color="auto" w:fill="D9D9D9"/>
            <w:vAlign w:val="top"/>
          </w:tcPr>
          <w:p>
            <w:pPr>
              <w:pStyle w:val="8"/>
              <w:spacing w:before="51" w:line="211" w:lineRule="auto"/>
              <w:ind w:left="18"/>
            </w:pPr>
            <w:r>
              <w:t>对其证券经纪业务、证券承销业务、</w:t>
            </w:r>
          </w:p>
        </w:tc>
        <w:tc>
          <w:tcPr>
            <w:tcW w:w="6890" w:type="dxa"/>
            <w:vMerge w:val="restart"/>
            <w:tcBorders>
              <w:top w:val="single" w:color="000000" w:sz="6" w:space="0"/>
              <w:left w:val="single" w:color="000000" w:sz="6" w:space="0"/>
              <w:bottom w:val="nil"/>
              <w:right w:val="single" w:color="000000" w:sz="6" w:space="0"/>
            </w:tcBorders>
            <w:vAlign w:val="top"/>
          </w:tcPr>
          <w:p>
            <w:pPr>
              <w:pStyle w:val="8"/>
              <w:spacing w:before="44" w:line="236" w:lineRule="auto"/>
              <w:ind w:left="15" w:right="6" w:firstLine="501"/>
            </w:pPr>
            <w:r>
              <w:rPr>
                <w:rFonts w:ascii="黑体" w:hAnsi="黑体" w:eastAsia="黑体" w:cs="黑体"/>
                <w:spacing w:val="4"/>
              </w:rPr>
              <w:t xml:space="preserve">第二百零六条  </w:t>
            </w:r>
            <w:r>
              <w:rPr>
                <w:spacing w:val="4"/>
              </w:rPr>
              <w:t>证券公司</w:t>
            </w:r>
            <w:r>
              <w:rPr>
                <w:rFonts w:ascii="黑体" w:hAnsi="黑体" w:eastAsia="黑体" w:cs="黑体"/>
                <w:spacing w:val="4"/>
              </w:rPr>
              <w:t>违反本法第一百二十八条的</w:t>
            </w:r>
            <w:r>
              <w:rPr>
                <w:rFonts w:ascii="黑体" w:hAnsi="黑体" w:eastAsia="黑体" w:cs="黑体"/>
                <w:spacing w:val="3"/>
              </w:rPr>
              <w:t>规定，</w:t>
            </w:r>
            <w:r>
              <w:rPr>
                <w:rFonts w:ascii="黑体" w:hAnsi="黑体" w:eastAsia="黑体" w:cs="黑体"/>
              </w:rPr>
              <w:t xml:space="preserve"> </w:t>
            </w:r>
            <w:r>
              <w:rPr>
                <w:rFonts w:ascii="黑体" w:hAnsi="黑体" w:eastAsia="黑体" w:cs="黑体"/>
                <w:spacing w:val="3"/>
              </w:rPr>
              <w:t>未采取有效隔离措施防范利益冲突，或者未分开办理相关业务、</w:t>
            </w:r>
            <w:r>
              <w:rPr>
                <w:rFonts w:ascii="黑体" w:hAnsi="黑体" w:eastAsia="黑体" w:cs="黑体"/>
                <w:spacing w:val="14"/>
              </w:rPr>
              <w:t xml:space="preserve"> </w:t>
            </w:r>
            <w:r>
              <w:rPr>
                <w:rFonts w:ascii="黑体" w:hAnsi="黑体" w:eastAsia="黑体" w:cs="黑体"/>
                <w:spacing w:val="5"/>
              </w:rPr>
              <w:t>混合操作的</w:t>
            </w:r>
            <w:r>
              <w:rPr>
                <w:spacing w:val="5"/>
                <w14:textOutline w14:w="3810" w14:cap="rnd" w14:cmpd="sng">
                  <w14:solidFill>
                    <w14:srgbClr w14:val="000000"/>
                  </w14:solidFill>
                  <w14:prstDash w14:val="solid"/>
                  <w14:round/>
                </w14:textOutline>
              </w:rPr>
              <w:t>，</w:t>
            </w:r>
            <w:r>
              <w:rPr>
                <w:spacing w:val="5"/>
              </w:rPr>
              <w:t>责令改正，</w:t>
            </w:r>
            <w:r>
              <w:rPr>
                <w:rFonts w:ascii="黑体" w:hAnsi="黑体" w:eastAsia="黑体" w:cs="黑体"/>
                <w:spacing w:val="5"/>
              </w:rPr>
              <w:t>给予警告</w:t>
            </w:r>
            <w:r>
              <w:rPr>
                <w:spacing w:val="5"/>
                <w14:textOutline w14:w="3810" w14:cap="rnd" w14:cmpd="sng">
                  <w14:solidFill>
                    <w14:srgbClr w14:val="000000"/>
                  </w14:solidFill>
                  <w14:prstDash w14:val="solid"/>
                  <w14:round/>
                </w14:textOutline>
              </w:rPr>
              <w:t>，</w:t>
            </w:r>
            <w:r>
              <w:rPr>
                <w:spacing w:val="5"/>
              </w:rPr>
              <w:t>没收违</w:t>
            </w:r>
            <w:r>
              <w:rPr>
                <w:spacing w:val="4"/>
              </w:rPr>
              <w:t>法所得，并处以</w:t>
            </w:r>
            <w:r>
              <w:rPr>
                <w:rFonts w:ascii="黑体" w:hAnsi="黑体" w:eastAsia="黑体" w:cs="黑体"/>
                <w:spacing w:val="4"/>
              </w:rPr>
              <w:t>违法</w:t>
            </w:r>
            <w:r>
              <w:rPr>
                <w:rFonts w:ascii="黑体" w:hAnsi="黑体" w:eastAsia="黑体" w:cs="黑体"/>
              </w:rPr>
              <w:t xml:space="preserve"> </w:t>
            </w:r>
            <w:r>
              <w:rPr>
                <w:rFonts w:ascii="黑体" w:hAnsi="黑体" w:eastAsia="黑体" w:cs="黑体"/>
                <w:spacing w:val="5"/>
              </w:rPr>
              <w:t>所得一倍以上十倍以下</w:t>
            </w:r>
            <w:r>
              <w:rPr>
                <w:spacing w:val="5"/>
              </w:rPr>
              <w:t>的罚款；</w:t>
            </w:r>
            <w:r>
              <w:rPr>
                <w:rFonts w:ascii="黑体" w:hAnsi="黑体" w:eastAsia="黑体" w:cs="黑体"/>
                <w:spacing w:val="5"/>
              </w:rPr>
              <w:t>没有违法所</w:t>
            </w:r>
            <w:r>
              <w:rPr>
                <w:rFonts w:ascii="黑体" w:hAnsi="黑体" w:eastAsia="黑体" w:cs="黑体"/>
                <w:spacing w:val="4"/>
              </w:rPr>
              <w:t>得或者违法所得不足</w:t>
            </w:r>
            <w:r>
              <w:rPr>
                <w:rFonts w:ascii="黑体" w:hAnsi="黑体" w:eastAsia="黑体" w:cs="黑体"/>
              </w:rPr>
              <w:t xml:space="preserve"> </w:t>
            </w:r>
            <w:r>
              <w:rPr>
                <w:rFonts w:ascii="黑体" w:hAnsi="黑体" w:eastAsia="黑体" w:cs="黑体"/>
                <w:spacing w:val="5"/>
              </w:rPr>
              <w:t>五十万元的，处以五十万元以上五百万元以</w:t>
            </w:r>
            <w:r>
              <w:rPr>
                <w:rFonts w:ascii="黑体" w:hAnsi="黑体" w:eastAsia="黑体" w:cs="黑体"/>
                <w:spacing w:val="4"/>
              </w:rPr>
              <w:t>下的罚款；情节严重</w:t>
            </w:r>
            <w:r>
              <w:rPr>
                <w:rFonts w:ascii="黑体" w:hAnsi="黑体" w:eastAsia="黑体" w:cs="黑体"/>
              </w:rPr>
              <w:t xml:space="preserve"> </w:t>
            </w:r>
            <w:r>
              <w:rPr>
                <w:rFonts w:ascii="黑体" w:hAnsi="黑体" w:eastAsia="黑体" w:cs="黑体"/>
                <w:spacing w:val="5"/>
              </w:rPr>
              <w:t>的，并处撤销相关业务许可。</w:t>
            </w:r>
            <w:r>
              <w:rPr>
                <w:spacing w:val="5"/>
              </w:rPr>
              <w:t>对直接负责的</w:t>
            </w:r>
            <w:r>
              <w:rPr>
                <w:spacing w:val="4"/>
              </w:rPr>
              <w:t>主管人员和其他直接</w:t>
            </w:r>
            <w:r>
              <w:t xml:space="preserve"> </w:t>
            </w:r>
            <w:r>
              <w:rPr>
                <w:spacing w:val="-2"/>
              </w:rPr>
              <w:t>责任人员给予警告，并处以</w:t>
            </w:r>
            <w:r>
              <w:rPr>
                <w:rFonts w:ascii="黑体" w:hAnsi="黑体" w:eastAsia="黑体" w:cs="黑体"/>
                <w:spacing w:val="-2"/>
              </w:rPr>
              <w:t>二十万元以上二百万元以下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94" w:type="dxa"/>
            <w:gridSpan w:val="15"/>
            <w:tcBorders>
              <w:left w:val="single" w:color="000000" w:sz="6" w:space="0"/>
              <w:right w:val="single" w:color="000000" w:sz="6" w:space="0"/>
            </w:tcBorders>
            <w:shd w:val="clear" w:color="auto" w:fill="D9D9D9"/>
            <w:vAlign w:val="top"/>
          </w:tcPr>
          <w:p>
            <w:pPr>
              <w:pStyle w:val="8"/>
              <w:spacing w:before="43" w:line="211" w:lineRule="auto"/>
              <w:ind w:left="30"/>
            </w:pPr>
            <w:r>
              <w:rPr>
                <w:spacing w:val="11"/>
              </w:rPr>
              <w:t>证券自营业务、证券资产管理业务，不依法分开办理，混合操作</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167" w:type="dxa"/>
            <w:gridSpan w:val="9"/>
            <w:tcBorders>
              <w:left w:val="single" w:color="000000" w:sz="6" w:space="0"/>
              <w:bottom w:val="nil"/>
            </w:tcBorders>
            <w:vAlign w:val="top"/>
          </w:tcPr>
          <w:p>
            <w:pPr>
              <w:pStyle w:val="8"/>
              <w:spacing w:before="41" w:line="208" w:lineRule="auto"/>
              <w:ind w:left="34"/>
            </w:pPr>
            <w:r>
              <w:rPr>
                <w:spacing w:val="-11"/>
              </w:rPr>
              <w:t>的，</w:t>
            </w:r>
            <w:r>
              <w:rPr>
                <w:spacing w:val="-21"/>
              </w:rPr>
              <w:t xml:space="preserve"> </w:t>
            </w:r>
            <w:r>
              <w:rPr>
                <w:spacing w:val="-11"/>
              </w:rPr>
              <w:t>责令改正， 没收违法所得，并处以</w:t>
            </w:r>
          </w:p>
        </w:tc>
        <w:tc>
          <w:tcPr>
            <w:tcW w:w="2927" w:type="dxa"/>
            <w:gridSpan w:val="6"/>
            <w:tcBorders>
              <w:right w:val="single" w:color="000000" w:sz="6" w:space="0"/>
            </w:tcBorders>
            <w:shd w:val="clear" w:color="auto" w:fill="D9D9D9"/>
            <w:vAlign w:val="top"/>
          </w:tcPr>
          <w:p>
            <w:pPr>
              <w:pStyle w:val="8"/>
              <w:spacing w:before="41" w:line="208" w:lineRule="auto"/>
              <w:ind w:left="19"/>
            </w:pPr>
            <w:r>
              <w:t>三十万元以上六十万元以下</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7094" w:type="dxa"/>
            <w:gridSpan w:val="15"/>
            <w:tcBorders>
              <w:top w:val="nil"/>
              <w:left w:val="single" w:color="000000" w:sz="6" w:space="0"/>
              <w:bottom w:val="single" w:color="000000" w:sz="6" w:space="0"/>
              <w:right w:val="single" w:color="000000" w:sz="6" w:space="0"/>
            </w:tcBorders>
            <w:vAlign w:val="top"/>
          </w:tcPr>
          <w:p>
            <w:pPr>
              <w:pStyle w:val="8"/>
              <w:spacing w:before="34" w:line="213" w:lineRule="auto"/>
              <w:jc w:val="right"/>
            </w:pPr>
            <w:r>
              <w:pict>
                <v:shape id="_x0000_s1164" o:spid="_x0000_s1164" style="position:absolute;left:0pt;margin-left:208.15pt;margin-top:15.8pt;height:0.5pt;width:121.85pt;mso-position-horizontal-relative:page;mso-position-vertical-relative:page;z-index:-251525120;mso-width-relative:page;mso-height-relative:page;" fillcolor="#000000" filled="t" stroked="f" coordsize="2436,10" path="m0,0l2436,0,2436,9,0,9,0,0xe">
                  <v:path/>
                  <v:fill on="t" focussize="0,0"/>
                  <v:stroke on="f"/>
                  <v:imagedata o:title=""/>
                  <o:lock v:ext="edit"/>
                </v:shape>
              </w:pict>
            </w:r>
            <w:r>
              <w:pict>
                <v:shape id="_x0000_s1165" o:spid="_x0000_s1165" style="position:absolute;left:0pt;margin-left:208.15pt;margin-top:31.9pt;height:0.5pt;width:121.85pt;mso-position-horizontal-relative:page;mso-position-vertical-relative:page;z-index:-251526144;mso-width-relative:page;mso-height-relative:page;" fillcolor="#000000" filled="t" stroked="f" coordsize="2436,10" path="m0,0l2436,0,2436,9,0,9,0,0xe">
                  <v:path/>
                  <v:fill on="t" focussize="0,0"/>
                  <v:stroke on="f"/>
                  <v:imagedata o:title=""/>
                  <o:lock v:ext="edit"/>
                </v:shape>
              </w:pict>
            </w:r>
            <w:r>
              <w:rPr>
                <w:spacing w:val="3"/>
              </w:rPr>
              <w:t>的罚款；情节严重的，撤销相关业务许可。对直接负责的</w:t>
            </w:r>
            <w:r>
              <w:rPr>
                <w:spacing w:val="2"/>
              </w:rPr>
              <w:t>主管人员</w:t>
            </w:r>
          </w:p>
          <w:p>
            <w:pPr>
              <w:pStyle w:val="8"/>
              <w:spacing w:line="244" w:lineRule="auto"/>
              <w:ind w:left="15" w:firstLine="3"/>
            </w:pPr>
            <w:r>
              <w:rPr>
                <w:spacing w:val="2"/>
              </w:rPr>
              <w:t>和其他直接责任人员给予警告，并处以</w:t>
            </w:r>
            <w:r>
              <w:rPr>
                <w:spacing w:val="-106"/>
              </w:rPr>
              <w:t xml:space="preserve"> </w:t>
            </w:r>
            <w:r>
              <w:rPr>
                <w:position w:val="24"/>
              </w:rPr>
              <w:drawing>
                <wp:inline distT="0" distB="0" distL="0" distR="0">
                  <wp:extent cx="2540" cy="571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75"/>
                          <a:stretch>
                            <a:fillRect/>
                          </a:stretch>
                        </pic:blipFill>
                        <pic:spPr>
                          <a:xfrm>
                            <a:off x="0" y="0"/>
                            <a:ext cx="3047" cy="6096"/>
                          </a:xfrm>
                          <a:prstGeom prst="rect">
                            <a:avLst/>
                          </a:prstGeom>
                        </pic:spPr>
                      </pic:pic>
                    </a:graphicData>
                  </a:graphic>
                </wp:inline>
              </w:drawing>
            </w:r>
            <w:r>
              <w:rPr>
                <w:position w:val="-6"/>
              </w:rPr>
              <w:drawing>
                <wp:inline distT="0" distB="0" distL="0" distR="0">
                  <wp:extent cx="2540" cy="198120"/>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96"/>
                          <a:stretch>
                            <a:fillRect/>
                          </a:stretch>
                        </pic:blipFill>
                        <pic:spPr>
                          <a:xfrm>
                            <a:off x="0" y="0"/>
                            <a:ext cx="3047" cy="198120"/>
                          </a:xfrm>
                          <a:prstGeom prst="rect">
                            <a:avLst/>
                          </a:prstGeom>
                        </pic:spPr>
                      </pic:pic>
                    </a:graphicData>
                  </a:graphic>
                </wp:inline>
              </w:drawing>
            </w:r>
            <w:r>
              <w:rPr>
                <w:spacing w:val="2"/>
                <w:shd w:val="clear" w:fill="D9D9D9"/>
              </w:rPr>
              <w:t>三万元以上十万元以下</w:t>
            </w:r>
            <w:r>
              <w:rPr>
                <w:spacing w:val="-113"/>
                <w:shd w:val="clear" w:fill="D9D9D9"/>
              </w:rPr>
              <w:t xml:space="preserve"> </w:t>
            </w:r>
            <w:r>
              <w:rPr>
                <w:position w:val="24"/>
              </w:rPr>
              <w:drawing>
                <wp:inline distT="0" distB="0" distL="0" distR="0">
                  <wp:extent cx="2540" cy="571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74"/>
                          <a:stretch>
                            <a:fillRect/>
                          </a:stretch>
                        </pic:blipFill>
                        <pic:spPr>
                          <a:xfrm>
                            <a:off x="0" y="0"/>
                            <a:ext cx="3047" cy="6096"/>
                          </a:xfrm>
                          <a:prstGeom prst="rect">
                            <a:avLst/>
                          </a:prstGeom>
                        </pic:spPr>
                      </pic:pic>
                    </a:graphicData>
                  </a:graphic>
                </wp:inline>
              </w:drawing>
            </w:r>
            <w:r>
              <w:rPr>
                <w:position w:val="-6"/>
              </w:rPr>
              <w:drawing>
                <wp:inline distT="0" distB="0" distL="0" distR="0">
                  <wp:extent cx="2540" cy="198120"/>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76"/>
                          <a:stretch>
                            <a:fillRect/>
                          </a:stretch>
                        </pic:blipFill>
                        <pic:spPr>
                          <a:xfrm>
                            <a:off x="0" y="0"/>
                            <a:ext cx="3047" cy="198120"/>
                          </a:xfrm>
                          <a:prstGeom prst="rect">
                            <a:avLst/>
                          </a:prstGeom>
                        </pic:spPr>
                      </pic:pic>
                    </a:graphicData>
                  </a:graphic>
                </wp:inline>
              </w:drawing>
            </w:r>
            <w:r>
              <w:rPr>
                <w:spacing w:val="2"/>
              </w:rPr>
              <w:t>的罚</w:t>
            </w:r>
            <w:r>
              <w:t xml:space="preserve"> </w:t>
            </w:r>
            <w:r>
              <w:rPr>
                <w:spacing w:val="-2"/>
                <w:w w:val="9"/>
                <w:shd w:val="clear" w:fill="D9D9D9"/>
              </w:rPr>
              <w:t>款</w:t>
            </w:r>
            <w:r>
              <w:rPr>
                <w:spacing w:val="-120"/>
                <w:shd w:val="clear" w:fill="D9D9D9"/>
              </w:rPr>
              <w:t xml:space="preserve"> </w:t>
            </w:r>
            <w:r>
              <w:rPr>
                <w:position w:val="-6"/>
                <w:shd w:val="clear" w:fill="D9D9D9"/>
              </w:rPr>
              <w:drawing>
                <wp:inline distT="0" distB="0" distL="0" distR="0">
                  <wp:extent cx="2540" cy="198120"/>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76"/>
                          <a:stretch>
                            <a:fillRect/>
                          </a:stretch>
                        </pic:blipFill>
                        <pic:spPr>
                          <a:xfrm>
                            <a:off x="0" y="0"/>
                            <a:ext cx="3033" cy="198120"/>
                          </a:xfrm>
                          <a:prstGeom prst="rect">
                            <a:avLst/>
                          </a:prstGeom>
                        </pic:spPr>
                      </pic:pic>
                    </a:graphicData>
                  </a:graphic>
                </wp:inline>
              </w:drawing>
            </w:r>
            <w:r>
              <w:rPr>
                <w:position w:val="-7"/>
                <w:shd w:val="clear" w:fill="D9D9D9"/>
              </w:rPr>
              <w:drawing>
                <wp:inline distT="0" distB="0" distL="0" distR="0">
                  <wp:extent cx="2540" cy="571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81"/>
                          <a:stretch>
                            <a:fillRect/>
                          </a:stretch>
                        </pic:blipFill>
                        <pic:spPr>
                          <a:xfrm>
                            <a:off x="0" y="0"/>
                            <a:ext cx="3033" cy="6096"/>
                          </a:xfrm>
                          <a:prstGeom prst="rect">
                            <a:avLst/>
                          </a:prstGeom>
                        </pic:spPr>
                      </pic:pic>
                    </a:graphicData>
                  </a:graphic>
                </wp:inline>
              </w:drawing>
            </w:r>
            <w:r>
              <w:rPr>
                <w:position w:val="-7"/>
                <w:shd w:val="clear" w:fill="D9D9D9"/>
              </w:rPr>
              <w:drawing>
                <wp:inline distT="0" distB="0" distL="0" distR="0">
                  <wp:extent cx="2540" cy="571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81"/>
                          <a:stretch>
                            <a:fillRect/>
                          </a:stretch>
                        </pic:blipFill>
                        <pic:spPr>
                          <a:xfrm>
                            <a:off x="0" y="0"/>
                            <a:ext cx="3033" cy="6096"/>
                          </a:xfrm>
                          <a:prstGeom prst="rect">
                            <a:avLst/>
                          </a:prstGeom>
                        </pic:spPr>
                      </pic:pic>
                    </a:graphicData>
                  </a:graphic>
                </wp:inline>
              </w:drawing>
            </w:r>
            <w:r>
              <w:rPr>
                <w:position w:val="24"/>
                <w:shd w:val="clear" w:fill="D9D9D9"/>
              </w:rPr>
              <w:drawing>
                <wp:inline distT="0" distB="0" distL="0" distR="0">
                  <wp:extent cx="2540" cy="571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74"/>
                          <a:stretch>
                            <a:fillRect/>
                          </a:stretch>
                        </pic:blipFill>
                        <pic:spPr>
                          <a:xfrm>
                            <a:off x="0" y="0"/>
                            <a:ext cx="3033" cy="6096"/>
                          </a:xfrm>
                          <a:prstGeom prst="rect">
                            <a:avLst/>
                          </a:prstGeom>
                        </pic:spPr>
                      </pic:pic>
                    </a:graphicData>
                  </a:graphic>
                </wp:inline>
              </w:drawing>
            </w:r>
            <w:r>
              <w:rPr>
                <w:position w:val="24"/>
                <w:shd w:val="clear" w:fill="D9D9D9"/>
              </w:rPr>
              <w:drawing>
                <wp:inline distT="0" distB="0" distL="0" distR="0">
                  <wp:extent cx="2540" cy="571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74"/>
                          <a:stretch>
                            <a:fillRect/>
                          </a:stretch>
                        </pic:blipFill>
                        <pic:spPr>
                          <a:xfrm>
                            <a:off x="0" y="0"/>
                            <a:ext cx="3033" cy="6096"/>
                          </a:xfrm>
                          <a:prstGeom prst="rect">
                            <a:avLst/>
                          </a:prstGeom>
                        </pic:spPr>
                      </pic:pic>
                    </a:graphicData>
                  </a:graphic>
                </wp:inline>
              </w:drawing>
            </w:r>
            <w:r>
              <w:rPr>
                <w:position w:val="24"/>
                <w:shd w:val="clear" w:fill="D9D9D9"/>
              </w:rPr>
              <w:drawing>
                <wp:inline distT="0" distB="0" distL="0" distR="0">
                  <wp:extent cx="1591945" cy="571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134"/>
                          <a:stretch>
                            <a:fillRect/>
                          </a:stretch>
                        </pic:blipFill>
                        <pic:spPr>
                          <a:xfrm>
                            <a:off x="0" y="0"/>
                            <a:ext cx="1592508" cy="6096"/>
                          </a:xfrm>
                          <a:prstGeom prst="rect">
                            <a:avLst/>
                          </a:prstGeom>
                        </pic:spPr>
                      </pic:pic>
                    </a:graphicData>
                  </a:graphic>
                </wp:inline>
              </w:drawing>
            </w:r>
            <w:r>
              <w:rPr>
                <w:position w:val="-7"/>
                <w:shd w:val="clear" w:fill="D9D9D9"/>
              </w:rPr>
              <w:drawing>
                <wp:inline distT="0" distB="0" distL="0" distR="0">
                  <wp:extent cx="1591945" cy="571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135"/>
                          <a:stretch>
                            <a:fillRect/>
                          </a:stretch>
                        </pic:blipFill>
                        <pic:spPr>
                          <a:xfrm>
                            <a:off x="0" y="0"/>
                            <a:ext cx="1592508" cy="6096"/>
                          </a:xfrm>
                          <a:prstGeom prst="rect">
                            <a:avLst/>
                          </a:prstGeom>
                        </pic:spPr>
                      </pic:pic>
                    </a:graphicData>
                  </a:graphic>
                </wp:inline>
              </w:drawing>
            </w:r>
            <w:r>
              <w:rPr>
                <w:spacing w:val="-2"/>
                <w:w w:val="9"/>
                <w:shd w:val="clear" w:fill="D9D9D9"/>
              </w:rPr>
              <w:t>；情节严重的，撤销任职资格或者证券从业资格</w:t>
            </w:r>
            <w:r>
              <w:rPr>
                <w:position w:val="-6"/>
                <w:shd w:val="clear" w:fill="D9D9D9"/>
              </w:rPr>
              <w:drawing>
                <wp:inline distT="0" distB="0" distL="0" distR="0">
                  <wp:extent cx="2540" cy="198120"/>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88"/>
                          <a:stretch>
                            <a:fillRect/>
                          </a:stretch>
                        </pic:blipFill>
                        <pic:spPr>
                          <a:xfrm>
                            <a:off x="0" y="0"/>
                            <a:ext cx="3033" cy="198120"/>
                          </a:xfrm>
                          <a:prstGeom prst="rect">
                            <a:avLst/>
                          </a:prstGeom>
                        </pic:spPr>
                      </pic:pic>
                    </a:graphicData>
                  </a:graphic>
                </wp:inline>
              </w:drawing>
            </w:r>
            <w:r>
              <w:rPr>
                <w:position w:val="-7"/>
                <w:shd w:val="clear" w:fill="D9D9D9"/>
              </w:rPr>
              <w:drawing>
                <wp:inline distT="0" distB="0" distL="0" distR="0">
                  <wp:extent cx="2540" cy="571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78"/>
                          <a:stretch>
                            <a:fillRect/>
                          </a:stretch>
                        </pic:blipFill>
                        <pic:spPr>
                          <a:xfrm>
                            <a:off x="0" y="0"/>
                            <a:ext cx="3033" cy="6096"/>
                          </a:xfrm>
                          <a:prstGeom prst="rect">
                            <a:avLst/>
                          </a:prstGeom>
                        </pic:spPr>
                      </pic:pic>
                    </a:graphicData>
                  </a:graphic>
                </wp:inline>
              </w:drawing>
            </w:r>
            <w:r>
              <w:rPr>
                <w:position w:val="-7"/>
                <w:shd w:val="clear" w:fill="D9D9D9"/>
              </w:rPr>
              <w:drawing>
                <wp:inline distT="0" distB="0" distL="0" distR="0">
                  <wp:extent cx="2540" cy="571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78"/>
                          <a:stretch>
                            <a:fillRect/>
                          </a:stretch>
                        </pic:blipFill>
                        <pic:spPr>
                          <a:xfrm>
                            <a:off x="0" y="0"/>
                            <a:ext cx="3033" cy="6096"/>
                          </a:xfrm>
                          <a:prstGeom prst="rect">
                            <a:avLst/>
                          </a:prstGeom>
                        </pic:spPr>
                      </pic:pic>
                    </a:graphicData>
                  </a:graphic>
                </wp:inline>
              </w:drawing>
            </w:r>
            <w:r>
              <w:rPr>
                <w:position w:val="24"/>
                <w:shd w:val="clear" w:fill="D9D9D9"/>
              </w:rPr>
              <w:drawing>
                <wp:inline distT="0" distB="0" distL="0" distR="0">
                  <wp:extent cx="2540" cy="571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72"/>
                          <a:stretch>
                            <a:fillRect/>
                          </a:stretch>
                        </pic:blipFill>
                        <pic:spPr>
                          <a:xfrm>
                            <a:off x="0" y="0"/>
                            <a:ext cx="3033" cy="6096"/>
                          </a:xfrm>
                          <a:prstGeom prst="rect">
                            <a:avLst/>
                          </a:prstGeom>
                        </pic:spPr>
                      </pic:pic>
                    </a:graphicData>
                  </a:graphic>
                </wp:inline>
              </w:drawing>
            </w:r>
            <w:r>
              <w:rPr>
                <w:position w:val="24"/>
                <w:shd w:val="clear" w:fill="D9D9D9"/>
              </w:rPr>
              <w:drawing>
                <wp:inline distT="0" distB="0" distL="0" distR="0">
                  <wp:extent cx="2540" cy="571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72"/>
                          <a:stretch>
                            <a:fillRect/>
                          </a:stretch>
                        </pic:blipFill>
                        <pic:spPr>
                          <a:xfrm>
                            <a:off x="0" y="0"/>
                            <a:ext cx="3033" cy="6096"/>
                          </a:xfrm>
                          <a:prstGeom prst="rect">
                            <a:avLst/>
                          </a:prstGeom>
                        </pic:spPr>
                      </pic:pic>
                    </a:graphicData>
                  </a:graphic>
                </wp:inline>
              </w:drawing>
            </w:r>
            <w:r>
              <w:rPr>
                <w:spacing w:val="-2"/>
                <w:w w:val="9"/>
              </w:rPr>
              <w:t>。</w:t>
            </w:r>
            <w:r>
              <w:rPr>
                <w:spacing w:val="12"/>
              </w:rPr>
              <w:t xml:space="preserve">        </w:t>
            </w:r>
            <w:r>
              <w:rPr>
                <w:position w:val="25"/>
              </w:rPr>
              <w:drawing>
                <wp:inline distT="0" distB="0" distL="0" distR="0">
                  <wp:extent cx="2540" cy="5715"/>
                  <wp:effectExtent l="0" t="0" r="0" b="0"/>
                  <wp:docPr id="1206" name="IM 1206"/>
                  <wp:cNvGraphicFramePr/>
                  <a:graphic xmlns:a="http://schemas.openxmlformats.org/drawingml/2006/main">
                    <a:graphicData uri="http://schemas.openxmlformats.org/drawingml/2006/picture">
                      <pic:pic xmlns:pic="http://schemas.openxmlformats.org/drawingml/2006/picture">
                        <pic:nvPicPr>
                          <pic:cNvPr id="1206" name="IM 1206"/>
                          <pic:cNvPicPr/>
                        </pic:nvPicPr>
                        <pic:blipFill>
                          <a:blip r:embed="rId81"/>
                          <a:stretch>
                            <a:fillRect/>
                          </a:stretch>
                        </pic:blipFill>
                        <pic:spPr>
                          <a:xfrm>
                            <a:off x="0" y="0"/>
                            <a:ext cx="3033" cy="6096"/>
                          </a:xfrm>
                          <a:prstGeom prst="rect">
                            <a:avLst/>
                          </a:prstGeom>
                        </pic:spPr>
                      </pic:pic>
                    </a:graphicData>
                  </a:graphic>
                </wp:inline>
              </w:drawing>
            </w:r>
          </w:p>
        </w:tc>
        <w:tc>
          <w:tcPr>
            <w:tcW w:w="6890"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167" w:type="dxa"/>
            <w:gridSpan w:val="9"/>
            <w:tcBorders>
              <w:top w:val="single" w:color="000000" w:sz="6" w:space="0"/>
              <w:left w:val="single" w:color="000000" w:sz="6" w:space="0"/>
              <w:bottom w:val="nil"/>
            </w:tcBorders>
            <w:vAlign w:val="top"/>
          </w:tcPr>
          <w:p>
            <w:pPr>
              <w:pStyle w:val="8"/>
              <w:spacing w:before="23" w:line="212" w:lineRule="auto"/>
              <w:ind w:right="12"/>
              <w:jc w:val="right"/>
            </w:pPr>
            <w:r>
              <w:rPr>
                <w:rFonts w:ascii="黑体" w:hAnsi="黑体" w:eastAsia="黑体" w:cs="黑体"/>
                <w:spacing w:val="1"/>
              </w:rPr>
              <w:t xml:space="preserve">第二百零九条  </w:t>
            </w:r>
            <w:r>
              <w:rPr>
                <w:spacing w:val="1"/>
              </w:rPr>
              <w:t>证券公司违反本法</w:t>
            </w:r>
          </w:p>
        </w:tc>
        <w:tc>
          <w:tcPr>
            <w:tcW w:w="2927" w:type="dxa"/>
            <w:gridSpan w:val="6"/>
            <w:tcBorders>
              <w:top w:val="single" w:color="000000" w:sz="6" w:space="0"/>
              <w:right w:val="single" w:color="000000" w:sz="6" w:space="0"/>
            </w:tcBorders>
            <w:shd w:val="clear" w:color="auto" w:fill="D9D9D9"/>
            <w:vAlign w:val="top"/>
          </w:tcPr>
          <w:p>
            <w:pPr>
              <w:pStyle w:val="8"/>
              <w:spacing w:before="24" w:line="211" w:lineRule="auto"/>
              <w:ind w:left="14"/>
            </w:pPr>
            <w:r>
              <w:rPr>
                <w:spacing w:val="1"/>
              </w:rPr>
              <w:t>规定，假借他人名义或者以</w:t>
            </w:r>
          </w:p>
        </w:tc>
        <w:tc>
          <w:tcPr>
            <w:tcW w:w="6890" w:type="dxa"/>
            <w:vMerge w:val="restart"/>
            <w:tcBorders>
              <w:top w:val="single" w:color="000000" w:sz="6" w:space="0"/>
              <w:left w:val="single" w:color="000000" w:sz="6" w:space="0"/>
              <w:bottom w:val="nil"/>
              <w:right w:val="single" w:color="000000" w:sz="6" w:space="0"/>
            </w:tcBorders>
            <w:vAlign w:val="top"/>
          </w:tcPr>
          <w:p>
            <w:pPr>
              <w:pStyle w:val="8"/>
              <w:spacing w:before="12" w:line="236" w:lineRule="auto"/>
              <w:ind w:left="21" w:right="6" w:firstLine="495"/>
              <w:jc w:val="both"/>
            </w:pPr>
            <w:r>
              <w:rPr>
                <w:rFonts w:ascii="黑体" w:hAnsi="黑体" w:eastAsia="黑体" w:cs="黑体"/>
                <w:spacing w:val="4"/>
              </w:rPr>
              <w:t xml:space="preserve">第二百零七条  </w:t>
            </w:r>
            <w:r>
              <w:rPr>
                <w:spacing w:val="4"/>
              </w:rPr>
              <w:t>证券公司违反本法第</w:t>
            </w:r>
            <w:r>
              <w:rPr>
                <w:rFonts w:ascii="黑体" w:hAnsi="黑体" w:eastAsia="黑体" w:cs="黑体"/>
                <w:spacing w:val="4"/>
              </w:rPr>
              <w:t>一百二十九</w:t>
            </w:r>
            <w:r>
              <w:rPr>
                <w:spacing w:val="4"/>
              </w:rPr>
              <w:t>条的规定从</w:t>
            </w:r>
            <w:r>
              <w:rPr>
                <w:spacing w:val="2"/>
              </w:rPr>
              <w:t xml:space="preserve"> </w:t>
            </w:r>
            <w:r>
              <w:rPr>
                <w:spacing w:val="4"/>
              </w:rPr>
              <w:t>事证券自营业务的，责令改正，</w:t>
            </w:r>
            <w:r>
              <w:rPr>
                <w:rFonts w:ascii="黑体" w:hAnsi="黑体" w:eastAsia="黑体" w:cs="黑体"/>
                <w:spacing w:val="4"/>
              </w:rPr>
              <w:t>给予警告，</w:t>
            </w:r>
            <w:r>
              <w:rPr>
                <w:spacing w:val="4"/>
              </w:rPr>
              <w:t>没收违法所得，并处</w:t>
            </w:r>
            <w:r>
              <w:rPr>
                <w:spacing w:val="13"/>
              </w:rPr>
              <w:t xml:space="preserve"> </w:t>
            </w:r>
            <w:r>
              <w:rPr>
                <w:spacing w:val="4"/>
              </w:rPr>
              <w:t>以违法所得一倍以上</w:t>
            </w:r>
            <w:r>
              <w:rPr>
                <w:rFonts w:ascii="黑体" w:hAnsi="黑体" w:eastAsia="黑体" w:cs="黑体"/>
                <w:spacing w:val="4"/>
              </w:rPr>
              <w:t>十</w:t>
            </w:r>
            <w:r>
              <w:rPr>
                <w:spacing w:val="4"/>
              </w:rPr>
              <w:t>倍以下的罚款；没有违法所得或者违法所</w:t>
            </w:r>
            <w:r>
              <w:rPr>
                <w:spacing w:val="12"/>
              </w:rPr>
              <w:t xml:space="preserve"> </w:t>
            </w:r>
            <w:r>
              <w:rPr>
                <w:spacing w:val="4"/>
              </w:rPr>
              <w:t>得不足</w:t>
            </w:r>
            <w:r>
              <w:rPr>
                <w:rFonts w:ascii="黑体" w:hAnsi="黑体" w:eastAsia="黑体" w:cs="黑体"/>
                <w:spacing w:val="4"/>
              </w:rPr>
              <w:t>五</w:t>
            </w:r>
            <w:r>
              <w:rPr>
                <w:spacing w:val="4"/>
              </w:rPr>
              <w:t>十万元的，处以</w:t>
            </w:r>
            <w:r>
              <w:rPr>
                <w:rFonts w:ascii="黑体" w:hAnsi="黑体" w:eastAsia="黑体" w:cs="黑体"/>
                <w:spacing w:val="4"/>
              </w:rPr>
              <w:t>五</w:t>
            </w:r>
            <w:r>
              <w:rPr>
                <w:spacing w:val="4"/>
              </w:rPr>
              <w:t>十万元以上</w:t>
            </w:r>
            <w:r>
              <w:rPr>
                <w:rFonts w:ascii="黑体" w:hAnsi="黑体" w:eastAsia="黑体" w:cs="黑体"/>
                <w:spacing w:val="4"/>
              </w:rPr>
              <w:t>五</w:t>
            </w:r>
            <w:r>
              <w:rPr>
                <w:spacing w:val="4"/>
              </w:rPr>
              <w:t>百万元以下的罚款；</w:t>
            </w:r>
            <w:r>
              <w:rPr>
                <w:rFonts w:ascii="黑体" w:hAnsi="黑体" w:eastAsia="黑体" w:cs="黑体"/>
                <w:spacing w:val="4"/>
              </w:rPr>
              <w:t>情</w:t>
            </w:r>
            <w:r>
              <w:rPr>
                <w:rFonts w:ascii="黑体" w:hAnsi="黑体" w:eastAsia="黑体" w:cs="黑体"/>
                <w:spacing w:val="13"/>
              </w:rPr>
              <w:t xml:space="preserve"> </w:t>
            </w:r>
            <w:r>
              <w:rPr>
                <w:rFonts w:ascii="黑体" w:hAnsi="黑体" w:eastAsia="黑体" w:cs="黑体"/>
                <w:spacing w:val="4"/>
              </w:rPr>
              <w:t>节严重的，并处撤销相关业务许可或者责令关闭</w:t>
            </w:r>
            <w:r>
              <w:rPr>
                <w:spacing w:val="4"/>
              </w:rPr>
              <w:t>。对直接负责的</w:t>
            </w:r>
            <w:r>
              <w:rPr>
                <w:spacing w:val="13"/>
              </w:rPr>
              <w:t xml:space="preserve"> </w:t>
            </w:r>
            <w:r>
              <w:rPr>
                <w:spacing w:val="4"/>
              </w:rPr>
              <w:t>主管人员和其他直接责任人员给予警告，并处以</w:t>
            </w:r>
            <w:r>
              <w:rPr>
                <w:rFonts w:ascii="黑体" w:hAnsi="黑体" w:eastAsia="黑体" w:cs="黑体"/>
                <w:spacing w:val="4"/>
              </w:rPr>
              <w:t>二</w:t>
            </w:r>
            <w:r>
              <w:rPr>
                <w:spacing w:val="4"/>
              </w:rPr>
              <w:t>十万元以上</w:t>
            </w:r>
            <w:r>
              <w:rPr>
                <w:rFonts w:ascii="黑体" w:hAnsi="黑体" w:eastAsia="黑体" w:cs="黑体"/>
                <w:spacing w:val="4"/>
              </w:rPr>
              <w:t>二</w:t>
            </w:r>
            <w:r>
              <w:rPr>
                <w:rFonts w:ascii="黑体" w:hAnsi="黑体" w:eastAsia="黑体" w:cs="黑体"/>
                <w:spacing w:val="13"/>
              </w:rPr>
              <w:t xml:space="preserve"> </w:t>
            </w:r>
            <w:r>
              <w:rPr>
                <w:spacing w:val="-7"/>
              </w:rPr>
              <w:t>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004" w:type="dxa"/>
            <w:gridSpan w:val="2"/>
            <w:tcBorders>
              <w:left w:val="single" w:color="000000" w:sz="6" w:space="0"/>
            </w:tcBorders>
            <w:shd w:val="clear" w:color="auto" w:fill="D9D9D9"/>
            <w:vAlign w:val="top"/>
          </w:tcPr>
          <w:p>
            <w:pPr>
              <w:pStyle w:val="8"/>
              <w:spacing w:before="41" w:line="212" w:lineRule="auto"/>
              <w:ind w:left="25"/>
            </w:pPr>
            <w:r>
              <w:rPr>
                <w:spacing w:val="-1"/>
              </w:rPr>
              <w:t>个人名义</w:t>
            </w:r>
          </w:p>
        </w:tc>
        <w:tc>
          <w:tcPr>
            <w:tcW w:w="6090" w:type="dxa"/>
            <w:gridSpan w:val="13"/>
            <w:tcBorders>
              <w:top w:val="nil"/>
              <w:bottom w:val="nil"/>
              <w:right w:val="single" w:color="000000" w:sz="6" w:space="0"/>
            </w:tcBorders>
            <w:vAlign w:val="top"/>
          </w:tcPr>
          <w:p>
            <w:pPr>
              <w:pStyle w:val="8"/>
              <w:spacing w:before="41" w:line="212" w:lineRule="auto"/>
              <w:jc w:val="right"/>
            </w:pPr>
            <w:r>
              <w:rPr>
                <w:spacing w:val="-2"/>
              </w:rPr>
              <w:t>从事证券自营业务的，责令改正， 没收违法所得，并处以</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201" w:type="dxa"/>
            <w:gridSpan w:val="3"/>
            <w:tcBorders>
              <w:left w:val="single" w:color="000000" w:sz="6" w:space="0"/>
            </w:tcBorders>
            <w:vAlign w:val="top"/>
          </w:tcPr>
          <w:p>
            <w:pPr>
              <w:pStyle w:val="8"/>
              <w:spacing w:before="3"/>
              <w:ind w:left="10" w:firstLine="5"/>
            </w:pPr>
            <w:r>
              <w:t>违法所得一倍以上</w:t>
            </w:r>
            <w:r>
              <w:rPr>
                <w:position w:val="-7"/>
              </w:rPr>
              <w:drawing>
                <wp:inline distT="0" distB="0" distL="0" distR="0">
                  <wp:extent cx="7620" cy="202565"/>
                  <wp:effectExtent l="0" t="0" r="0" b="0"/>
                  <wp:docPr id="1208" name="IM 1208"/>
                  <wp:cNvGraphicFramePr/>
                  <a:graphic xmlns:a="http://schemas.openxmlformats.org/drawingml/2006/main">
                    <a:graphicData uri="http://schemas.openxmlformats.org/drawingml/2006/picture">
                      <pic:pic xmlns:pic="http://schemas.openxmlformats.org/drawingml/2006/picture">
                        <pic:nvPicPr>
                          <pic:cNvPr id="1208" name="IM 1208"/>
                          <pic:cNvPicPr/>
                        </pic:nvPicPr>
                        <pic:blipFill>
                          <a:blip r:embed="rId80"/>
                          <a:stretch>
                            <a:fillRect/>
                          </a:stretch>
                        </pic:blipFill>
                        <pic:spPr>
                          <a:xfrm>
                            <a:off x="0" y="0"/>
                            <a:ext cx="7991" cy="202692"/>
                          </a:xfrm>
                          <a:prstGeom prst="rect">
                            <a:avLst/>
                          </a:prstGeom>
                        </pic:spPr>
                      </pic:pic>
                    </a:graphicData>
                  </a:graphic>
                </wp:inline>
              </w:drawing>
            </w:r>
            <w:r>
              <w:rPr>
                <w:u w:val="single" w:color="auto"/>
                <w:shd w:val="clear" w:fill="D9D9D9"/>
              </w:rPr>
              <w:t>五</w:t>
            </w:r>
            <w:r>
              <w:rPr>
                <w:spacing w:val="1"/>
              </w:rPr>
              <w:t xml:space="preserve"> </w:t>
            </w:r>
            <w:r>
              <w:rPr>
                <w:spacing w:val="-4"/>
              </w:rPr>
              <w:t>足</w:t>
            </w:r>
            <w:r>
              <w:rPr>
                <w:position w:val="24"/>
              </w:rPr>
              <w:drawing>
                <wp:inline distT="0" distB="0" distL="0" distR="0">
                  <wp:extent cx="3810" cy="5715"/>
                  <wp:effectExtent l="0" t="0" r="0" b="0"/>
                  <wp:docPr id="1210" name="IM 1210"/>
                  <wp:cNvGraphicFramePr/>
                  <a:graphic xmlns:a="http://schemas.openxmlformats.org/drawingml/2006/main">
                    <a:graphicData uri="http://schemas.openxmlformats.org/drawingml/2006/picture">
                      <pic:pic xmlns:pic="http://schemas.openxmlformats.org/drawingml/2006/picture">
                        <pic:nvPicPr>
                          <pic:cNvPr id="1210" name="IM 1210"/>
                          <pic:cNvPicPr/>
                        </pic:nvPicPr>
                        <pic:blipFill>
                          <a:blip r:embed="rId74"/>
                          <a:stretch>
                            <a:fillRect/>
                          </a:stretch>
                        </pic:blipFill>
                        <pic:spPr>
                          <a:xfrm>
                            <a:off x="0" y="0"/>
                            <a:ext cx="3869" cy="6050"/>
                          </a:xfrm>
                          <a:prstGeom prst="rect">
                            <a:avLst/>
                          </a:prstGeom>
                        </pic:spPr>
                      </pic:pic>
                    </a:graphicData>
                  </a:graphic>
                </wp:inline>
              </w:drawing>
            </w:r>
            <w:r>
              <w:rPr>
                <w:position w:val="-6"/>
              </w:rPr>
              <w:drawing>
                <wp:inline distT="0" distB="0" distL="0" distR="0">
                  <wp:extent cx="3810" cy="196215"/>
                  <wp:effectExtent l="0" t="0" r="0" b="0"/>
                  <wp:docPr id="1212" name="IM 1212"/>
                  <wp:cNvGraphicFramePr/>
                  <a:graphic xmlns:a="http://schemas.openxmlformats.org/drawingml/2006/main">
                    <a:graphicData uri="http://schemas.openxmlformats.org/drawingml/2006/picture">
                      <pic:pic xmlns:pic="http://schemas.openxmlformats.org/drawingml/2006/picture">
                        <pic:nvPicPr>
                          <pic:cNvPr id="1212" name="IM 1212"/>
                          <pic:cNvPicPr/>
                        </pic:nvPicPr>
                        <pic:blipFill>
                          <a:blip r:embed="rId76"/>
                          <a:stretch>
                            <a:fillRect/>
                          </a:stretch>
                        </pic:blipFill>
                        <pic:spPr>
                          <a:xfrm>
                            <a:off x="0" y="0"/>
                            <a:ext cx="3869" cy="196641"/>
                          </a:xfrm>
                          <a:prstGeom prst="rect">
                            <a:avLst/>
                          </a:prstGeom>
                        </pic:spPr>
                      </pic:pic>
                    </a:graphicData>
                  </a:graphic>
                </wp:inline>
              </w:drawing>
            </w:r>
            <w:r>
              <w:rPr>
                <w:spacing w:val="-4"/>
                <w:shd w:val="clear" w:fill="D9D9D9"/>
              </w:rPr>
              <w:t>三</w:t>
            </w:r>
            <w:r>
              <w:rPr>
                <w:position w:val="24"/>
              </w:rPr>
              <w:drawing>
                <wp:inline distT="0" distB="0" distL="0" distR="0">
                  <wp:extent cx="3810" cy="5715"/>
                  <wp:effectExtent l="0" t="0" r="0" b="0"/>
                  <wp:docPr id="1214" name="IM 1214"/>
                  <wp:cNvGraphicFramePr/>
                  <a:graphic xmlns:a="http://schemas.openxmlformats.org/drawingml/2006/main">
                    <a:graphicData uri="http://schemas.openxmlformats.org/drawingml/2006/picture">
                      <pic:pic xmlns:pic="http://schemas.openxmlformats.org/drawingml/2006/picture">
                        <pic:nvPicPr>
                          <pic:cNvPr id="1214" name="IM 1214"/>
                          <pic:cNvPicPr/>
                        </pic:nvPicPr>
                        <pic:blipFill>
                          <a:blip r:embed="rId74"/>
                          <a:stretch>
                            <a:fillRect/>
                          </a:stretch>
                        </pic:blipFill>
                        <pic:spPr>
                          <a:xfrm>
                            <a:off x="0" y="0"/>
                            <a:ext cx="3869" cy="6050"/>
                          </a:xfrm>
                          <a:prstGeom prst="rect">
                            <a:avLst/>
                          </a:prstGeom>
                        </pic:spPr>
                      </pic:pic>
                    </a:graphicData>
                  </a:graphic>
                </wp:inline>
              </w:drawing>
            </w:r>
            <w:r>
              <w:rPr>
                <w:position w:val="-6"/>
              </w:rPr>
              <w:drawing>
                <wp:inline distT="0" distB="0" distL="0" distR="0">
                  <wp:extent cx="3810" cy="196215"/>
                  <wp:effectExtent l="0" t="0" r="0" b="0"/>
                  <wp:docPr id="1216" name="IM 1216"/>
                  <wp:cNvGraphicFramePr/>
                  <a:graphic xmlns:a="http://schemas.openxmlformats.org/drawingml/2006/main">
                    <a:graphicData uri="http://schemas.openxmlformats.org/drawingml/2006/picture">
                      <pic:pic xmlns:pic="http://schemas.openxmlformats.org/drawingml/2006/picture">
                        <pic:nvPicPr>
                          <pic:cNvPr id="1216" name="IM 1216"/>
                          <pic:cNvPicPr/>
                        </pic:nvPicPr>
                        <pic:blipFill>
                          <a:blip r:embed="rId76"/>
                          <a:stretch>
                            <a:fillRect/>
                          </a:stretch>
                        </pic:blipFill>
                        <pic:spPr>
                          <a:xfrm>
                            <a:off x="0" y="0"/>
                            <a:ext cx="3869" cy="196641"/>
                          </a:xfrm>
                          <a:prstGeom prst="rect">
                            <a:avLst/>
                          </a:prstGeom>
                        </pic:spPr>
                      </pic:pic>
                    </a:graphicData>
                  </a:graphic>
                </wp:inline>
              </w:drawing>
            </w:r>
            <w:r>
              <w:rPr>
                <w:spacing w:val="-4"/>
              </w:rPr>
              <w:t>十万元的，处以</w:t>
            </w:r>
          </w:p>
        </w:tc>
        <w:tc>
          <w:tcPr>
            <w:tcW w:w="4893" w:type="dxa"/>
            <w:gridSpan w:val="12"/>
            <w:tcBorders>
              <w:top w:val="nil"/>
              <w:right w:val="single" w:color="000000" w:sz="6" w:space="0"/>
            </w:tcBorders>
            <w:vAlign w:val="top"/>
          </w:tcPr>
          <w:p>
            <w:pPr>
              <w:pStyle w:val="8"/>
              <w:spacing w:before="41" w:line="228" w:lineRule="auto"/>
              <w:ind w:left="38" w:hanging="13"/>
            </w:pPr>
            <w:r>
              <w:pict>
                <v:shape id="_x0000_s1166" o:spid="_x0000_s1166" style="position:absolute;left:0pt;margin-left:74.1pt;margin-top:16.5pt;height:0.5pt;width:24.25pt;mso-position-horizontal-relative:page;mso-position-vertical-relative:page;z-index:-251523072;mso-width-relative:page;mso-height-relative:page;" fillcolor="#000000" filled="t" stroked="f" coordsize="485,10" path="m0,0l484,0,484,9,0,9,0,0xe">
                  <v:path/>
                  <v:fill on="t" focussize="0,0"/>
                  <v:stroke on="f"/>
                  <v:imagedata o:title=""/>
                  <o:lock v:ext="edit"/>
                </v:shape>
              </w:pict>
            </w:r>
            <w:r>
              <w:rPr>
                <w:spacing w:val="2"/>
                <w:u w:val="single" w:color="auto"/>
              </w:rPr>
              <w:t>倍</w:t>
            </w:r>
            <w:r>
              <w:rPr>
                <w:spacing w:val="2"/>
              </w:rPr>
              <w:t>以下的罚款；没有违法所得或者</w:t>
            </w:r>
            <w:r>
              <w:rPr>
                <w:spacing w:val="2"/>
                <w:u w:val="single" w:color="auto"/>
              </w:rPr>
              <w:t>违法所得不</w:t>
            </w:r>
            <w:r>
              <w:rPr>
                <w:spacing w:val="16"/>
              </w:rPr>
              <w:t xml:space="preserve"> </w:t>
            </w:r>
            <w:r>
              <w:rPr>
                <w:spacing w:val="-1"/>
                <w:shd w:val="clear" w:fill="D9D9D9"/>
              </w:rPr>
              <w:t>三</w:t>
            </w:r>
            <w:r>
              <w:rPr>
                <w:position w:val="-6"/>
              </w:rPr>
              <w:drawing>
                <wp:inline distT="0" distB="0" distL="0" distR="0">
                  <wp:extent cx="4445" cy="196215"/>
                  <wp:effectExtent l="0" t="0" r="0" b="0"/>
                  <wp:docPr id="1218" name="IM 1218"/>
                  <wp:cNvGraphicFramePr/>
                  <a:graphic xmlns:a="http://schemas.openxmlformats.org/drawingml/2006/main">
                    <a:graphicData uri="http://schemas.openxmlformats.org/drawingml/2006/picture">
                      <pic:pic xmlns:pic="http://schemas.openxmlformats.org/drawingml/2006/picture">
                        <pic:nvPicPr>
                          <pic:cNvPr id="1218" name="IM 1218"/>
                          <pic:cNvPicPr/>
                        </pic:nvPicPr>
                        <pic:blipFill>
                          <a:blip r:embed="rId71"/>
                          <a:stretch>
                            <a:fillRect/>
                          </a:stretch>
                        </pic:blipFill>
                        <pic:spPr>
                          <a:xfrm>
                            <a:off x="0" y="0"/>
                            <a:ext cx="4571" cy="196550"/>
                          </a:xfrm>
                          <a:prstGeom prst="rect">
                            <a:avLst/>
                          </a:prstGeom>
                        </pic:spPr>
                      </pic:pic>
                    </a:graphicData>
                  </a:graphic>
                </wp:inline>
              </w:drawing>
            </w:r>
            <w:r>
              <w:rPr>
                <w:spacing w:val="-1"/>
              </w:rPr>
              <w:t>十万元以上</w:t>
            </w:r>
            <w:r>
              <w:rPr>
                <w:spacing w:val="-112"/>
              </w:rPr>
              <w:t xml:space="preserve"> </w:t>
            </w:r>
            <w:r>
              <w:rPr>
                <w:position w:val="24"/>
              </w:rPr>
              <w:drawing>
                <wp:inline distT="0" distB="0" distL="0" distR="0">
                  <wp:extent cx="4445" cy="5715"/>
                  <wp:effectExtent l="0" t="0" r="0" b="0"/>
                  <wp:docPr id="1220" name="IM 1220"/>
                  <wp:cNvGraphicFramePr/>
                  <a:graphic xmlns:a="http://schemas.openxmlformats.org/drawingml/2006/main">
                    <a:graphicData uri="http://schemas.openxmlformats.org/drawingml/2006/picture">
                      <pic:pic xmlns:pic="http://schemas.openxmlformats.org/drawingml/2006/picture">
                        <pic:nvPicPr>
                          <pic:cNvPr id="1220" name="IM 1220"/>
                          <pic:cNvPicPr/>
                        </pic:nvPicPr>
                        <pic:blipFill>
                          <a:blip r:embed="rId78"/>
                          <a:stretch>
                            <a:fillRect/>
                          </a:stretch>
                        </pic:blipFill>
                        <pic:spPr>
                          <a:xfrm>
                            <a:off x="0" y="0"/>
                            <a:ext cx="4571" cy="6048"/>
                          </a:xfrm>
                          <a:prstGeom prst="rect">
                            <a:avLst/>
                          </a:prstGeom>
                        </pic:spPr>
                      </pic:pic>
                    </a:graphicData>
                  </a:graphic>
                </wp:inline>
              </w:drawing>
            </w:r>
            <w:r>
              <w:rPr>
                <w:position w:val="-6"/>
              </w:rPr>
              <w:drawing>
                <wp:inline distT="0" distB="0" distL="0" distR="0">
                  <wp:extent cx="4445" cy="196215"/>
                  <wp:effectExtent l="0" t="0" r="0" b="0"/>
                  <wp:docPr id="1222" name="IM 1222"/>
                  <wp:cNvGraphicFramePr/>
                  <a:graphic xmlns:a="http://schemas.openxmlformats.org/drawingml/2006/main">
                    <a:graphicData uri="http://schemas.openxmlformats.org/drawingml/2006/picture">
                      <pic:pic xmlns:pic="http://schemas.openxmlformats.org/drawingml/2006/picture">
                        <pic:nvPicPr>
                          <pic:cNvPr id="1222" name="IM 1222"/>
                          <pic:cNvPicPr/>
                        </pic:nvPicPr>
                        <pic:blipFill>
                          <a:blip r:embed="rId94"/>
                          <a:stretch>
                            <a:fillRect/>
                          </a:stretch>
                        </pic:blipFill>
                        <pic:spPr>
                          <a:xfrm>
                            <a:off x="0" y="0"/>
                            <a:ext cx="4571" cy="196550"/>
                          </a:xfrm>
                          <a:prstGeom prst="rect">
                            <a:avLst/>
                          </a:prstGeom>
                        </pic:spPr>
                      </pic:pic>
                    </a:graphicData>
                  </a:graphic>
                </wp:inline>
              </w:drawing>
            </w:r>
            <w:r>
              <w:rPr>
                <w:spacing w:val="-1"/>
                <w:shd w:val="clear" w:fill="D9D9D9"/>
              </w:rPr>
              <w:t>六十</w:t>
            </w:r>
            <w:r>
              <w:rPr>
                <w:spacing w:val="-115"/>
                <w:shd w:val="clear" w:fill="D9D9D9"/>
              </w:rPr>
              <w:t xml:space="preserve"> </w:t>
            </w:r>
            <w:r>
              <w:rPr>
                <w:position w:val="24"/>
              </w:rPr>
              <w:drawing>
                <wp:inline distT="0" distB="0" distL="0" distR="0">
                  <wp:extent cx="4445" cy="5715"/>
                  <wp:effectExtent l="0" t="0" r="0" b="0"/>
                  <wp:docPr id="1224" name="IM 1224"/>
                  <wp:cNvGraphicFramePr/>
                  <a:graphic xmlns:a="http://schemas.openxmlformats.org/drawingml/2006/main">
                    <a:graphicData uri="http://schemas.openxmlformats.org/drawingml/2006/picture">
                      <pic:pic xmlns:pic="http://schemas.openxmlformats.org/drawingml/2006/picture">
                        <pic:nvPicPr>
                          <pic:cNvPr id="1224" name="IM 1224"/>
                          <pic:cNvPicPr/>
                        </pic:nvPicPr>
                        <pic:blipFill>
                          <a:blip r:embed="rId81"/>
                          <a:stretch>
                            <a:fillRect/>
                          </a:stretch>
                        </pic:blipFill>
                        <pic:spPr>
                          <a:xfrm>
                            <a:off x="0" y="0"/>
                            <a:ext cx="4571" cy="6048"/>
                          </a:xfrm>
                          <a:prstGeom prst="rect">
                            <a:avLst/>
                          </a:prstGeom>
                        </pic:spPr>
                      </pic:pic>
                    </a:graphicData>
                  </a:graphic>
                </wp:inline>
              </w:drawing>
            </w:r>
            <w:r>
              <w:rPr>
                <w:position w:val="-6"/>
              </w:rPr>
              <w:drawing>
                <wp:inline distT="0" distB="0" distL="0" distR="0">
                  <wp:extent cx="4445" cy="196215"/>
                  <wp:effectExtent l="0" t="0" r="0" b="0"/>
                  <wp:docPr id="1226" name="IM 1226"/>
                  <wp:cNvGraphicFramePr/>
                  <a:graphic xmlns:a="http://schemas.openxmlformats.org/drawingml/2006/main">
                    <a:graphicData uri="http://schemas.openxmlformats.org/drawingml/2006/picture">
                      <pic:pic xmlns:pic="http://schemas.openxmlformats.org/drawingml/2006/picture">
                        <pic:nvPicPr>
                          <pic:cNvPr id="1226" name="IM 1226"/>
                          <pic:cNvPicPr/>
                        </pic:nvPicPr>
                        <pic:blipFill>
                          <a:blip r:embed="rId84"/>
                          <a:stretch>
                            <a:fillRect/>
                          </a:stretch>
                        </pic:blipFill>
                        <pic:spPr>
                          <a:xfrm>
                            <a:off x="0" y="0"/>
                            <a:ext cx="4571" cy="196550"/>
                          </a:xfrm>
                          <a:prstGeom prst="rect">
                            <a:avLst/>
                          </a:prstGeom>
                        </pic:spPr>
                      </pic:pic>
                    </a:graphicData>
                  </a:graphic>
                </wp:inline>
              </w:drawing>
            </w:r>
            <w:r>
              <w:rPr>
                <w:spacing w:val="-1"/>
              </w:rPr>
              <w:t>万元以下的罚款</w:t>
            </w:r>
            <w:r>
              <w:rPr>
                <w:position w:val="-6"/>
              </w:rPr>
              <w:drawing>
                <wp:inline distT="0" distB="0" distL="0" distR="0">
                  <wp:extent cx="4445" cy="196215"/>
                  <wp:effectExtent l="0" t="0" r="0" b="0"/>
                  <wp:docPr id="1228" name="IM 1228"/>
                  <wp:cNvGraphicFramePr/>
                  <a:graphic xmlns:a="http://schemas.openxmlformats.org/drawingml/2006/main">
                    <a:graphicData uri="http://schemas.openxmlformats.org/drawingml/2006/picture">
                      <pic:pic xmlns:pic="http://schemas.openxmlformats.org/drawingml/2006/picture">
                        <pic:nvPicPr>
                          <pic:cNvPr id="1228" name="IM 1228"/>
                          <pic:cNvPicPr/>
                        </pic:nvPicPr>
                        <pic:blipFill>
                          <a:blip r:embed="rId94"/>
                          <a:stretch>
                            <a:fillRect/>
                          </a:stretch>
                        </pic:blipFill>
                        <pic:spPr>
                          <a:xfrm>
                            <a:off x="0" y="0"/>
                            <a:ext cx="4571" cy="196550"/>
                          </a:xfrm>
                          <a:prstGeom prst="rect">
                            <a:avLst/>
                          </a:prstGeom>
                        </pic:spPr>
                      </pic:pic>
                    </a:graphicData>
                  </a:graphic>
                </wp:inline>
              </w:drawing>
            </w:r>
            <w:r>
              <w:rPr>
                <w:spacing w:val="-1"/>
                <w:shd w:val="clear" w:fill="D9D9D9"/>
              </w:rPr>
              <w:t>；情节严重</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927" w:type="dxa"/>
            <w:gridSpan w:val="8"/>
            <w:tcBorders>
              <w:left w:val="single" w:color="000000" w:sz="6" w:space="0"/>
            </w:tcBorders>
            <w:shd w:val="clear" w:color="auto" w:fill="D9D9D9"/>
            <w:vAlign w:val="top"/>
          </w:tcPr>
          <w:p>
            <w:pPr>
              <w:pStyle w:val="8"/>
              <w:spacing w:before="46" w:line="206" w:lineRule="auto"/>
              <w:ind w:left="43"/>
            </w:pPr>
            <w:r>
              <w:rPr>
                <w:spacing w:val="-5"/>
              </w:rPr>
              <w:t>的，</w:t>
            </w:r>
            <w:r>
              <w:rPr>
                <w:spacing w:val="-19"/>
              </w:rPr>
              <w:t xml:space="preserve"> </w:t>
            </w:r>
            <w:r>
              <w:rPr>
                <w:spacing w:val="-5"/>
              </w:rPr>
              <w:t>暂停或者撤销证券自营业务许可</w:t>
            </w:r>
          </w:p>
        </w:tc>
        <w:tc>
          <w:tcPr>
            <w:tcW w:w="240" w:type="dxa"/>
            <w:tcBorders>
              <w:right w:val="nil"/>
            </w:tcBorders>
            <w:vAlign w:val="top"/>
          </w:tcPr>
          <w:p>
            <w:pPr>
              <w:pStyle w:val="8"/>
              <w:spacing w:before="216" w:line="98" w:lineRule="exact"/>
              <w:jc w:val="right"/>
            </w:pPr>
            <w:r>
              <w:rPr>
                <w:spacing w:val="-63"/>
                <w:w w:val="95"/>
                <w:position w:val="1"/>
              </w:rPr>
              <w:t>。</w:t>
            </w:r>
          </w:p>
        </w:tc>
        <w:tc>
          <w:tcPr>
            <w:tcW w:w="2927" w:type="dxa"/>
            <w:gridSpan w:val="6"/>
            <w:tcBorders>
              <w:top w:val="nil"/>
              <w:left w:val="nil"/>
              <w:right w:val="single" w:color="000000" w:sz="6" w:space="0"/>
            </w:tcBorders>
            <w:vAlign w:val="top"/>
          </w:tcPr>
          <w:p>
            <w:pPr>
              <w:pStyle w:val="8"/>
              <w:spacing w:before="46" w:line="206" w:lineRule="auto"/>
              <w:jc w:val="right"/>
            </w:pPr>
            <w:r>
              <w:rPr>
                <w:spacing w:val="1"/>
              </w:rPr>
              <w:t>对直接负责的主管人员和其</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40" w:type="dxa"/>
            <w:gridSpan w:val="5"/>
            <w:vMerge w:val="restart"/>
            <w:tcBorders>
              <w:left w:val="single" w:color="000000" w:sz="6" w:space="0"/>
              <w:bottom w:val="nil"/>
              <w:right w:val="nil"/>
            </w:tcBorders>
            <w:vAlign w:val="top"/>
          </w:tcPr>
          <w:p>
            <w:pPr>
              <w:pStyle w:val="8"/>
              <w:spacing w:before="49" w:line="229" w:lineRule="auto"/>
              <w:ind w:left="45" w:right="7" w:hanging="36"/>
            </w:pPr>
            <w:r>
              <w:pict>
                <v:shape id="_x0000_s1167" o:spid="_x0000_s1167" style="position:absolute;left:0pt;margin-left:74.1pt;margin-top:16.9pt;height:0.5pt;width:12pt;mso-position-horizontal-relative:page;mso-position-vertical-relative:page;z-index:-251522048;mso-width-relative:page;mso-height-relative:page;" fillcolor="#000000" filled="t" stroked="f" coordsize="240,10" path="m0,0l240,0,240,9,0,9,0,0xe">
                  <v:path/>
                  <v:fill on="t" focussize="0,0"/>
                  <v:stroke on="f"/>
                  <v:imagedata o:title=""/>
                  <o:lock v:ext="edit"/>
                </v:shape>
              </w:pict>
            </w:r>
            <w:r>
              <w:rPr>
                <w:spacing w:val="-3"/>
              </w:rPr>
              <w:t>他直接责任人员给予警告，</w:t>
            </w:r>
            <w:r>
              <w:rPr>
                <w:spacing w:val="10"/>
              </w:rPr>
              <w:t xml:space="preserve"> </w:t>
            </w:r>
            <w:r>
              <w:rPr>
                <w:spacing w:val="-4"/>
              </w:rPr>
              <w:t>以</w:t>
            </w:r>
            <w:r>
              <w:rPr>
                <w:position w:val="24"/>
              </w:rPr>
              <w:drawing>
                <wp:inline distT="0" distB="0" distL="0" distR="0">
                  <wp:extent cx="3175" cy="5715"/>
                  <wp:effectExtent l="0" t="0" r="0" b="0"/>
                  <wp:docPr id="1230" name="IM 1230"/>
                  <wp:cNvGraphicFramePr/>
                  <a:graphic xmlns:a="http://schemas.openxmlformats.org/drawingml/2006/main">
                    <a:graphicData uri="http://schemas.openxmlformats.org/drawingml/2006/picture">
                      <pic:pic xmlns:pic="http://schemas.openxmlformats.org/drawingml/2006/picture">
                        <pic:nvPicPr>
                          <pic:cNvPr id="1230" name="IM 1230"/>
                          <pic:cNvPicPr/>
                        </pic:nvPicPr>
                        <pic:blipFill>
                          <a:blip r:embed="rId74"/>
                          <a:stretch>
                            <a:fillRect/>
                          </a:stretch>
                        </pic:blipFill>
                        <pic:spPr>
                          <a:xfrm>
                            <a:off x="0" y="0"/>
                            <a:ext cx="3519" cy="6096"/>
                          </a:xfrm>
                          <a:prstGeom prst="rect">
                            <a:avLst/>
                          </a:prstGeom>
                        </pic:spPr>
                      </pic:pic>
                    </a:graphicData>
                  </a:graphic>
                </wp:inline>
              </w:drawing>
            </w:r>
            <w:r>
              <w:rPr>
                <w:position w:val="-6"/>
              </w:rPr>
              <w:drawing>
                <wp:inline distT="0" distB="0" distL="0" distR="0">
                  <wp:extent cx="3175" cy="198120"/>
                  <wp:effectExtent l="0" t="0" r="0" b="0"/>
                  <wp:docPr id="1232" name="IM 1232"/>
                  <wp:cNvGraphicFramePr/>
                  <a:graphic xmlns:a="http://schemas.openxmlformats.org/drawingml/2006/main">
                    <a:graphicData uri="http://schemas.openxmlformats.org/drawingml/2006/picture">
                      <pic:pic xmlns:pic="http://schemas.openxmlformats.org/drawingml/2006/picture">
                        <pic:nvPicPr>
                          <pic:cNvPr id="1232" name="IM 1232"/>
                          <pic:cNvPicPr/>
                        </pic:nvPicPr>
                        <pic:blipFill>
                          <a:blip r:embed="rId76"/>
                          <a:stretch>
                            <a:fillRect/>
                          </a:stretch>
                        </pic:blipFill>
                        <pic:spPr>
                          <a:xfrm>
                            <a:off x="0" y="0"/>
                            <a:ext cx="3519" cy="198120"/>
                          </a:xfrm>
                          <a:prstGeom prst="rect">
                            <a:avLst/>
                          </a:prstGeom>
                        </pic:spPr>
                      </pic:pic>
                    </a:graphicData>
                  </a:graphic>
                </wp:inline>
              </w:drawing>
            </w:r>
            <w:r>
              <w:rPr>
                <w:spacing w:val="-4"/>
                <w:shd w:val="clear" w:fill="D9D9D9"/>
              </w:rPr>
              <w:t>三</w:t>
            </w:r>
            <w:r>
              <w:rPr>
                <w:position w:val="24"/>
              </w:rPr>
              <w:drawing>
                <wp:inline distT="0" distB="0" distL="0" distR="0">
                  <wp:extent cx="3175" cy="5715"/>
                  <wp:effectExtent l="0" t="0" r="0" b="0"/>
                  <wp:docPr id="1234" name="IM 1234"/>
                  <wp:cNvGraphicFramePr/>
                  <a:graphic xmlns:a="http://schemas.openxmlformats.org/drawingml/2006/main">
                    <a:graphicData uri="http://schemas.openxmlformats.org/drawingml/2006/picture">
                      <pic:pic xmlns:pic="http://schemas.openxmlformats.org/drawingml/2006/picture">
                        <pic:nvPicPr>
                          <pic:cNvPr id="1234" name="IM 1234"/>
                          <pic:cNvPicPr/>
                        </pic:nvPicPr>
                        <pic:blipFill>
                          <a:blip r:embed="rId72"/>
                          <a:stretch>
                            <a:fillRect/>
                          </a:stretch>
                        </pic:blipFill>
                        <pic:spPr>
                          <a:xfrm>
                            <a:off x="0" y="0"/>
                            <a:ext cx="3519" cy="6096"/>
                          </a:xfrm>
                          <a:prstGeom prst="rect">
                            <a:avLst/>
                          </a:prstGeom>
                        </pic:spPr>
                      </pic:pic>
                    </a:graphicData>
                  </a:graphic>
                </wp:inline>
              </w:drawing>
            </w:r>
            <w:r>
              <w:rPr>
                <w:position w:val="-6"/>
              </w:rPr>
              <w:drawing>
                <wp:inline distT="0" distB="0" distL="0" distR="0">
                  <wp:extent cx="3175" cy="198120"/>
                  <wp:effectExtent l="0" t="0" r="0" b="0"/>
                  <wp:docPr id="1236" name="IM 1236"/>
                  <wp:cNvGraphicFramePr/>
                  <a:graphic xmlns:a="http://schemas.openxmlformats.org/drawingml/2006/main">
                    <a:graphicData uri="http://schemas.openxmlformats.org/drawingml/2006/picture">
                      <pic:pic xmlns:pic="http://schemas.openxmlformats.org/drawingml/2006/picture">
                        <pic:nvPicPr>
                          <pic:cNvPr id="1236" name="IM 1236"/>
                          <pic:cNvPicPr/>
                        </pic:nvPicPr>
                        <pic:blipFill>
                          <a:blip r:embed="rId88"/>
                          <a:stretch>
                            <a:fillRect/>
                          </a:stretch>
                        </pic:blipFill>
                        <pic:spPr>
                          <a:xfrm>
                            <a:off x="0" y="0"/>
                            <a:ext cx="3519" cy="198120"/>
                          </a:xfrm>
                          <a:prstGeom prst="rect">
                            <a:avLst/>
                          </a:prstGeom>
                        </pic:spPr>
                      </pic:pic>
                    </a:graphicData>
                  </a:graphic>
                </wp:inline>
              </w:drawing>
            </w:r>
            <w:r>
              <w:rPr>
                <w:spacing w:val="-4"/>
              </w:rPr>
              <w:t>万元以上</w:t>
            </w:r>
            <w:r>
              <w:rPr>
                <w:position w:val="-6"/>
              </w:rPr>
              <w:drawing>
                <wp:inline distT="0" distB="0" distL="0" distR="0">
                  <wp:extent cx="3175" cy="198120"/>
                  <wp:effectExtent l="0" t="0" r="0" b="0"/>
                  <wp:docPr id="1238" name="IM 1238"/>
                  <wp:cNvGraphicFramePr/>
                  <a:graphic xmlns:a="http://schemas.openxmlformats.org/drawingml/2006/main">
                    <a:graphicData uri="http://schemas.openxmlformats.org/drawingml/2006/picture">
                      <pic:pic xmlns:pic="http://schemas.openxmlformats.org/drawingml/2006/picture">
                        <pic:nvPicPr>
                          <pic:cNvPr id="1238" name="IM 1238"/>
                          <pic:cNvPicPr/>
                        </pic:nvPicPr>
                        <pic:blipFill>
                          <a:blip r:embed="rId76"/>
                          <a:stretch>
                            <a:fillRect/>
                          </a:stretch>
                        </pic:blipFill>
                        <pic:spPr>
                          <a:xfrm>
                            <a:off x="0" y="0"/>
                            <a:ext cx="3519" cy="198120"/>
                          </a:xfrm>
                          <a:prstGeom prst="rect">
                            <a:avLst/>
                          </a:prstGeom>
                        </pic:spPr>
                      </pic:pic>
                    </a:graphicData>
                  </a:graphic>
                </wp:inline>
              </w:drawing>
            </w:r>
            <w:r>
              <w:rPr>
                <w:spacing w:val="-4"/>
                <w:shd w:val="clear" w:fill="D9D9D9"/>
              </w:rPr>
              <w:t>十</w:t>
            </w:r>
            <w:r>
              <w:rPr>
                <w:position w:val="24"/>
              </w:rPr>
              <w:drawing>
                <wp:inline distT="0" distB="0" distL="0" distR="0">
                  <wp:extent cx="3175" cy="5715"/>
                  <wp:effectExtent l="0" t="0" r="0" b="0"/>
                  <wp:docPr id="1240" name="IM 1240"/>
                  <wp:cNvGraphicFramePr/>
                  <a:graphic xmlns:a="http://schemas.openxmlformats.org/drawingml/2006/main">
                    <a:graphicData uri="http://schemas.openxmlformats.org/drawingml/2006/picture">
                      <pic:pic xmlns:pic="http://schemas.openxmlformats.org/drawingml/2006/picture">
                        <pic:nvPicPr>
                          <pic:cNvPr id="1240" name="IM 1240"/>
                          <pic:cNvPicPr/>
                        </pic:nvPicPr>
                        <pic:blipFill>
                          <a:blip r:embed="rId75"/>
                          <a:stretch>
                            <a:fillRect/>
                          </a:stretch>
                        </pic:blipFill>
                        <pic:spPr>
                          <a:xfrm>
                            <a:off x="0" y="0"/>
                            <a:ext cx="3519" cy="6096"/>
                          </a:xfrm>
                          <a:prstGeom prst="rect">
                            <a:avLst/>
                          </a:prstGeom>
                        </pic:spPr>
                      </pic:pic>
                    </a:graphicData>
                  </a:graphic>
                </wp:inline>
              </w:drawing>
            </w:r>
            <w:r>
              <w:rPr>
                <w:position w:val="-6"/>
              </w:rPr>
              <w:drawing>
                <wp:inline distT="0" distB="0" distL="0" distR="0">
                  <wp:extent cx="3175" cy="198120"/>
                  <wp:effectExtent l="0" t="0" r="0" b="0"/>
                  <wp:docPr id="1242" name="IM 1242"/>
                  <wp:cNvGraphicFramePr/>
                  <a:graphic xmlns:a="http://schemas.openxmlformats.org/drawingml/2006/main">
                    <a:graphicData uri="http://schemas.openxmlformats.org/drawingml/2006/picture">
                      <pic:pic xmlns:pic="http://schemas.openxmlformats.org/drawingml/2006/picture">
                        <pic:nvPicPr>
                          <pic:cNvPr id="1242" name="IM 1242"/>
                          <pic:cNvPicPr/>
                        </pic:nvPicPr>
                        <pic:blipFill>
                          <a:blip r:embed="rId96"/>
                          <a:stretch>
                            <a:fillRect/>
                          </a:stretch>
                        </pic:blipFill>
                        <pic:spPr>
                          <a:xfrm>
                            <a:off x="0" y="0"/>
                            <a:ext cx="3519" cy="198120"/>
                          </a:xfrm>
                          <a:prstGeom prst="rect">
                            <a:avLst/>
                          </a:prstGeom>
                        </pic:spPr>
                      </pic:pic>
                    </a:graphicData>
                  </a:graphic>
                </wp:inline>
              </w:drawing>
            </w:r>
            <w:r>
              <w:rPr>
                <w:spacing w:val="-4"/>
              </w:rPr>
              <w:t>万元以下的</w:t>
            </w:r>
          </w:p>
        </w:tc>
        <w:tc>
          <w:tcPr>
            <w:tcW w:w="3669" w:type="dxa"/>
            <w:gridSpan w:val="9"/>
            <w:shd w:val="clear" w:color="auto" w:fill="D9D9D9"/>
            <w:vAlign w:val="top"/>
          </w:tcPr>
          <w:p>
            <w:pPr>
              <w:pStyle w:val="8"/>
              <w:spacing w:before="49" w:line="200" w:lineRule="auto"/>
              <w:ind w:left="12"/>
            </w:pPr>
            <w:r>
              <w:t>撤销任职资格或者证券从业资格，</w:t>
            </w:r>
          </w:p>
        </w:tc>
        <w:tc>
          <w:tcPr>
            <w:tcW w:w="485" w:type="dxa"/>
            <w:vMerge w:val="restart"/>
            <w:tcBorders>
              <w:top w:val="nil"/>
              <w:left w:val="nil"/>
              <w:bottom w:val="nil"/>
              <w:right w:val="single" w:color="000000" w:sz="6" w:space="0"/>
            </w:tcBorders>
            <w:vAlign w:val="top"/>
          </w:tcPr>
          <w:p>
            <w:pPr>
              <w:pStyle w:val="8"/>
              <w:spacing w:before="49" w:line="215" w:lineRule="auto"/>
              <w:jc w:val="right"/>
            </w:pPr>
            <w:r>
              <w:rPr>
                <w:spacing w:val="-10"/>
              </w:rPr>
              <w:t>并处</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940" w:type="dxa"/>
            <w:gridSpan w:val="5"/>
            <w:vMerge w:val="continue"/>
            <w:tcBorders>
              <w:top w:val="nil"/>
              <w:left w:val="single" w:color="000000" w:sz="6" w:space="0"/>
              <w:bottom w:val="single" w:color="000000" w:sz="6" w:space="0"/>
              <w:right w:val="nil"/>
            </w:tcBorders>
            <w:vAlign w:val="top"/>
          </w:tcPr>
          <w:p>
            <w:pPr>
              <w:rPr>
                <w:rFonts w:ascii="Arial"/>
                <w:sz w:val="21"/>
              </w:rPr>
            </w:pPr>
          </w:p>
        </w:tc>
        <w:tc>
          <w:tcPr>
            <w:tcW w:w="3669" w:type="dxa"/>
            <w:gridSpan w:val="9"/>
            <w:tcBorders>
              <w:left w:val="nil"/>
              <w:bottom w:val="single" w:color="000000" w:sz="6" w:space="0"/>
              <w:right w:val="nil"/>
            </w:tcBorders>
            <w:vAlign w:val="top"/>
          </w:tcPr>
          <w:p>
            <w:pPr>
              <w:pStyle w:val="8"/>
              <w:spacing w:before="55" w:line="212" w:lineRule="auto"/>
              <w:ind w:left="13"/>
            </w:pPr>
            <w:r>
              <w:rPr>
                <w:spacing w:val="-16"/>
              </w:rPr>
              <w:t>罚款。</w:t>
            </w:r>
          </w:p>
        </w:tc>
        <w:tc>
          <w:tcPr>
            <w:tcW w:w="485" w:type="dxa"/>
            <w:vMerge w:val="continue"/>
            <w:tcBorders>
              <w:top w:val="nil"/>
              <w:left w:val="nil"/>
              <w:bottom w:val="single" w:color="000000" w:sz="6" w:space="0"/>
              <w:right w:val="single" w:color="000000" w:sz="6" w:space="0"/>
            </w:tcBorders>
            <w:vAlign w:val="top"/>
          </w:tcPr>
          <w:p>
            <w:pPr>
              <w:rPr>
                <w:rFonts w:ascii="Arial"/>
                <w:sz w:val="21"/>
              </w:rPr>
            </w:pPr>
          </w:p>
        </w:tc>
        <w:tc>
          <w:tcPr>
            <w:tcW w:w="6890"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7094" w:type="dxa"/>
            <w:gridSpan w:val="15"/>
            <w:tcBorders>
              <w:top w:val="single" w:color="000000" w:sz="6" w:space="0"/>
              <w:left w:val="single" w:color="000000" w:sz="6" w:space="0"/>
              <w:right w:val="single" w:color="000000" w:sz="6" w:space="0"/>
            </w:tcBorders>
            <w:vAlign w:val="top"/>
          </w:tcPr>
          <w:p>
            <w:pPr>
              <w:pStyle w:val="8"/>
              <w:spacing w:before="15"/>
              <w:jc w:val="right"/>
            </w:pPr>
            <w:r>
              <w:drawing>
                <wp:anchor distT="0" distB="0" distL="0" distR="0" simplePos="0" relativeHeight="251792384" behindDoc="1" locked="0" layoutInCell="1" allowOverlap="1">
                  <wp:simplePos x="0" y="0"/>
                  <wp:positionH relativeFrom="rightMargin">
                    <wp:posOffset>-4331970</wp:posOffset>
                  </wp:positionH>
                  <wp:positionV relativeFrom="topMargin">
                    <wp:posOffset>213360</wp:posOffset>
                  </wp:positionV>
                  <wp:extent cx="615950" cy="6350"/>
                  <wp:effectExtent l="0" t="0" r="0" b="0"/>
                  <wp:wrapNone/>
                  <wp:docPr id="1244" name="IM 1244"/>
                  <wp:cNvGraphicFramePr/>
                  <a:graphic xmlns:a="http://schemas.openxmlformats.org/drawingml/2006/main">
                    <a:graphicData uri="http://schemas.openxmlformats.org/drawingml/2006/picture">
                      <pic:pic xmlns:pic="http://schemas.openxmlformats.org/drawingml/2006/picture">
                        <pic:nvPicPr>
                          <pic:cNvPr id="1244" name="IM 1244"/>
                          <pic:cNvPicPr/>
                        </pic:nvPicPr>
                        <pic:blipFill>
                          <a:blip r:embed="rId136"/>
                          <a:stretch>
                            <a:fillRect/>
                          </a:stretch>
                        </pic:blipFill>
                        <pic:spPr>
                          <a:xfrm>
                            <a:off x="0" y="0"/>
                            <a:ext cx="615645" cy="6350"/>
                          </a:xfrm>
                          <a:prstGeom prst="rect">
                            <a:avLst/>
                          </a:prstGeom>
                        </pic:spPr>
                      </pic:pic>
                    </a:graphicData>
                  </a:graphic>
                </wp:anchor>
              </w:drawing>
            </w:r>
            <w:r>
              <w:drawing>
                <wp:anchor distT="0" distB="0" distL="0" distR="0" simplePos="0" relativeHeight="251789312" behindDoc="1" locked="0" layoutInCell="1" allowOverlap="1">
                  <wp:simplePos x="0" y="0"/>
                  <wp:positionH relativeFrom="rightMargin">
                    <wp:posOffset>-3248660</wp:posOffset>
                  </wp:positionH>
                  <wp:positionV relativeFrom="topMargin">
                    <wp:posOffset>207645</wp:posOffset>
                  </wp:positionV>
                  <wp:extent cx="2635250" cy="12065"/>
                  <wp:effectExtent l="0" t="0" r="0" b="0"/>
                  <wp:wrapNone/>
                  <wp:docPr id="1246" name="IM 1246"/>
                  <wp:cNvGraphicFramePr/>
                  <a:graphic xmlns:a="http://schemas.openxmlformats.org/drawingml/2006/main">
                    <a:graphicData uri="http://schemas.openxmlformats.org/drawingml/2006/picture">
                      <pic:pic xmlns:pic="http://schemas.openxmlformats.org/drawingml/2006/picture">
                        <pic:nvPicPr>
                          <pic:cNvPr id="1246" name="IM 1246"/>
                          <pic:cNvPicPr/>
                        </pic:nvPicPr>
                        <pic:blipFill>
                          <a:blip r:embed="rId137"/>
                          <a:stretch>
                            <a:fillRect/>
                          </a:stretch>
                        </pic:blipFill>
                        <pic:spPr>
                          <a:xfrm>
                            <a:off x="0" y="0"/>
                            <a:ext cx="2635377" cy="12191"/>
                          </a:xfrm>
                          <a:prstGeom prst="rect">
                            <a:avLst/>
                          </a:prstGeom>
                        </pic:spPr>
                      </pic:pic>
                    </a:graphicData>
                  </a:graphic>
                </wp:anchor>
              </w:drawing>
            </w:r>
            <w:r>
              <w:rPr>
                <w:rFonts w:ascii="黑体" w:hAnsi="黑体" w:eastAsia="黑体" w:cs="黑体"/>
                <w:spacing w:val="2"/>
              </w:rPr>
              <w:t xml:space="preserve">第二百一十一条  </w:t>
            </w:r>
            <w:r>
              <w:rPr>
                <w:position w:val="-6"/>
              </w:rPr>
              <w:drawing>
                <wp:inline distT="0" distB="0" distL="0" distR="0">
                  <wp:extent cx="6985" cy="198120"/>
                  <wp:effectExtent l="0" t="0" r="0" b="0"/>
                  <wp:docPr id="1248" name="IM 1248"/>
                  <wp:cNvGraphicFramePr/>
                  <a:graphic xmlns:a="http://schemas.openxmlformats.org/drawingml/2006/main">
                    <a:graphicData uri="http://schemas.openxmlformats.org/drawingml/2006/picture">
                      <pic:pic xmlns:pic="http://schemas.openxmlformats.org/drawingml/2006/picture">
                        <pic:nvPicPr>
                          <pic:cNvPr id="1248" name="IM 1248"/>
                          <pic:cNvPicPr/>
                        </pic:nvPicPr>
                        <pic:blipFill>
                          <a:blip r:embed="rId97"/>
                          <a:stretch>
                            <a:fillRect/>
                          </a:stretch>
                        </pic:blipFill>
                        <pic:spPr>
                          <a:xfrm>
                            <a:off x="0" y="0"/>
                            <a:ext cx="7123" cy="198120"/>
                          </a:xfrm>
                          <a:prstGeom prst="rect">
                            <a:avLst/>
                          </a:prstGeom>
                        </pic:spPr>
                      </pic:pic>
                    </a:graphicData>
                  </a:graphic>
                </wp:inline>
              </w:drawing>
            </w:r>
            <w:r>
              <w:rPr>
                <w:spacing w:val="2"/>
                <w:shd w:val="clear" w:fill="D9D9D9"/>
              </w:rPr>
              <w:t>证券公司、证券登记结算机构挪用</w:t>
            </w:r>
            <w:r>
              <w:rPr>
                <w:position w:val="-6"/>
              </w:rPr>
              <w:drawing>
                <wp:inline distT="0" distB="0" distL="0" distR="0">
                  <wp:extent cx="6985" cy="198120"/>
                  <wp:effectExtent l="0" t="0" r="0" b="0"/>
                  <wp:docPr id="1250" name="IM 1250"/>
                  <wp:cNvGraphicFramePr/>
                  <a:graphic xmlns:a="http://schemas.openxmlformats.org/drawingml/2006/main">
                    <a:graphicData uri="http://schemas.openxmlformats.org/drawingml/2006/picture">
                      <pic:pic xmlns:pic="http://schemas.openxmlformats.org/drawingml/2006/picture">
                        <pic:nvPicPr>
                          <pic:cNvPr id="1250" name="IM 1250"/>
                          <pic:cNvPicPr/>
                        </pic:nvPicPr>
                        <pic:blipFill>
                          <a:blip r:embed="rId105"/>
                          <a:stretch>
                            <a:fillRect/>
                          </a:stretch>
                        </pic:blipFill>
                        <pic:spPr>
                          <a:xfrm>
                            <a:off x="0" y="0"/>
                            <a:ext cx="7123" cy="198120"/>
                          </a:xfrm>
                          <a:prstGeom prst="rect">
                            <a:avLst/>
                          </a:prstGeom>
                        </pic:spPr>
                      </pic:pic>
                    </a:graphicData>
                  </a:graphic>
                </wp:inline>
              </w:drawing>
            </w:r>
            <w:r>
              <w:rPr>
                <w:spacing w:val="2"/>
              </w:rPr>
              <w:t>客户的资</w:t>
            </w:r>
          </w:p>
          <w:p>
            <w:pPr>
              <w:pStyle w:val="8"/>
              <w:jc w:val="right"/>
            </w:pPr>
            <w:r>
              <w:rPr>
                <w:spacing w:val="-4"/>
              </w:rPr>
              <w:t>金</w:t>
            </w:r>
            <w:r>
              <w:rPr>
                <w:position w:val="-7"/>
              </w:rPr>
              <w:drawing>
                <wp:inline distT="0" distB="0" distL="0" distR="0">
                  <wp:extent cx="4445" cy="5715"/>
                  <wp:effectExtent l="0" t="0" r="0" b="0"/>
                  <wp:docPr id="1252" name="IM 1252"/>
                  <wp:cNvGraphicFramePr/>
                  <a:graphic xmlns:a="http://schemas.openxmlformats.org/drawingml/2006/main">
                    <a:graphicData uri="http://schemas.openxmlformats.org/drawingml/2006/picture">
                      <pic:pic xmlns:pic="http://schemas.openxmlformats.org/drawingml/2006/picture">
                        <pic:nvPicPr>
                          <pic:cNvPr id="1252" name="IM 1252"/>
                          <pic:cNvPicPr/>
                        </pic:nvPicPr>
                        <pic:blipFill>
                          <a:blip r:embed="rId81"/>
                          <a:stretch>
                            <a:fillRect/>
                          </a:stretch>
                        </pic:blipFill>
                        <pic:spPr>
                          <a:xfrm>
                            <a:off x="0" y="0"/>
                            <a:ext cx="4678" cy="6095"/>
                          </a:xfrm>
                          <a:prstGeom prst="rect">
                            <a:avLst/>
                          </a:prstGeom>
                        </pic:spPr>
                      </pic:pic>
                    </a:graphicData>
                  </a:graphic>
                </wp:inline>
              </w:drawing>
            </w:r>
            <w:r>
              <w:rPr>
                <w:position w:val="24"/>
              </w:rPr>
              <w:drawing>
                <wp:inline distT="0" distB="0" distL="0" distR="0">
                  <wp:extent cx="4445" cy="5715"/>
                  <wp:effectExtent l="0" t="0" r="0" b="0"/>
                  <wp:docPr id="1254" name="IM 1254"/>
                  <wp:cNvGraphicFramePr/>
                  <a:graphic xmlns:a="http://schemas.openxmlformats.org/drawingml/2006/main">
                    <a:graphicData uri="http://schemas.openxmlformats.org/drawingml/2006/picture">
                      <pic:pic xmlns:pic="http://schemas.openxmlformats.org/drawingml/2006/picture">
                        <pic:nvPicPr>
                          <pic:cNvPr id="1254" name="IM 1254"/>
                          <pic:cNvPicPr/>
                        </pic:nvPicPr>
                        <pic:blipFill>
                          <a:blip r:embed="rId74"/>
                          <a:stretch>
                            <a:fillRect/>
                          </a:stretch>
                        </pic:blipFill>
                        <pic:spPr>
                          <a:xfrm>
                            <a:off x="0" y="0"/>
                            <a:ext cx="4678" cy="6095"/>
                          </a:xfrm>
                          <a:prstGeom prst="rect">
                            <a:avLst/>
                          </a:prstGeom>
                        </pic:spPr>
                      </pic:pic>
                    </a:graphicData>
                  </a:graphic>
                </wp:inline>
              </w:drawing>
            </w:r>
            <w:r>
              <w:rPr>
                <w:position w:val="-6"/>
              </w:rPr>
              <w:drawing>
                <wp:inline distT="0" distB="0" distL="0" distR="0">
                  <wp:extent cx="4445" cy="198120"/>
                  <wp:effectExtent l="0" t="0" r="0" b="0"/>
                  <wp:docPr id="1256" name="IM 1256"/>
                  <wp:cNvGraphicFramePr/>
                  <a:graphic xmlns:a="http://schemas.openxmlformats.org/drawingml/2006/main">
                    <a:graphicData uri="http://schemas.openxmlformats.org/drawingml/2006/picture">
                      <pic:pic xmlns:pic="http://schemas.openxmlformats.org/drawingml/2006/picture">
                        <pic:nvPicPr>
                          <pic:cNvPr id="1256" name="IM 1256"/>
                          <pic:cNvPicPr/>
                        </pic:nvPicPr>
                        <pic:blipFill>
                          <a:blip r:embed="rId76"/>
                          <a:stretch>
                            <a:fillRect/>
                          </a:stretch>
                        </pic:blipFill>
                        <pic:spPr>
                          <a:xfrm>
                            <a:off x="0" y="0"/>
                            <a:ext cx="4678" cy="198120"/>
                          </a:xfrm>
                          <a:prstGeom prst="rect">
                            <a:avLst/>
                          </a:prstGeom>
                        </pic:spPr>
                      </pic:pic>
                    </a:graphicData>
                  </a:graphic>
                </wp:inline>
              </w:drawing>
            </w:r>
            <w:r>
              <w:rPr>
                <w:spacing w:val="-4"/>
                <w:u w:val="single" w:color="auto"/>
                <w:shd w:val="clear" w:fill="D9D9D9"/>
              </w:rPr>
              <w:t>或者证券</w:t>
            </w:r>
            <w:r>
              <w:rPr>
                <w:position w:val="-7"/>
              </w:rPr>
              <w:drawing>
                <wp:inline distT="0" distB="0" distL="0" distR="0">
                  <wp:extent cx="4445" cy="210185"/>
                  <wp:effectExtent l="0" t="0" r="0" b="0"/>
                  <wp:docPr id="1258" name="IM 1258"/>
                  <wp:cNvGraphicFramePr/>
                  <a:graphic xmlns:a="http://schemas.openxmlformats.org/drawingml/2006/main">
                    <a:graphicData uri="http://schemas.openxmlformats.org/drawingml/2006/picture">
                      <pic:pic xmlns:pic="http://schemas.openxmlformats.org/drawingml/2006/picture">
                        <pic:nvPicPr>
                          <pic:cNvPr id="1258" name="IM 1258"/>
                          <pic:cNvPicPr/>
                        </pic:nvPicPr>
                        <pic:blipFill>
                          <a:blip r:embed="rId100"/>
                          <a:stretch>
                            <a:fillRect/>
                          </a:stretch>
                        </pic:blipFill>
                        <pic:spPr>
                          <a:xfrm>
                            <a:off x="0" y="0"/>
                            <a:ext cx="4678" cy="210311"/>
                          </a:xfrm>
                          <a:prstGeom prst="rect">
                            <a:avLst/>
                          </a:prstGeom>
                        </pic:spPr>
                      </pic:pic>
                    </a:graphicData>
                  </a:graphic>
                </wp:inline>
              </w:drawing>
            </w:r>
            <w:r>
              <w:rPr>
                <w:position w:val="24"/>
              </w:rPr>
              <w:drawing>
                <wp:inline distT="0" distB="0" distL="0" distR="0">
                  <wp:extent cx="4445" cy="5715"/>
                  <wp:effectExtent l="0" t="0" r="0" b="0"/>
                  <wp:docPr id="1260" name="IM 1260"/>
                  <wp:cNvGraphicFramePr/>
                  <a:graphic xmlns:a="http://schemas.openxmlformats.org/drawingml/2006/main">
                    <a:graphicData uri="http://schemas.openxmlformats.org/drawingml/2006/picture">
                      <pic:pic xmlns:pic="http://schemas.openxmlformats.org/drawingml/2006/picture">
                        <pic:nvPicPr>
                          <pic:cNvPr id="1260" name="IM 1260"/>
                          <pic:cNvPicPr/>
                        </pic:nvPicPr>
                        <pic:blipFill>
                          <a:blip r:embed="rId72"/>
                          <a:stretch>
                            <a:fillRect/>
                          </a:stretch>
                        </pic:blipFill>
                        <pic:spPr>
                          <a:xfrm>
                            <a:off x="0" y="0"/>
                            <a:ext cx="4678" cy="6095"/>
                          </a:xfrm>
                          <a:prstGeom prst="rect">
                            <a:avLst/>
                          </a:prstGeom>
                        </pic:spPr>
                      </pic:pic>
                    </a:graphicData>
                  </a:graphic>
                </wp:inline>
              </w:drawing>
            </w:r>
            <w:r>
              <w:rPr>
                <w:spacing w:val="-87"/>
              </w:rPr>
              <w:t xml:space="preserve"> </w:t>
            </w:r>
            <w:r>
              <w:rPr>
                <w:spacing w:val="-4"/>
              </w:rPr>
              <w:t>，或者</w:t>
            </w:r>
            <w:r>
              <w:rPr>
                <w:spacing w:val="-118"/>
              </w:rPr>
              <w:t xml:space="preserve"> </w:t>
            </w:r>
            <w:r>
              <w:rPr>
                <w:position w:val="-7"/>
              </w:rPr>
              <w:drawing>
                <wp:inline distT="0" distB="0" distL="0" distR="0">
                  <wp:extent cx="4445" cy="5715"/>
                  <wp:effectExtent l="0" t="0" r="0" b="0"/>
                  <wp:docPr id="1262" name="IM 1262"/>
                  <wp:cNvGraphicFramePr/>
                  <a:graphic xmlns:a="http://schemas.openxmlformats.org/drawingml/2006/main">
                    <a:graphicData uri="http://schemas.openxmlformats.org/drawingml/2006/picture">
                      <pic:pic xmlns:pic="http://schemas.openxmlformats.org/drawingml/2006/picture">
                        <pic:nvPicPr>
                          <pic:cNvPr id="1262" name="IM 1262"/>
                          <pic:cNvPicPr/>
                        </pic:nvPicPr>
                        <pic:blipFill>
                          <a:blip r:embed="rId78"/>
                          <a:stretch>
                            <a:fillRect/>
                          </a:stretch>
                        </pic:blipFill>
                        <pic:spPr>
                          <a:xfrm>
                            <a:off x="0" y="0"/>
                            <a:ext cx="4678" cy="6095"/>
                          </a:xfrm>
                          <a:prstGeom prst="rect">
                            <a:avLst/>
                          </a:prstGeom>
                        </pic:spPr>
                      </pic:pic>
                    </a:graphicData>
                  </a:graphic>
                </wp:inline>
              </w:drawing>
            </w:r>
            <w:r>
              <w:rPr>
                <w:position w:val="-6"/>
              </w:rPr>
              <w:drawing>
                <wp:inline distT="0" distB="0" distL="0" distR="0">
                  <wp:extent cx="4445" cy="198120"/>
                  <wp:effectExtent l="0" t="0" r="0" b="0"/>
                  <wp:docPr id="1264" name="IM 1264"/>
                  <wp:cNvGraphicFramePr/>
                  <a:graphic xmlns:a="http://schemas.openxmlformats.org/drawingml/2006/main">
                    <a:graphicData uri="http://schemas.openxmlformats.org/drawingml/2006/picture">
                      <pic:pic xmlns:pic="http://schemas.openxmlformats.org/drawingml/2006/picture">
                        <pic:nvPicPr>
                          <pic:cNvPr id="1264" name="IM 1264"/>
                          <pic:cNvPicPr/>
                        </pic:nvPicPr>
                        <pic:blipFill>
                          <a:blip r:embed="rId88"/>
                          <a:stretch>
                            <a:fillRect/>
                          </a:stretch>
                        </pic:blipFill>
                        <pic:spPr>
                          <a:xfrm>
                            <a:off x="0" y="0"/>
                            <a:ext cx="4678" cy="198120"/>
                          </a:xfrm>
                          <a:prstGeom prst="rect">
                            <a:avLst/>
                          </a:prstGeom>
                        </pic:spPr>
                      </pic:pic>
                    </a:graphicData>
                  </a:graphic>
                </wp:inline>
              </w:drawing>
            </w:r>
            <w:r>
              <w:rPr>
                <w:spacing w:val="-4"/>
                <w:u w:val="single" w:color="auto"/>
                <w:shd w:val="clear" w:fill="D9D9D9"/>
              </w:rPr>
              <w:t>未经</w:t>
            </w:r>
            <w:r>
              <w:rPr>
                <w:position w:val="-7"/>
              </w:rPr>
              <w:drawing>
                <wp:inline distT="0" distB="0" distL="0" distR="0">
                  <wp:extent cx="4445" cy="203835"/>
                  <wp:effectExtent l="0" t="0" r="0" b="0"/>
                  <wp:docPr id="1266" name="IM 1266"/>
                  <wp:cNvGraphicFramePr/>
                  <a:graphic xmlns:a="http://schemas.openxmlformats.org/drawingml/2006/main">
                    <a:graphicData uri="http://schemas.openxmlformats.org/drawingml/2006/picture">
                      <pic:pic xmlns:pic="http://schemas.openxmlformats.org/drawingml/2006/picture">
                        <pic:nvPicPr>
                          <pic:cNvPr id="1266" name="IM 1266"/>
                          <pic:cNvPicPr/>
                        </pic:nvPicPr>
                        <pic:blipFill>
                          <a:blip r:embed="rId80"/>
                          <a:stretch>
                            <a:fillRect/>
                          </a:stretch>
                        </pic:blipFill>
                        <pic:spPr>
                          <a:xfrm>
                            <a:off x="0" y="0"/>
                            <a:ext cx="4678" cy="204216"/>
                          </a:xfrm>
                          <a:prstGeom prst="rect">
                            <a:avLst/>
                          </a:prstGeom>
                        </pic:spPr>
                      </pic:pic>
                    </a:graphicData>
                  </a:graphic>
                </wp:inline>
              </w:drawing>
            </w:r>
            <w:r>
              <w:rPr>
                <w:spacing w:val="-4"/>
              </w:rPr>
              <w:t>客户的</w:t>
            </w:r>
            <w:r>
              <w:rPr>
                <w:position w:val="-7"/>
              </w:rPr>
              <w:drawing>
                <wp:inline distT="0" distB="0" distL="0" distR="0">
                  <wp:extent cx="4445" cy="203835"/>
                  <wp:effectExtent l="0" t="0" r="0" b="0"/>
                  <wp:docPr id="1268" name="IM 1268"/>
                  <wp:cNvGraphicFramePr/>
                  <a:graphic xmlns:a="http://schemas.openxmlformats.org/drawingml/2006/main">
                    <a:graphicData uri="http://schemas.openxmlformats.org/drawingml/2006/picture">
                      <pic:pic xmlns:pic="http://schemas.openxmlformats.org/drawingml/2006/picture">
                        <pic:nvPicPr>
                          <pic:cNvPr id="1268" name="IM 1268"/>
                          <pic:cNvPicPr/>
                        </pic:nvPicPr>
                        <pic:blipFill>
                          <a:blip r:embed="rId80"/>
                          <a:stretch>
                            <a:fillRect/>
                          </a:stretch>
                        </pic:blipFill>
                        <pic:spPr>
                          <a:xfrm>
                            <a:off x="0" y="0"/>
                            <a:ext cx="4678" cy="204216"/>
                          </a:xfrm>
                          <a:prstGeom prst="rect">
                            <a:avLst/>
                          </a:prstGeom>
                        </pic:spPr>
                      </pic:pic>
                    </a:graphicData>
                  </a:graphic>
                </wp:inline>
              </w:drawing>
            </w:r>
            <w:r>
              <w:rPr>
                <w:spacing w:val="-4"/>
                <w:u w:val="single" w:color="auto"/>
                <w:shd w:val="clear" w:fill="D9D9D9"/>
              </w:rPr>
              <w:t>委托，擅自为客户买卖</w:t>
            </w:r>
            <w:r>
              <w:rPr>
                <w:position w:val="-7"/>
              </w:rPr>
              <w:drawing>
                <wp:inline distT="0" distB="0" distL="0" distR="0">
                  <wp:extent cx="4445" cy="203835"/>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73"/>
                          <a:stretch>
                            <a:fillRect/>
                          </a:stretch>
                        </pic:blipFill>
                        <pic:spPr>
                          <a:xfrm>
                            <a:off x="0" y="0"/>
                            <a:ext cx="4678" cy="204216"/>
                          </a:xfrm>
                          <a:prstGeom prst="rect">
                            <a:avLst/>
                          </a:prstGeom>
                        </pic:spPr>
                      </pic:pic>
                    </a:graphicData>
                  </a:graphic>
                </wp:inline>
              </w:drawing>
            </w:r>
            <w:r>
              <w:rPr>
                <w:spacing w:val="-5"/>
              </w:rPr>
              <w:t>证券的， 责令</w:t>
            </w:r>
          </w:p>
          <w:p>
            <w:pPr>
              <w:pStyle w:val="8"/>
              <w:spacing w:before="10" w:line="242" w:lineRule="auto"/>
              <w:ind w:left="21" w:firstLine="17"/>
            </w:pPr>
            <w:r>
              <w:rPr>
                <w:spacing w:val="2"/>
              </w:rPr>
              <w:t>改正，没收违法所得，并处以违法所得一倍以上</w:t>
            </w:r>
            <w:r>
              <w:rPr>
                <w:position w:val="-7"/>
              </w:rPr>
              <w:drawing>
                <wp:inline distT="0" distB="0" distL="0" distR="0">
                  <wp:extent cx="7620" cy="203835"/>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110"/>
                          <a:stretch>
                            <a:fillRect/>
                          </a:stretch>
                        </pic:blipFill>
                        <pic:spPr>
                          <a:xfrm>
                            <a:off x="0" y="0"/>
                            <a:ext cx="7929" cy="204216"/>
                          </a:xfrm>
                          <a:prstGeom prst="rect">
                            <a:avLst/>
                          </a:prstGeom>
                        </pic:spPr>
                      </pic:pic>
                    </a:graphicData>
                  </a:graphic>
                </wp:inline>
              </w:drawing>
            </w:r>
            <w:r>
              <w:rPr>
                <w:spacing w:val="2"/>
                <w:u w:val="single" w:color="auto"/>
                <w:shd w:val="clear" w:fill="D9D9D9"/>
              </w:rPr>
              <w:t>五</w:t>
            </w:r>
            <w:r>
              <w:rPr>
                <w:position w:val="-7"/>
              </w:rPr>
              <w:drawing>
                <wp:inline distT="0" distB="0" distL="0" distR="0">
                  <wp:extent cx="7620" cy="203835"/>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85"/>
                          <a:stretch>
                            <a:fillRect/>
                          </a:stretch>
                        </pic:blipFill>
                        <pic:spPr>
                          <a:xfrm>
                            <a:off x="0" y="0"/>
                            <a:ext cx="7929" cy="204216"/>
                          </a:xfrm>
                          <a:prstGeom prst="rect">
                            <a:avLst/>
                          </a:prstGeom>
                        </pic:spPr>
                      </pic:pic>
                    </a:graphicData>
                  </a:graphic>
                </wp:inline>
              </w:drawing>
            </w:r>
            <w:r>
              <w:rPr>
                <w:spacing w:val="2"/>
              </w:rPr>
              <w:t>倍以下</w:t>
            </w:r>
            <w:r>
              <w:rPr>
                <w:spacing w:val="1"/>
              </w:rPr>
              <w:t>的</w:t>
            </w:r>
            <w:r>
              <w:rPr>
                <w:spacing w:val="1"/>
                <w:u w:val="single" w:color="auto"/>
              </w:rPr>
              <w:t>罚款</w:t>
            </w:r>
            <w:r>
              <w:rPr>
                <w:spacing w:val="1"/>
              </w:rPr>
              <w:t>；</w:t>
            </w:r>
            <w:r>
              <w:t xml:space="preserve"> </w:t>
            </w:r>
            <w:r>
              <w:rPr>
                <w:spacing w:val="-3"/>
              </w:rPr>
              <w:t>没有违法所得或者违法所得不足十万元的， 处以十万元</w:t>
            </w:r>
            <w:r>
              <w:rPr>
                <w:spacing w:val="-4"/>
              </w:rPr>
              <w:t>以上</w:t>
            </w:r>
            <w:r>
              <w:rPr>
                <w:position w:val="-7"/>
              </w:rPr>
              <w:drawing>
                <wp:inline distT="0" distB="0" distL="0" distR="0">
                  <wp:extent cx="3810" cy="203835"/>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83"/>
                          <a:stretch>
                            <a:fillRect/>
                          </a:stretch>
                        </pic:blipFill>
                        <pic:spPr>
                          <a:xfrm>
                            <a:off x="0" y="0"/>
                            <a:ext cx="4002" cy="204215"/>
                          </a:xfrm>
                          <a:prstGeom prst="rect">
                            <a:avLst/>
                          </a:prstGeom>
                        </pic:spPr>
                      </pic:pic>
                    </a:graphicData>
                  </a:graphic>
                </wp:inline>
              </w:drawing>
            </w:r>
            <w:r>
              <w:rPr>
                <w:position w:val="-7"/>
              </w:rPr>
              <w:drawing>
                <wp:inline distT="0" distB="0" distL="0" distR="0">
                  <wp:extent cx="3810" cy="5715"/>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99"/>
                          <a:stretch>
                            <a:fillRect/>
                          </a:stretch>
                        </pic:blipFill>
                        <pic:spPr>
                          <a:xfrm>
                            <a:off x="0" y="0"/>
                            <a:ext cx="4002" cy="6095"/>
                          </a:xfrm>
                          <a:prstGeom prst="rect">
                            <a:avLst/>
                          </a:prstGeom>
                        </pic:spPr>
                      </pic:pic>
                    </a:graphicData>
                  </a:graphic>
                </wp:inline>
              </w:drawing>
            </w:r>
            <w:r>
              <w:rPr>
                <w:spacing w:val="-101"/>
                <w:u w:val="single" w:color="auto"/>
                <w:shd w:val="clear" w:fill="D9D9D9"/>
              </w:rPr>
              <w:t xml:space="preserve"> </w:t>
            </w:r>
            <w:r>
              <w:rPr>
                <w:spacing w:val="-4"/>
                <w:u w:val="single" w:color="auto"/>
                <w:shd w:val="clear" w:fill="D9D9D9"/>
              </w:rPr>
              <w:t>六十</w:t>
            </w:r>
            <w:r>
              <w:rPr>
                <w:position w:val="-7"/>
              </w:rPr>
              <w:drawing>
                <wp:inline distT="0" distB="0" distL="0" distR="0">
                  <wp:extent cx="3810" cy="203835"/>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70"/>
                          <a:stretch>
                            <a:fillRect/>
                          </a:stretch>
                        </pic:blipFill>
                        <pic:spPr>
                          <a:xfrm>
                            <a:off x="0" y="0"/>
                            <a:ext cx="4002" cy="204215"/>
                          </a:xfrm>
                          <a:prstGeom prst="rect">
                            <a:avLst/>
                          </a:prstGeom>
                        </pic:spPr>
                      </pic:pic>
                    </a:graphicData>
                  </a:graphic>
                </wp:inline>
              </w:drawing>
            </w:r>
            <w:r>
              <w:rPr>
                <w:position w:val="-7"/>
              </w:rPr>
              <w:drawing>
                <wp:inline distT="0" distB="0" distL="0" distR="0">
                  <wp:extent cx="3810" cy="5715"/>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104"/>
                          <a:stretch>
                            <a:fillRect/>
                          </a:stretch>
                        </pic:blipFill>
                        <pic:spPr>
                          <a:xfrm>
                            <a:off x="0" y="0"/>
                            <a:ext cx="4002" cy="6095"/>
                          </a:xfrm>
                          <a:prstGeom prst="rect">
                            <a:avLst/>
                          </a:prstGeom>
                        </pic:spPr>
                      </pic:pic>
                    </a:graphicData>
                  </a:graphic>
                </wp:inline>
              </w:drawing>
            </w:r>
            <w:r>
              <w:rPr>
                <w:spacing w:val="-97"/>
              </w:rPr>
              <w:t xml:space="preserve"> </w:t>
            </w:r>
            <w:r>
              <w:rPr>
                <w:spacing w:val="-4"/>
              </w:rPr>
              <w:t>万</w:t>
            </w:r>
            <w:r>
              <w:t xml:space="preserve"> </w:t>
            </w:r>
            <w:r>
              <w:rPr>
                <w:spacing w:val="-1"/>
              </w:rPr>
              <w:t>元以下的罚款； 情节严重的，责令关闭或者撤销相关</w:t>
            </w:r>
            <w:r>
              <w:rPr>
                <w:spacing w:val="-1"/>
                <w:u w:val="single" w:color="auto"/>
              </w:rPr>
              <w:t>业务许可。对</w:t>
            </w:r>
            <w:r>
              <w:rPr>
                <w:spacing w:val="6"/>
              </w:rPr>
              <w:t xml:space="preserve"> </w:t>
            </w:r>
            <w:r>
              <w:rPr>
                <w:spacing w:val="2"/>
              </w:rPr>
              <w:t>直接负责的主管人员和其他直接责任人员给予警告，</w:t>
            </w:r>
            <w:r>
              <w:rPr>
                <w:position w:val="-6"/>
              </w:rPr>
              <w:drawing>
                <wp:inline distT="0" distB="0" distL="0" distR="0">
                  <wp:extent cx="5715" cy="1981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76"/>
                          <a:stretch>
                            <a:fillRect/>
                          </a:stretch>
                        </pic:blipFill>
                        <pic:spPr>
                          <a:xfrm>
                            <a:off x="0" y="0"/>
                            <a:ext cx="6089" cy="198120"/>
                          </a:xfrm>
                          <a:prstGeom prst="rect">
                            <a:avLst/>
                          </a:prstGeom>
                        </pic:spPr>
                      </pic:pic>
                    </a:graphicData>
                  </a:graphic>
                </wp:inline>
              </w:drawing>
            </w:r>
            <w:r>
              <w:rPr>
                <w:spacing w:val="2"/>
                <w:shd w:val="clear" w:fill="D9D9D9"/>
              </w:rPr>
              <w:t>撤销任职资格</w:t>
            </w:r>
          </w:p>
        </w:tc>
        <w:tc>
          <w:tcPr>
            <w:tcW w:w="6890" w:type="dxa"/>
            <w:vMerge w:val="restart"/>
            <w:tcBorders>
              <w:top w:val="single" w:color="000000" w:sz="6" w:space="0"/>
              <w:left w:val="single" w:color="000000" w:sz="6" w:space="0"/>
              <w:bottom w:val="nil"/>
              <w:right w:val="single" w:color="000000" w:sz="6" w:space="0"/>
            </w:tcBorders>
            <w:vAlign w:val="top"/>
          </w:tcPr>
          <w:p>
            <w:pPr>
              <w:pStyle w:val="8"/>
              <w:spacing w:before="44" w:line="236" w:lineRule="auto"/>
              <w:ind w:left="19" w:right="6" w:firstLine="497"/>
              <w:jc w:val="both"/>
            </w:pPr>
            <w:r>
              <w:rPr>
                <w:rFonts w:ascii="黑体" w:hAnsi="黑体" w:eastAsia="黑体" w:cs="黑体"/>
                <w:spacing w:val="4"/>
              </w:rPr>
              <w:t xml:space="preserve">第二百零八条  </w:t>
            </w:r>
            <w:r>
              <w:rPr>
                <w:spacing w:val="4"/>
              </w:rPr>
              <w:t>违反本法第</w:t>
            </w:r>
            <w:r>
              <w:rPr>
                <w:rFonts w:ascii="黑体" w:hAnsi="黑体" w:eastAsia="黑体" w:cs="黑体"/>
                <w:spacing w:val="4"/>
              </w:rPr>
              <w:t>一百三十一</w:t>
            </w:r>
            <w:r>
              <w:rPr>
                <w:spacing w:val="4"/>
              </w:rPr>
              <w:t>条的规定，将客户的</w:t>
            </w:r>
            <w:r>
              <w:rPr>
                <w:spacing w:val="2"/>
              </w:rPr>
              <w:t xml:space="preserve"> </w:t>
            </w:r>
            <w:r>
              <w:rPr>
                <w:spacing w:val="4"/>
              </w:rPr>
              <w:t>资金和证券归入自有财产，或者挪用客户的资金和证券的，责令</w:t>
            </w:r>
            <w:r>
              <w:rPr>
                <w:spacing w:val="15"/>
              </w:rPr>
              <w:t xml:space="preserve"> </w:t>
            </w:r>
            <w:r>
              <w:rPr>
                <w:spacing w:val="4"/>
              </w:rPr>
              <w:t>改正，</w:t>
            </w:r>
            <w:r>
              <w:rPr>
                <w:rFonts w:ascii="黑体" w:hAnsi="黑体" w:eastAsia="黑体" w:cs="黑体"/>
                <w:spacing w:val="4"/>
              </w:rPr>
              <w:t>给予警告，</w:t>
            </w:r>
            <w:r>
              <w:rPr>
                <w:spacing w:val="4"/>
              </w:rPr>
              <w:t>没收违法所得，并处以违法所得一倍以上</w:t>
            </w:r>
            <w:r>
              <w:rPr>
                <w:rFonts w:ascii="黑体" w:hAnsi="黑体" w:eastAsia="黑体" w:cs="黑体"/>
                <w:spacing w:val="4"/>
              </w:rPr>
              <w:t>十</w:t>
            </w:r>
            <w:r>
              <w:rPr>
                <w:spacing w:val="4"/>
              </w:rPr>
              <w:t>倍</w:t>
            </w:r>
            <w:r>
              <w:rPr>
                <w:spacing w:val="15"/>
              </w:rPr>
              <w:t xml:space="preserve"> </w:t>
            </w:r>
            <w:r>
              <w:rPr>
                <w:spacing w:val="4"/>
              </w:rPr>
              <w:t>以下的罚款；没有违法所得或者违法所得不足</w:t>
            </w:r>
            <w:r>
              <w:rPr>
                <w:rFonts w:ascii="黑体" w:hAnsi="黑体" w:eastAsia="黑体" w:cs="黑体"/>
                <w:spacing w:val="4"/>
              </w:rPr>
              <w:t>一百</w:t>
            </w:r>
            <w:r>
              <w:rPr>
                <w:spacing w:val="4"/>
              </w:rPr>
              <w:t>万元的，处以</w:t>
            </w:r>
            <w:r>
              <w:rPr>
                <w:spacing w:val="15"/>
              </w:rPr>
              <w:t xml:space="preserve"> </w:t>
            </w:r>
            <w:r>
              <w:rPr>
                <w:rFonts w:ascii="黑体" w:hAnsi="黑体" w:eastAsia="黑体" w:cs="黑体"/>
                <w:spacing w:val="4"/>
              </w:rPr>
              <w:t>一百</w:t>
            </w:r>
            <w:r>
              <w:rPr>
                <w:spacing w:val="4"/>
              </w:rPr>
              <w:t>万元以上</w:t>
            </w:r>
            <w:r>
              <w:rPr>
                <w:rFonts w:ascii="黑体" w:hAnsi="黑体" w:eastAsia="黑体" w:cs="黑体"/>
                <w:spacing w:val="4"/>
              </w:rPr>
              <w:t>一千</w:t>
            </w:r>
            <w:r>
              <w:rPr>
                <w:spacing w:val="4"/>
              </w:rPr>
              <w:t>万元以下的罚款；情节严重的，</w:t>
            </w:r>
            <w:r>
              <w:rPr>
                <w:rFonts w:ascii="黑体" w:hAnsi="黑体" w:eastAsia="黑体" w:cs="黑体"/>
                <w:spacing w:val="4"/>
              </w:rPr>
              <w:t>并处</w:t>
            </w:r>
            <w:r>
              <w:rPr>
                <w:spacing w:val="4"/>
              </w:rPr>
              <w:t>撤销相关</w:t>
            </w:r>
            <w:r>
              <w:rPr>
                <w:spacing w:val="15"/>
              </w:rPr>
              <w:t xml:space="preserve"> </w:t>
            </w:r>
            <w:r>
              <w:rPr>
                <w:spacing w:val="4"/>
              </w:rPr>
              <w:t>业务许可或者责令关闭。对直接负责的主管人员和其他直接责任</w:t>
            </w:r>
            <w:r>
              <w:rPr>
                <w:spacing w:val="14"/>
              </w:rPr>
              <w:t xml:space="preserve"> </w:t>
            </w:r>
            <w:r>
              <w:rPr>
                <w:spacing w:val="-2"/>
              </w:rPr>
              <w:t>人员给予警告，并处以</w:t>
            </w:r>
            <w:r>
              <w:rPr>
                <w:rFonts w:ascii="黑体" w:hAnsi="黑体" w:eastAsia="黑体" w:cs="黑体"/>
                <w:spacing w:val="-2"/>
              </w:rPr>
              <w:t>五</w:t>
            </w:r>
            <w:r>
              <w:rPr>
                <w:spacing w:val="-2"/>
              </w:rPr>
              <w:t>十万元以上</w:t>
            </w:r>
            <w:r>
              <w:rPr>
                <w:rFonts w:ascii="黑体" w:hAnsi="黑体" w:eastAsia="黑体" w:cs="黑体"/>
                <w:spacing w:val="-2"/>
              </w:rPr>
              <w:t>五</w:t>
            </w:r>
            <w:r>
              <w:rPr>
                <w:spacing w:val="-2"/>
              </w:rPr>
              <w:t>百万元以下的</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201" w:type="dxa"/>
            <w:gridSpan w:val="3"/>
            <w:tcBorders>
              <w:left w:val="single" w:color="000000" w:sz="6" w:space="0"/>
              <w:bottom w:val="single" w:color="000000" w:sz="6" w:space="0"/>
            </w:tcBorders>
            <w:shd w:val="clear" w:color="auto" w:fill="D9D9D9"/>
            <w:vAlign w:val="top"/>
          </w:tcPr>
          <w:p>
            <w:pPr>
              <w:pStyle w:val="8"/>
              <w:spacing w:before="40" w:line="210" w:lineRule="auto"/>
              <w:ind w:left="23"/>
            </w:pPr>
            <w:r>
              <w:rPr>
                <w:spacing w:val="-7"/>
              </w:rPr>
              <w:t>或者证券从业资格，</w:t>
            </w:r>
          </w:p>
        </w:tc>
        <w:tc>
          <w:tcPr>
            <w:tcW w:w="739" w:type="dxa"/>
            <w:gridSpan w:val="2"/>
            <w:tcBorders>
              <w:top w:val="nil"/>
              <w:bottom w:val="single" w:color="000000" w:sz="6" w:space="0"/>
            </w:tcBorders>
            <w:vAlign w:val="top"/>
          </w:tcPr>
          <w:p>
            <w:pPr>
              <w:pStyle w:val="8"/>
              <w:spacing w:before="40" w:line="210" w:lineRule="auto"/>
              <w:ind w:left="4"/>
            </w:pPr>
            <w:r>
              <w:rPr>
                <w:spacing w:val="-4"/>
              </w:rPr>
              <w:t>并处以</w:t>
            </w:r>
          </w:p>
        </w:tc>
        <w:tc>
          <w:tcPr>
            <w:tcW w:w="248" w:type="dxa"/>
            <w:tcBorders>
              <w:bottom w:val="single" w:color="000000" w:sz="6" w:space="0"/>
            </w:tcBorders>
            <w:shd w:val="clear" w:color="auto" w:fill="D9D9D9"/>
            <w:vAlign w:val="top"/>
          </w:tcPr>
          <w:p>
            <w:pPr>
              <w:pStyle w:val="8"/>
              <w:spacing w:before="40" w:line="210" w:lineRule="auto"/>
              <w:jc w:val="right"/>
            </w:pPr>
            <w:r>
              <w:rPr>
                <w:spacing w:val="-28"/>
              </w:rPr>
              <w:t>三</w:t>
            </w:r>
          </w:p>
        </w:tc>
        <w:tc>
          <w:tcPr>
            <w:tcW w:w="979" w:type="dxa"/>
            <w:gridSpan w:val="3"/>
            <w:tcBorders>
              <w:top w:val="nil"/>
              <w:bottom w:val="single" w:color="000000" w:sz="6" w:space="0"/>
            </w:tcBorders>
            <w:vAlign w:val="top"/>
          </w:tcPr>
          <w:p>
            <w:pPr>
              <w:pStyle w:val="8"/>
              <w:spacing w:before="40" w:line="210" w:lineRule="auto"/>
              <w:ind w:left="2"/>
            </w:pPr>
            <w:r>
              <w:rPr>
                <w:spacing w:val="-5"/>
              </w:rPr>
              <w:t>万元以上</w:t>
            </w:r>
          </w:p>
        </w:tc>
        <w:tc>
          <w:tcPr>
            <w:tcW w:w="489" w:type="dxa"/>
            <w:tcBorders>
              <w:bottom w:val="single" w:color="000000" w:sz="6" w:space="0"/>
            </w:tcBorders>
            <w:shd w:val="clear" w:color="auto" w:fill="D9D9D9"/>
            <w:vAlign w:val="top"/>
          </w:tcPr>
          <w:p>
            <w:pPr>
              <w:pStyle w:val="8"/>
              <w:spacing w:before="40" w:line="210" w:lineRule="auto"/>
            </w:pPr>
            <w:r>
              <w:rPr>
                <w:spacing w:val="-8"/>
              </w:rPr>
              <w:t>三十</w:t>
            </w:r>
          </w:p>
        </w:tc>
        <w:tc>
          <w:tcPr>
            <w:tcW w:w="2438" w:type="dxa"/>
            <w:gridSpan w:val="5"/>
            <w:tcBorders>
              <w:bottom w:val="single" w:color="000000" w:sz="6" w:space="0"/>
              <w:right w:val="single" w:color="000000" w:sz="6" w:space="0"/>
            </w:tcBorders>
            <w:vAlign w:val="top"/>
          </w:tcPr>
          <w:p>
            <w:pPr>
              <w:pStyle w:val="8"/>
              <w:spacing w:before="40" w:line="210" w:lineRule="auto"/>
            </w:pPr>
            <w:r>
              <w:rPr>
                <w:spacing w:val="-9"/>
              </w:rPr>
              <w:t>万元以下的罚款。</w:t>
            </w:r>
          </w:p>
        </w:tc>
        <w:tc>
          <w:tcPr>
            <w:tcW w:w="6890"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201" w:type="dxa"/>
            <w:gridSpan w:val="3"/>
            <w:vMerge w:val="restart"/>
            <w:tcBorders>
              <w:top w:val="single" w:color="000000" w:sz="6" w:space="0"/>
              <w:left w:val="single" w:color="000000" w:sz="6" w:space="0"/>
              <w:bottom w:val="nil"/>
              <w:right w:val="nil"/>
            </w:tcBorders>
            <w:vAlign w:val="top"/>
          </w:tcPr>
          <w:p>
            <w:pPr>
              <w:pStyle w:val="8"/>
              <w:spacing w:before="50" w:line="224" w:lineRule="auto"/>
              <w:ind w:left="11" w:firstLine="500"/>
            </w:pPr>
            <w:r>
              <w:rPr>
                <w:rFonts w:ascii="黑体" w:hAnsi="黑体" w:eastAsia="黑体" w:cs="黑体"/>
              </w:rPr>
              <w:t xml:space="preserve">第二百一十二条 </w:t>
            </w:r>
            <w:r>
              <w:t>托买卖证券的，或者</w:t>
            </w:r>
          </w:p>
        </w:tc>
        <w:tc>
          <w:tcPr>
            <w:tcW w:w="1234" w:type="dxa"/>
            <w:gridSpan w:val="4"/>
            <w:tcBorders>
              <w:top w:val="single" w:color="000000" w:sz="6" w:space="0"/>
              <w:left w:val="nil"/>
            </w:tcBorders>
            <w:vAlign w:val="top"/>
          </w:tcPr>
          <w:p>
            <w:pPr>
              <w:pStyle w:val="8"/>
              <w:spacing w:before="52" w:line="192" w:lineRule="auto"/>
              <w:ind w:right="10"/>
              <w:jc w:val="right"/>
            </w:pPr>
            <w:r>
              <w:rPr>
                <w:spacing w:val="-2"/>
              </w:rPr>
              <w:t>证券公司</w:t>
            </w:r>
          </w:p>
        </w:tc>
        <w:tc>
          <w:tcPr>
            <w:tcW w:w="1710" w:type="dxa"/>
            <w:gridSpan w:val="5"/>
            <w:tcBorders>
              <w:top w:val="single" w:color="000000" w:sz="6" w:space="0"/>
            </w:tcBorders>
            <w:shd w:val="clear" w:color="auto" w:fill="D9D9D9"/>
            <w:vAlign w:val="top"/>
          </w:tcPr>
          <w:p>
            <w:pPr>
              <w:pStyle w:val="8"/>
              <w:spacing w:before="52" w:line="192" w:lineRule="auto"/>
              <w:ind w:left="19"/>
            </w:pPr>
            <w:r>
              <w:rPr>
                <w:spacing w:val="-6"/>
              </w:rPr>
              <w:t>办理经纪业务，</w:t>
            </w:r>
          </w:p>
        </w:tc>
        <w:tc>
          <w:tcPr>
            <w:tcW w:w="1949" w:type="dxa"/>
            <w:gridSpan w:val="3"/>
            <w:tcBorders>
              <w:top w:val="single" w:color="000000" w:sz="6" w:space="0"/>
              <w:bottom w:val="nil"/>
              <w:right w:val="single" w:color="000000" w:sz="6" w:space="0"/>
            </w:tcBorders>
            <w:vAlign w:val="top"/>
          </w:tcPr>
          <w:p>
            <w:pPr>
              <w:pStyle w:val="8"/>
              <w:spacing w:before="52" w:line="192" w:lineRule="auto"/>
              <w:jc w:val="right"/>
            </w:pPr>
            <w:r>
              <w:rPr>
                <w:spacing w:val="1"/>
              </w:rPr>
              <w:t>接受客户的全权委</w:t>
            </w:r>
          </w:p>
        </w:tc>
        <w:tc>
          <w:tcPr>
            <w:tcW w:w="6890" w:type="dxa"/>
            <w:vMerge w:val="restart"/>
            <w:tcBorders>
              <w:top w:val="single" w:color="000000" w:sz="6" w:space="0"/>
              <w:left w:val="single" w:color="000000" w:sz="6" w:space="0"/>
              <w:bottom w:val="nil"/>
              <w:right w:val="single" w:color="000000" w:sz="6" w:space="0"/>
            </w:tcBorders>
            <w:vAlign w:val="top"/>
          </w:tcPr>
          <w:p>
            <w:pPr>
              <w:pStyle w:val="8"/>
              <w:spacing w:before="37" w:line="233" w:lineRule="auto"/>
              <w:ind w:left="24" w:right="6" w:firstLine="492"/>
              <w:jc w:val="both"/>
            </w:pPr>
            <w:r>
              <w:rPr>
                <w:rFonts w:ascii="黑体" w:hAnsi="黑体" w:eastAsia="黑体" w:cs="黑体"/>
                <w:spacing w:val="4"/>
              </w:rPr>
              <w:t xml:space="preserve">第二百零九条  </w:t>
            </w:r>
            <w:r>
              <w:rPr>
                <w:spacing w:val="4"/>
              </w:rPr>
              <w:t>证券公司违反本法第</w:t>
            </w:r>
            <w:r>
              <w:rPr>
                <w:rFonts w:ascii="黑体" w:hAnsi="黑体" w:eastAsia="黑体" w:cs="黑体"/>
                <w:spacing w:val="4"/>
              </w:rPr>
              <w:t>一百三十四条第一款</w:t>
            </w:r>
            <w:r>
              <w:rPr>
                <w:spacing w:val="4"/>
              </w:rPr>
              <w:t>的</w:t>
            </w:r>
            <w:r>
              <w:rPr>
                <w:spacing w:val="2"/>
              </w:rPr>
              <w:t xml:space="preserve"> </w:t>
            </w:r>
            <w:r>
              <w:rPr>
                <w:spacing w:val="4"/>
              </w:rPr>
              <w:t>规定接受客户的全权委托买卖证券的，或者违反本法第</w:t>
            </w:r>
            <w:r>
              <w:rPr>
                <w:rFonts w:ascii="黑体" w:hAnsi="黑体" w:eastAsia="黑体" w:cs="黑体"/>
                <w:spacing w:val="4"/>
              </w:rPr>
              <w:t>一百三十</w:t>
            </w:r>
            <w:r>
              <w:rPr>
                <w:rFonts w:ascii="黑体" w:hAnsi="黑体" w:eastAsia="黑体" w:cs="黑体"/>
                <w:spacing w:val="10"/>
              </w:rPr>
              <w:t xml:space="preserve"> </w:t>
            </w:r>
            <w:r>
              <w:rPr>
                <w:rFonts w:ascii="黑体" w:hAnsi="黑体" w:eastAsia="黑体" w:cs="黑体"/>
                <w:spacing w:val="4"/>
              </w:rPr>
              <w:t>五</w:t>
            </w:r>
            <w:r>
              <w:rPr>
                <w:spacing w:val="4"/>
              </w:rPr>
              <w:t>条的规定对客户的收益或者赔偿客户的损失作出承诺的，责令</w:t>
            </w:r>
            <w:r>
              <w:rPr>
                <w:spacing w:val="10"/>
              </w:rPr>
              <w:t xml:space="preserve"> </w:t>
            </w:r>
            <w:r>
              <w:rPr>
                <w:spacing w:val="4"/>
              </w:rPr>
              <w:t>改正，</w:t>
            </w:r>
            <w:r>
              <w:rPr>
                <w:rFonts w:ascii="黑体" w:hAnsi="黑体" w:eastAsia="黑体" w:cs="黑体"/>
                <w:spacing w:val="4"/>
              </w:rPr>
              <w:t>给予警告，</w:t>
            </w:r>
            <w:r>
              <w:rPr>
                <w:spacing w:val="4"/>
              </w:rPr>
              <w:t>没收违法所得，并处以违法所得一倍以上</w:t>
            </w:r>
            <w:r>
              <w:rPr>
                <w:rFonts w:ascii="黑体" w:hAnsi="黑体" w:eastAsia="黑体" w:cs="黑体"/>
                <w:spacing w:val="4"/>
              </w:rPr>
              <w:t>十</w:t>
            </w:r>
            <w:r>
              <w:rPr>
                <w:spacing w:val="4"/>
              </w:rPr>
              <w:t>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01" w:type="dxa"/>
            <w:gridSpan w:val="3"/>
            <w:vMerge w:val="continue"/>
            <w:tcBorders>
              <w:top w:val="nil"/>
              <w:left w:val="single" w:color="000000" w:sz="6" w:space="0"/>
              <w:bottom w:val="nil"/>
              <w:right w:val="nil"/>
            </w:tcBorders>
            <w:vAlign w:val="top"/>
          </w:tcPr>
          <w:p>
            <w:pPr>
              <w:rPr>
                <w:rFonts w:ascii="Arial"/>
                <w:sz w:val="21"/>
              </w:rPr>
            </w:pPr>
          </w:p>
        </w:tc>
        <w:tc>
          <w:tcPr>
            <w:tcW w:w="987" w:type="dxa"/>
            <w:gridSpan w:val="3"/>
            <w:shd w:val="clear" w:color="auto" w:fill="D9D9D9"/>
            <w:vAlign w:val="top"/>
          </w:tcPr>
          <w:p>
            <w:pPr>
              <w:pStyle w:val="8"/>
              <w:spacing w:before="66" w:line="192" w:lineRule="auto"/>
              <w:ind w:left="16"/>
            </w:pPr>
            <w:r>
              <w:rPr>
                <w:spacing w:val="-3"/>
              </w:rPr>
              <w:t>证券公司</w:t>
            </w:r>
          </w:p>
        </w:tc>
        <w:tc>
          <w:tcPr>
            <w:tcW w:w="739" w:type="dxa"/>
            <w:gridSpan w:val="2"/>
            <w:tcBorders>
              <w:bottom w:val="nil"/>
            </w:tcBorders>
            <w:vAlign w:val="top"/>
          </w:tcPr>
          <w:p>
            <w:pPr>
              <w:pStyle w:val="8"/>
              <w:spacing w:before="66" w:line="192" w:lineRule="auto"/>
              <w:ind w:left="3"/>
            </w:pPr>
            <w:r>
              <w:rPr>
                <w:spacing w:val="-4"/>
              </w:rPr>
              <w:t>对客户</w:t>
            </w:r>
          </w:p>
        </w:tc>
        <w:tc>
          <w:tcPr>
            <w:tcW w:w="976" w:type="dxa"/>
            <w:gridSpan w:val="3"/>
            <w:shd w:val="clear" w:color="auto" w:fill="D9D9D9"/>
            <w:vAlign w:val="top"/>
          </w:tcPr>
          <w:p>
            <w:pPr>
              <w:pStyle w:val="8"/>
              <w:spacing w:before="66" w:line="192" w:lineRule="auto"/>
              <w:ind w:left="10"/>
            </w:pPr>
            <w:r>
              <w:rPr>
                <w:spacing w:val="-5"/>
              </w:rPr>
              <w:t>买卖证券</w:t>
            </w:r>
          </w:p>
        </w:tc>
        <w:tc>
          <w:tcPr>
            <w:tcW w:w="1686" w:type="dxa"/>
            <w:gridSpan w:val="2"/>
            <w:tcBorders>
              <w:top w:val="nil"/>
              <w:bottom w:val="nil"/>
            </w:tcBorders>
            <w:vAlign w:val="top"/>
          </w:tcPr>
          <w:p>
            <w:pPr>
              <w:pStyle w:val="8"/>
              <w:spacing w:before="66" w:line="192" w:lineRule="auto"/>
              <w:jc w:val="right"/>
            </w:pPr>
            <w:r>
              <w:rPr>
                <w:spacing w:val="-3"/>
              </w:rPr>
              <w:t>的收益或者赔偿</w:t>
            </w:r>
          </w:p>
        </w:tc>
        <w:tc>
          <w:tcPr>
            <w:tcW w:w="505" w:type="dxa"/>
            <w:gridSpan w:val="2"/>
            <w:tcBorders>
              <w:right w:val="single" w:color="000000" w:sz="6" w:space="0"/>
            </w:tcBorders>
            <w:shd w:val="clear" w:color="auto" w:fill="D9D9D9"/>
            <w:vAlign w:val="top"/>
          </w:tcPr>
          <w:p>
            <w:pPr>
              <w:pStyle w:val="8"/>
              <w:spacing w:before="66" w:line="192" w:lineRule="auto"/>
              <w:jc w:val="right"/>
            </w:pPr>
            <w:r>
              <w:rPr>
                <w:spacing w:val="-9"/>
              </w:rPr>
              <w:t>证券</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19" w:type="dxa"/>
            <w:tcBorders>
              <w:left w:val="single" w:color="000000" w:sz="6" w:space="0"/>
            </w:tcBorders>
            <w:shd w:val="clear" w:color="auto" w:fill="D9D9D9"/>
            <w:vAlign w:val="top"/>
          </w:tcPr>
          <w:p>
            <w:pPr>
              <w:pStyle w:val="8"/>
              <w:spacing w:before="65" w:line="187" w:lineRule="auto"/>
              <w:ind w:right="3"/>
              <w:jc w:val="right"/>
            </w:pPr>
            <w:r>
              <w:rPr>
                <w:spacing w:val="-6"/>
              </w:rPr>
              <w:t>买卖</w:t>
            </w:r>
          </w:p>
        </w:tc>
        <w:tc>
          <w:tcPr>
            <w:tcW w:w="485" w:type="dxa"/>
            <w:tcBorders>
              <w:top w:val="nil"/>
              <w:right w:val="nil"/>
            </w:tcBorders>
            <w:vAlign w:val="top"/>
          </w:tcPr>
          <w:p>
            <w:pPr>
              <w:pStyle w:val="8"/>
              <w:spacing w:before="65" w:line="187" w:lineRule="auto"/>
              <w:jc w:val="right"/>
            </w:pPr>
            <w:r>
              <w:rPr>
                <w:spacing w:val="-15"/>
              </w:rPr>
              <w:t>的损</w:t>
            </w:r>
          </w:p>
        </w:tc>
        <w:tc>
          <w:tcPr>
            <w:tcW w:w="1711" w:type="dxa"/>
            <w:gridSpan w:val="2"/>
            <w:vMerge w:val="restart"/>
            <w:tcBorders>
              <w:top w:val="nil"/>
              <w:left w:val="nil"/>
              <w:bottom w:val="nil"/>
              <w:right w:val="nil"/>
            </w:tcBorders>
            <w:vAlign w:val="top"/>
          </w:tcPr>
          <w:p>
            <w:pPr>
              <w:pStyle w:val="8"/>
              <w:spacing w:before="66" w:line="234" w:lineRule="auto"/>
              <w:ind w:left="19" w:right="15" w:hanging="1"/>
            </w:pPr>
            <w:r>
              <w:rPr>
                <w:spacing w:val="-2"/>
              </w:rPr>
              <w:t>失作出承诺的，</w:t>
            </w:r>
            <w:r>
              <w:rPr>
                <w:spacing w:val="3"/>
              </w:rPr>
              <w:t xml:space="preserve"> </w:t>
            </w:r>
            <w:r>
              <w:rPr>
                <w:spacing w:val="-1"/>
              </w:rPr>
              <w:t>万元以下的罚款</w:t>
            </w:r>
          </w:p>
        </w:tc>
        <w:tc>
          <w:tcPr>
            <w:tcW w:w="4379" w:type="dxa"/>
            <w:gridSpan w:val="11"/>
            <w:vMerge w:val="restart"/>
            <w:tcBorders>
              <w:top w:val="nil"/>
              <w:left w:val="nil"/>
              <w:bottom w:val="nil"/>
              <w:right w:val="single" w:color="000000" w:sz="6" w:space="0"/>
            </w:tcBorders>
            <w:vAlign w:val="top"/>
          </w:tcPr>
          <w:p>
            <w:pPr>
              <w:pStyle w:val="8"/>
              <w:spacing w:before="29" w:line="241" w:lineRule="auto"/>
              <w:ind w:left="29" w:hanging="28"/>
            </w:pPr>
            <w:r>
              <w:rPr>
                <w:spacing w:val="-6"/>
                <w:u w:val="single" w:color="auto"/>
              </w:rPr>
              <w:t>责令改正， 没收</w:t>
            </w:r>
            <w:r>
              <w:rPr>
                <w:spacing w:val="-6"/>
              </w:rPr>
              <w:t>违法所得，并处以</w:t>
            </w:r>
            <w:r>
              <w:rPr>
                <w:position w:val="-7"/>
              </w:rPr>
              <w:drawing>
                <wp:inline distT="0" distB="0" distL="0" distR="0">
                  <wp:extent cx="9525" cy="203835"/>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70"/>
                          <a:stretch>
                            <a:fillRect/>
                          </a:stretch>
                        </pic:blipFill>
                        <pic:spPr>
                          <a:xfrm>
                            <a:off x="0" y="0"/>
                            <a:ext cx="9623" cy="204216"/>
                          </a:xfrm>
                          <a:prstGeom prst="rect">
                            <a:avLst/>
                          </a:prstGeom>
                        </pic:spPr>
                      </pic:pic>
                    </a:graphicData>
                  </a:graphic>
                </wp:inline>
              </w:drawing>
            </w:r>
            <w:r>
              <w:rPr>
                <w:spacing w:val="-6"/>
                <w:u w:val="single" w:color="auto"/>
                <w:shd w:val="clear" w:fill="D9D9D9"/>
              </w:rPr>
              <w:t>五万元</w:t>
            </w:r>
            <w:r>
              <w:rPr>
                <w:spacing w:val="17"/>
              </w:rPr>
              <w:t xml:space="preserve"> </w:t>
            </w:r>
            <w:r>
              <w:rPr>
                <w:spacing w:val="7"/>
                <w:shd w:val="clear" w:fill="D9D9D9"/>
              </w:rPr>
              <w:t>,可以暂停或者</w:t>
            </w:r>
            <w:r>
              <w:rPr>
                <w:spacing w:val="-115"/>
                <w:shd w:val="clear" w:fill="D9D9D9"/>
              </w:rPr>
              <w:t xml:space="preserve"> </w:t>
            </w:r>
            <w:r>
              <w:rPr>
                <w:position w:val="-6"/>
              </w:rPr>
              <w:drawing>
                <wp:inline distT="0" distB="0" distL="0" distR="0">
                  <wp:extent cx="5715" cy="197485"/>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76"/>
                          <a:stretch>
                            <a:fillRect/>
                          </a:stretch>
                        </pic:blipFill>
                        <pic:spPr>
                          <a:xfrm>
                            <a:off x="0" y="0"/>
                            <a:ext cx="6094" cy="198119"/>
                          </a:xfrm>
                          <a:prstGeom prst="rect">
                            <a:avLst/>
                          </a:prstGeom>
                        </pic:spPr>
                      </pic:pic>
                    </a:graphicData>
                  </a:graphic>
                </wp:inline>
              </w:drawing>
            </w:r>
            <w:r>
              <w:rPr>
                <w:spacing w:val="7"/>
              </w:rPr>
              <w:t>撤销相关业务许可。对直</w:t>
            </w:r>
          </w:p>
        </w:tc>
        <w:tc>
          <w:tcPr>
            <w:tcW w:w="6890" w:type="dxa"/>
            <w:vMerge w:val="continue"/>
            <w:tcBorders>
              <w:top w:val="nil"/>
              <w:left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04" w:type="dxa"/>
            <w:gridSpan w:val="2"/>
            <w:tcBorders>
              <w:left w:val="single" w:color="000000" w:sz="6" w:space="0"/>
              <w:bottom w:val="single" w:color="000000" w:sz="6" w:space="0"/>
            </w:tcBorders>
            <w:shd w:val="clear" w:color="auto" w:fill="D9D9D9"/>
            <w:vAlign w:val="top"/>
          </w:tcPr>
          <w:p>
            <w:pPr>
              <w:pStyle w:val="8"/>
              <w:spacing w:before="72" w:line="214" w:lineRule="auto"/>
              <w:ind w:left="56"/>
            </w:pPr>
            <w:r>
              <w:rPr>
                <w:spacing w:val="-10"/>
              </w:rPr>
              <w:t>以上二十</w:t>
            </w:r>
          </w:p>
        </w:tc>
        <w:tc>
          <w:tcPr>
            <w:tcW w:w="1711" w:type="dxa"/>
            <w:gridSpan w:val="2"/>
            <w:vMerge w:val="continue"/>
            <w:tcBorders>
              <w:top w:val="nil"/>
              <w:left w:val="nil"/>
              <w:bottom w:val="single" w:color="000000" w:sz="6" w:space="0"/>
              <w:right w:val="nil"/>
            </w:tcBorders>
            <w:vAlign w:val="top"/>
          </w:tcPr>
          <w:p>
            <w:pPr>
              <w:rPr>
                <w:rFonts w:ascii="Arial"/>
                <w:sz w:val="21"/>
              </w:rPr>
            </w:pPr>
          </w:p>
        </w:tc>
        <w:tc>
          <w:tcPr>
            <w:tcW w:w="4379" w:type="dxa"/>
            <w:gridSpan w:val="11"/>
            <w:vMerge w:val="continue"/>
            <w:tcBorders>
              <w:top w:val="nil"/>
              <w:left w:val="nil"/>
              <w:bottom w:val="single" w:color="000000" w:sz="6" w:space="0"/>
              <w:right w:val="single" w:color="000000" w:sz="6" w:space="0"/>
            </w:tcBorders>
            <w:vAlign w:val="top"/>
          </w:tcPr>
          <w:p>
            <w:pPr>
              <w:rPr>
                <w:rFonts w:ascii="Arial"/>
                <w:sz w:val="21"/>
              </w:rPr>
            </w:pPr>
          </w:p>
        </w:tc>
        <w:tc>
          <w:tcPr>
            <w:tcW w:w="6890" w:type="dxa"/>
            <w:vMerge w:val="continue"/>
            <w:tcBorders>
              <w:top w:val="nil"/>
              <w:left w:val="single" w:color="000000" w:sz="6" w:space="0"/>
              <w:bottom w:val="single" w:color="000000" w:sz="6" w:space="0"/>
              <w:right w:val="single" w:color="000000" w:sz="6" w:space="0"/>
            </w:tcBorders>
            <w:vAlign w:val="top"/>
          </w:tcPr>
          <w:p>
            <w:pPr>
              <w:rPr>
                <w:rFonts w:ascii="Arial"/>
                <w:sz w:val="21"/>
              </w:rPr>
            </w:pPr>
          </w:p>
        </w:tc>
      </w:tr>
    </w:tbl>
    <w:p>
      <w:pPr>
        <w:spacing w:line="151" w:lineRule="exact"/>
        <w:rPr>
          <w:rFonts w:ascii="Arial"/>
          <w:sz w:val="13"/>
        </w:rPr>
      </w:pPr>
    </w:p>
    <w:p>
      <w:pPr>
        <w:spacing w:line="151" w:lineRule="exact"/>
        <w:rPr>
          <w:rFonts w:ascii="Arial" w:hAnsi="Arial" w:eastAsia="Arial" w:cs="Arial"/>
          <w:sz w:val="13"/>
          <w:szCs w:val="13"/>
        </w:rPr>
        <w:sectPr>
          <w:footerReference r:id="rId62" w:type="default"/>
          <w:pgSz w:w="16845" w:h="11910"/>
          <w:pgMar w:top="1012" w:right="1425" w:bottom="1157" w:left="1420" w:header="0" w:footer="996" w:gutter="0"/>
          <w:cols w:space="720" w:num="1"/>
        </w:sectPr>
      </w:pPr>
    </w:p>
    <w:p>
      <w:pPr>
        <w:spacing w:line="120" w:lineRule="exact"/>
      </w:pPr>
    </w:p>
    <w:tbl>
      <w:tblPr>
        <w:tblStyle w:val="7"/>
        <w:tblW w:w="139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8"/>
        <w:gridCol w:w="1208"/>
        <w:gridCol w:w="227"/>
        <w:gridCol w:w="269"/>
        <w:gridCol w:w="474"/>
        <w:gridCol w:w="217"/>
        <w:gridCol w:w="525"/>
        <w:gridCol w:w="495"/>
        <w:gridCol w:w="224"/>
        <w:gridCol w:w="738"/>
        <w:gridCol w:w="1459"/>
        <w:gridCol w:w="742"/>
        <w:gridCol w:w="6802"/>
        <w:gridCol w:w="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2" w:hRule="atLeast"/>
        </w:trPr>
        <w:tc>
          <w:tcPr>
            <w:tcW w:w="7096" w:type="dxa"/>
            <w:gridSpan w:val="12"/>
            <w:vAlign w:val="top"/>
          </w:tcPr>
          <w:p>
            <w:pPr>
              <w:pStyle w:val="8"/>
              <w:spacing w:before="16"/>
              <w:jc w:val="right"/>
            </w:pPr>
            <w:r>
              <w:pict>
                <v:shape id="_x0000_s1168" o:spid="_x0000_s1168" style="position:absolute;left:0pt;margin-left:13.15pt;margin-top:17.65pt;height:0.5pt;width:12pt;mso-position-horizontal-relative:page;mso-position-vertical-relative:page;z-index:251797504;mso-width-relative:page;mso-height-relative:page;" fillcolor="#000000" filled="t" stroked="f" coordsize="240,10" path="m0,0l240,0,240,9,0,9,0,0xe">
                  <v:path/>
                  <v:fill on="t" focussize="0,0"/>
                  <v:stroke on="f"/>
                  <v:imagedata o:title=""/>
                  <o:lock v:ext="edit"/>
                </v:shape>
              </w:pict>
            </w:r>
            <w:r>
              <w:pict>
                <v:shape id="_x0000_s1169" o:spid="_x0000_s1169" style="position:absolute;left:0pt;margin-left:109.6pt;margin-top:17.15pt;height:1pt;width:208.6pt;mso-position-horizontal-relative:page;mso-position-vertical-relative:page;z-index:251796480;mso-width-relative:page;mso-height-relative:page;" fillcolor="#000000" filled="t" stroked="f" coordsize="4172,20" path="m3910,0l3919,0,3919,9,3910,9,3910,0xem3910,0l3919,0,3919,9,3910,9,3910,0xem3919,0l4162,0,4162,9,3919,9,3919,0xem4162,0l4171,0,4171,9,4162,9,4162,0xem4162,0l4171,0,4171,9,4162,9,4162,0xem0,9l9,9,9,19,0,19,0,9xem0,9l9,9,9,19,0,19,0,9xem9,9l4090,9,4090,19,9,19,9,9xem4090,9l4099,9,4099,19,4090,19,4090,9xem4090,9l4099,9,4099,19,4090,19,4090,9xe">
                  <v:path/>
                  <v:fill on="t" focussize="0,0"/>
                  <v:stroke on="f"/>
                  <v:imagedata o:title=""/>
                  <o:lock v:ext="edit"/>
                </v:shape>
              </w:pict>
            </w:r>
            <w:r>
              <w:rPr>
                <w:spacing w:val="-2"/>
              </w:rPr>
              <w:t>接负责的主管人员和其他直接责任人员给予警告， 并处以</w:t>
            </w:r>
            <w:r>
              <w:rPr>
                <w:position w:val="-6"/>
              </w:rPr>
              <w:drawing>
                <wp:inline distT="0" distB="0" distL="0" distR="0">
                  <wp:extent cx="9525" cy="1981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96"/>
                          <a:stretch>
                            <a:fillRect/>
                          </a:stretch>
                        </pic:blipFill>
                        <pic:spPr>
                          <a:xfrm>
                            <a:off x="0" y="0"/>
                            <a:ext cx="9537" cy="198425"/>
                          </a:xfrm>
                          <a:prstGeom prst="rect">
                            <a:avLst/>
                          </a:prstGeom>
                        </pic:spPr>
                      </pic:pic>
                    </a:graphicData>
                  </a:graphic>
                </wp:inline>
              </w:drawing>
            </w:r>
            <w:r>
              <w:rPr>
                <w:spacing w:val="-2"/>
                <w:shd w:val="clear" w:fill="D9D9D9"/>
              </w:rPr>
              <w:t>三</w:t>
            </w:r>
            <w:r>
              <w:rPr>
                <w:position w:val="-6"/>
              </w:rPr>
              <w:drawing>
                <wp:inline distT="0" distB="0" distL="0" distR="0">
                  <wp:extent cx="9525" cy="1981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96"/>
                          <a:stretch>
                            <a:fillRect/>
                          </a:stretch>
                        </pic:blipFill>
                        <pic:spPr>
                          <a:xfrm>
                            <a:off x="0" y="0"/>
                            <a:ext cx="9537" cy="198425"/>
                          </a:xfrm>
                          <a:prstGeom prst="rect">
                            <a:avLst/>
                          </a:prstGeom>
                        </pic:spPr>
                      </pic:pic>
                    </a:graphicData>
                  </a:graphic>
                </wp:inline>
              </w:drawing>
            </w:r>
            <w:r>
              <w:rPr>
                <w:spacing w:val="-2"/>
              </w:rPr>
              <w:t>万元以</w:t>
            </w:r>
          </w:p>
          <w:p>
            <w:pPr>
              <w:pStyle w:val="8"/>
              <w:spacing w:before="9"/>
              <w:ind w:left="526"/>
            </w:pPr>
            <w:r>
              <w:pict>
                <v:shape id="_x0000_s1170" o:spid="_x0000_s1170" o:spt="202" type="#_x0000_t202" style="position:absolute;left:0pt;margin-left:0pt;margin-top:-1pt;height:19.6pt;width:26.25pt;z-index:251798528;mso-width-relative:page;mso-height-relative:page;" filled="f" stroked="f" coordsize="21600,21600">
                  <v:path/>
                  <v:fill on="f" focussize="0,0"/>
                  <v:stroke on="f"/>
                  <v:imagedata o:title=""/>
                  <o:lock v:ext="edit" aspectratio="f"/>
                  <v:textbox inset="0mm,0mm,0mm,0mm">
                    <w:txbxContent>
                      <w:p>
                        <w:pPr>
                          <w:pStyle w:val="8"/>
                          <w:spacing w:before="20"/>
                          <w:ind w:left="20"/>
                        </w:pPr>
                        <w:r>
                          <w:rPr>
                            <w:spacing w:val="-18"/>
                          </w:rPr>
                          <w:t>上</w:t>
                        </w:r>
                        <w:r>
                          <w:rPr>
                            <w:position w:val="24"/>
                          </w:rPr>
                          <w:drawing>
                            <wp:inline distT="0" distB="0" distL="0" distR="0">
                              <wp:extent cx="2540" cy="5715"/>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74"/>
                                      <a:stretch>
                                        <a:fillRect/>
                                      </a:stretch>
                                    </pic:blipFill>
                                    <pic:spPr>
                                      <a:xfrm>
                                        <a:off x="0" y="0"/>
                                        <a:ext cx="3124" cy="6095"/>
                                      </a:xfrm>
                                      <a:prstGeom prst="rect">
                                        <a:avLst/>
                                      </a:prstGeom>
                                    </pic:spPr>
                                  </pic:pic>
                                </a:graphicData>
                              </a:graphic>
                            </wp:inline>
                          </w:drawing>
                        </w:r>
                        <w:r>
                          <w:rPr>
                            <w:position w:val="-7"/>
                          </w:rPr>
                          <w:drawing>
                            <wp:inline distT="0" distB="0" distL="0" distR="0">
                              <wp:extent cx="2540" cy="203835"/>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80"/>
                                      <a:stretch>
                                        <a:fillRect/>
                                      </a:stretch>
                                    </pic:blipFill>
                                    <pic:spPr>
                                      <a:xfrm>
                                        <a:off x="0" y="0"/>
                                        <a:ext cx="3124" cy="204215"/>
                                      </a:xfrm>
                                      <a:prstGeom prst="rect">
                                        <a:avLst/>
                                      </a:prstGeom>
                                    </pic:spPr>
                                  </pic:pic>
                                </a:graphicData>
                              </a:graphic>
                            </wp:inline>
                          </w:drawing>
                        </w:r>
                        <w:r>
                          <w:rPr>
                            <w:position w:val="-7"/>
                          </w:rPr>
                          <w:drawing>
                            <wp:inline distT="0" distB="0" distL="0" distR="0">
                              <wp:extent cx="2540" cy="5715"/>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81"/>
                                      <a:stretch>
                                        <a:fillRect/>
                                      </a:stretch>
                                    </pic:blipFill>
                                    <pic:spPr>
                                      <a:xfrm>
                                        <a:off x="0" y="0"/>
                                        <a:ext cx="3124" cy="6096"/>
                                      </a:xfrm>
                                      <a:prstGeom prst="rect">
                                        <a:avLst/>
                                      </a:prstGeom>
                                    </pic:spPr>
                                  </pic:pic>
                                </a:graphicData>
                              </a:graphic>
                            </wp:inline>
                          </w:drawing>
                        </w:r>
                        <w:r>
                          <w:rPr>
                            <w:spacing w:val="-101"/>
                            <w:u w:val="single" w:color="auto"/>
                            <w:shd w:val="clear" w:fill="D9D9D9"/>
                          </w:rPr>
                          <w:t xml:space="preserve"> </w:t>
                        </w:r>
                        <w:r>
                          <w:rPr>
                            <w:spacing w:val="-18"/>
                            <w:u w:val="single" w:color="auto"/>
                            <w:shd w:val="clear" w:fill="D9D9D9"/>
                          </w:rPr>
                          <w:t>十</w:t>
                        </w:r>
                        <w:r>
                          <w:rPr>
                            <w:position w:val="-7"/>
                          </w:rPr>
                          <w:drawing>
                            <wp:inline distT="0" distB="0" distL="0" distR="0">
                              <wp:extent cx="2540" cy="210185"/>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100"/>
                                      <a:stretch>
                                        <a:fillRect/>
                                      </a:stretch>
                                    </pic:blipFill>
                                    <pic:spPr>
                                      <a:xfrm>
                                        <a:off x="0" y="0"/>
                                        <a:ext cx="3124" cy="210311"/>
                                      </a:xfrm>
                                      <a:prstGeom prst="rect">
                                        <a:avLst/>
                                      </a:prstGeom>
                                    </pic:spPr>
                                  </pic:pic>
                                </a:graphicData>
                              </a:graphic>
                            </wp:inline>
                          </w:drawing>
                        </w:r>
                      </w:p>
                    </w:txbxContent>
                  </v:textbox>
                </v:shape>
              </w:pict>
            </w:r>
            <w:r>
              <w:rPr>
                <w:spacing w:val="-1"/>
              </w:rPr>
              <w:t>万元以下的罚款</w:t>
            </w:r>
            <w:r>
              <w:rPr>
                <w:position w:val="-6"/>
              </w:rPr>
              <w:drawing>
                <wp:inline distT="0" distB="0" distL="0" distR="0">
                  <wp:extent cx="7620" cy="1981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76"/>
                          <a:stretch>
                            <a:fillRect/>
                          </a:stretch>
                        </pic:blipFill>
                        <pic:spPr>
                          <a:xfrm>
                            <a:off x="0" y="0"/>
                            <a:ext cx="8013" cy="198120"/>
                          </a:xfrm>
                          <a:prstGeom prst="rect">
                            <a:avLst/>
                          </a:prstGeom>
                        </pic:spPr>
                      </pic:pic>
                    </a:graphicData>
                  </a:graphic>
                </wp:inline>
              </w:drawing>
            </w:r>
            <w:r>
              <w:rPr>
                <w:spacing w:val="-1"/>
                <w:u w:val="single" w:color="auto"/>
                <w:shd w:val="clear" w:fill="D9D9D9"/>
              </w:rPr>
              <w:t>，可以撤销任职资格或者证券</w:t>
            </w:r>
            <w:r>
              <w:rPr>
                <w:spacing w:val="-2"/>
                <w:u w:val="single" w:color="auto"/>
                <w:shd w:val="clear" w:fill="D9D9D9"/>
              </w:rPr>
              <w:t>从业资格</w:t>
            </w:r>
            <w:r>
              <w:rPr>
                <w:position w:val="-7"/>
              </w:rPr>
              <w:drawing>
                <wp:inline distT="0" distB="0" distL="0" distR="0">
                  <wp:extent cx="7620" cy="203835"/>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77"/>
                          <a:stretch>
                            <a:fillRect/>
                          </a:stretch>
                        </pic:blipFill>
                        <pic:spPr>
                          <a:xfrm>
                            <a:off x="0" y="0"/>
                            <a:ext cx="8013" cy="204215"/>
                          </a:xfrm>
                          <a:prstGeom prst="rect">
                            <a:avLst/>
                          </a:prstGeom>
                        </pic:spPr>
                      </pic:pic>
                    </a:graphicData>
                  </a:graphic>
                </wp:inline>
              </w:drawing>
            </w:r>
            <w:r>
              <w:rPr>
                <w:spacing w:val="-2"/>
              </w:rPr>
              <w:t>。</w:t>
            </w:r>
          </w:p>
        </w:tc>
        <w:tc>
          <w:tcPr>
            <w:tcW w:w="6888" w:type="dxa"/>
            <w:gridSpan w:val="2"/>
            <w:vAlign w:val="top"/>
          </w:tcPr>
          <w:p>
            <w:pPr>
              <w:pStyle w:val="8"/>
              <w:spacing w:before="38" w:line="234" w:lineRule="auto"/>
              <w:ind w:left="18" w:right="6" w:firstLine="30"/>
              <w:jc w:val="both"/>
            </w:pPr>
            <w:r>
              <w:rPr>
                <w:spacing w:val="3"/>
              </w:rPr>
              <w:t>以下的罚款；</w:t>
            </w:r>
            <w:r>
              <w:rPr>
                <w:rFonts w:ascii="黑体" w:hAnsi="黑体" w:eastAsia="黑体" w:cs="黑体"/>
                <w:spacing w:val="3"/>
              </w:rPr>
              <w:t>没有违法所得或者违法所得不足五十万元的，处以</w:t>
            </w:r>
            <w:r>
              <w:rPr>
                <w:rFonts w:ascii="黑体" w:hAnsi="黑体" w:eastAsia="黑体" w:cs="黑体"/>
                <w:spacing w:val="12"/>
              </w:rPr>
              <w:t xml:space="preserve"> </w:t>
            </w:r>
            <w:r>
              <w:rPr>
                <w:rFonts w:ascii="黑体" w:hAnsi="黑体" w:eastAsia="黑体" w:cs="黑体"/>
                <w:spacing w:val="4"/>
              </w:rPr>
              <w:t>五十万元以上五百万元以下的罚款；情节严重的，并处撤销相关</w:t>
            </w:r>
            <w:r>
              <w:rPr>
                <w:rFonts w:ascii="黑体" w:hAnsi="黑体" w:eastAsia="黑体" w:cs="黑体"/>
                <w:spacing w:val="13"/>
              </w:rPr>
              <w:t xml:space="preserve"> 业务许可。</w:t>
            </w:r>
            <w:r>
              <w:rPr>
                <w:spacing w:val="13"/>
              </w:rPr>
              <w:t>对直接负责的主管人员和其他直接责任人员给予警</w:t>
            </w:r>
            <w:r>
              <w:rPr>
                <w:spacing w:val="15"/>
              </w:rPr>
              <w:t xml:space="preserve"> </w:t>
            </w:r>
            <w:r>
              <w:rPr>
                <w:spacing w:val="-3"/>
              </w:rPr>
              <w:t>告，并处以</w:t>
            </w:r>
            <w:r>
              <w:rPr>
                <w:rFonts w:ascii="黑体" w:hAnsi="黑体" w:eastAsia="黑体" w:cs="黑体"/>
                <w:spacing w:val="-3"/>
              </w:rPr>
              <w:t>二</w:t>
            </w:r>
            <w:r>
              <w:rPr>
                <w:spacing w:val="-3"/>
              </w:rPr>
              <w:t>十万元以上</w:t>
            </w:r>
            <w:r>
              <w:rPr>
                <w:rFonts w:ascii="黑体" w:hAnsi="黑体" w:eastAsia="黑体" w:cs="黑体"/>
                <w:spacing w:val="-3"/>
              </w:rPr>
              <w:t>二</w:t>
            </w:r>
            <w:r>
              <w:rPr>
                <w:spacing w:val="-3"/>
              </w:rPr>
              <w:t>百万元以下的罚款。</w:t>
            </w:r>
          </w:p>
          <w:p>
            <w:pPr>
              <w:spacing w:before="31" w:line="233" w:lineRule="auto"/>
              <w:ind w:left="18" w:right="7" w:firstLine="495"/>
              <w:jc w:val="both"/>
              <w:rPr>
                <w:rFonts w:ascii="黑体" w:hAnsi="黑体" w:eastAsia="黑体" w:cs="黑体"/>
                <w:sz w:val="24"/>
                <w:szCs w:val="24"/>
              </w:rPr>
            </w:pPr>
            <w:r>
              <w:rPr>
                <w:rFonts w:ascii="黑体" w:hAnsi="黑体" w:eastAsia="黑体" w:cs="黑体"/>
                <w:spacing w:val="4"/>
                <w:sz w:val="24"/>
                <w:szCs w:val="24"/>
              </w:rPr>
              <w:t>证券公司违反本法第一百三十四条第二款的规定，允许他人</w:t>
            </w:r>
            <w:r>
              <w:rPr>
                <w:rFonts w:ascii="黑体" w:hAnsi="黑体" w:eastAsia="黑体" w:cs="黑体"/>
                <w:spacing w:val="6"/>
                <w:sz w:val="24"/>
                <w:szCs w:val="24"/>
              </w:rPr>
              <w:t xml:space="preserve"> </w:t>
            </w:r>
            <w:r>
              <w:rPr>
                <w:rFonts w:ascii="黑体" w:hAnsi="黑体" w:eastAsia="黑体" w:cs="黑体"/>
                <w:spacing w:val="4"/>
                <w:sz w:val="24"/>
                <w:szCs w:val="24"/>
              </w:rPr>
              <w:t>以证券公司的名义直接参与证券的集中交易的，责令改正，可以</w:t>
            </w:r>
            <w:r>
              <w:rPr>
                <w:rFonts w:ascii="黑体" w:hAnsi="黑体" w:eastAsia="黑体" w:cs="黑体"/>
                <w:spacing w:val="13"/>
                <w:sz w:val="24"/>
                <w:szCs w:val="24"/>
              </w:rPr>
              <w:t xml:space="preserve"> </w:t>
            </w:r>
            <w:r>
              <w:rPr>
                <w:rFonts w:ascii="黑体" w:hAnsi="黑体" w:eastAsia="黑体" w:cs="黑体"/>
                <w:spacing w:val="-4"/>
                <w:sz w:val="24"/>
                <w:szCs w:val="24"/>
              </w:rPr>
              <w:t>并处五十万元以下的罚款。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438" w:type="dxa"/>
            <w:gridSpan w:val="7"/>
            <w:tcBorders>
              <w:bottom w:val="nil"/>
              <w:right w:val="single" w:color="000000" w:sz="2" w:space="0"/>
            </w:tcBorders>
            <w:vAlign w:val="top"/>
          </w:tcPr>
          <w:p>
            <w:pPr>
              <w:pStyle w:val="8"/>
              <w:spacing w:before="13" w:line="222" w:lineRule="auto"/>
              <w:ind w:right="13"/>
              <w:jc w:val="right"/>
            </w:pPr>
            <w:r>
              <w:rPr>
                <w:rFonts w:ascii="黑体" w:hAnsi="黑体" w:eastAsia="黑体" w:cs="黑体"/>
                <w:spacing w:val="1"/>
              </w:rPr>
              <w:t xml:space="preserve">第二百一十五条  </w:t>
            </w:r>
            <w:r>
              <w:rPr>
                <w:spacing w:val="1"/>
              </w:rPr>
              <w:t>证券公司</w:t>
            </w:r>
          </w:p>
        </w:tc>
        <w:tc>
          <w:tcPr>
            <w:tcW w:w="495" w:type="dxa"/>
            <w:tcBorders>
              <w:left w:val="single" w:color="000000" w:sz="2" w:space="0"/>
              <w:bottom w:val="single" w:color="000000" w:sz="2" w:space="0"/>
              <w:right w:val="single" w:color="000000" w:sz="2" w:space="0"/>
            </w:tcBorders>
            <w:shd w:val="clear" w:color="auto" w:fill="D9D9D9"/>
            <w:vAlign w:val="top"/>
          </w:tcPr>
          <w:p>
            <w:pPr>
              <w:pStyle w:val="8"/>
              <w:spacing w:before="14" w:line="220" w:lineRule="auto"/>
              <w:ind w:left="2"/>
            </w:pPr>
            <w:r>
              <w:rPr>
                <w:spacing w:val="-2"/>
              </w:rPr>
              <w:t>及其</w:t>
            </w:r>
          </w:p>
        </w:tc>
        <w:tc>
          <w:tcPr>
            <w:tcW w:w="3163" w:type="dxa"/>
            <w:gridSpan w:val="4"/>
            <w:tcBorders>
              <w:left w:val="single" w:color="000000" w:sz="2" w:space="0"/>
              <w:bottom w:val="nil"/>
            </w:tcBorders>
            <w:vAlign w:val="top"/>
          </w:tcPr>
          <w:p>
            <w:pPr>
              <w:pStyle w:val="8"/>
              <w:spacing w:before="15" w:line="217" w:lineRule="auto"/>
              <w:jc w:val="right"/>
            </w:pPr>
            <w:r>
              <w:rPr>
                <w:spacing w:val="1"/>
              </w:rPr>
              <w:t>从业人员违反本法规定，私下</w:t>
            </w:r>
          </w:p>
        </w:tc>
        <w:tc>
          <w:tcPr>
            <w:tcW w:w="6802" w:type="dxa"/>
            <w:vMerge w:val="restart"/>
            <w:tcBorders>
              <w:bottom w:val="nil"/>
            </w:tcBorders>
            <w:vAlign w:val="top"/>
          </w:tcPr>
          <w:p>
            <w:pPr>
              <w:pStyle w:val="8"/>
              <w:spacing w:before="1" w:line="235" w:lineRule="auto"/>
              <w:ind w:left="18" w:firstLine="495"/>
            </w:pPr>
            <w:r>
              <w:rPr>
                <w:rFonts w:ascii="黑体" w:hAnsi="黑体" w:eastAsia="黑体" w:cs="黑体"/>
                <w:spacing w:val="1"/>
              </w:rPr>
              <w:t xml:space="preserve">第二百一十条  </w:t>
            </w:r>
            <w:r>
              <w:rPr>
                <w:spacing w:val="1"/>
              </w:rPr>
              <w:t>证券公司的从业人员违反本法第</w:t>
            </w:r>
            <w:r>
              <w:rPr>
                <w:rFonts w:ascii="黑体" w:hAnsi="黑体" w:eastAsia="黑体" w:cs="黑体"/>
                <w:spacing w:val="1"/>
              </w:rPr>
              <w:t>一百三十六</w:t>
            </w:r>
            <w:r>
              <w:rPr>
                <w:rFonts w:ascii="黑体" w:hAnsi="黑体" w:eastAsia="黑体" w:cs="黑体"/>
                <w:spacing w:val="2"/>
              </w:rPr>
              <w:t xml:space="preserve"> </w:t>
            </w:r>
            <w:r>
              <w:rPr>
                <w:spacing w:val="10"/>
              </w:rPr>
              <w:t>条的规定，私下接受客户委托买卖证券的，责令改正，给予警</w:t>
            </w:r>
            <w:r>
              <w:rPr>
                <w:spacing w:val="17"/>
              </w:rPr>
              <w:t xml:space="preserve"> </w:t>
            </w:r>
            <w:r>
              <w:rPr>
                <w:spacing w:val="-3"/>
              </w:rPr>
              <w:t>告， 没收违法所得，并处以违法所得一倍以上</w:t>
            </w:r>
            <w:r>
              <w:rPr>
                <w:rFonts w:ascii="黑体" w:hAnsi="黑体" w:eastAsia="黑体" w:cs="黑体"/>
                <w:spacing w:val="-3"/>
              </w:rPr>
              <w:t>十</w:t>
            </w:r>
            <w:r>
              <w:rPr>
                <w:spacing w:val="-3"/>
              </w:rPr>
              <w:t>倍以下的罚款；</w:t>
            </w:r>
            <w:r>
              <w:rPr>
                <w:spacing w:val="7"/>
              </w:rPr>
              <w:t xml:space="preserve"> </w:t>
            </w:r>
            <w:r>
              <w:rPr>
                <w:spacing w:val="-3"/>
              </w:rPr>
              <w:t>没有违法所得的，处以</w:t>
            </w:r>
            <w:r>
              <w:rPr>
                <w:rFonts w:ascii="黑体" w:hAnsi="黑体" w:eastAsia="黑体" w:cs="黑体"/>
                <w:spacing w:val="-3"/>
              </w:rPr>
              <w:t>五</w:t>
            </w:r>
            <w:r>
              <w:rPr>
                <w:spacing w:val="-3"/>
              </w:rPr>
              <w:t>十万元以下的罚款。</w:t>
            </w:r>
          </w:p>
        </w:tc>
        <w:tc>
          <w:tcPr>
            <w:tcW w:w="86" w:type="dxa"/>
            <w:tcBorders>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7096" w:type="dxa"/>
            <w:gridSpan w:val="12"/>
            <w:vMerge w:val="restart"/>
            <w:tcBorders>
              <w:top w:val="nil"/>
              <w:bottom w:val="nil"/>
            </w:tcBorders>
            <w:vAlign w:val="top"/>
          </w:tcPr>
          <w:p>
            <w:pPr>
              <w:pStyle w:val="8"/>
              <w:spacing w:before="16" w:line="230" w:lineRule="auto"/>
              <w:ind w:left="20" w:right="7" w:hanging="7"/>
            </w:pPr>
            <w:r>
              <w:rPr>
                <w:spacing w:val="-1"/>
              </w:rPr>
              <w:t>接受客户委托买卖证券的，责令改正， 给予警告，没收违</w:t>
            </w:r>
            <w:r>
              <w:rPr>
                <w:spacing w:val="-1"/>
                <w:u w:val="single" w:color="auto"/>
              </w:rPr>
              <w:t>法所得，</w:t>
            </w:r>
            <w:r>
              <w:rPr>
                <w:spacing w:val="9"/>
              </w:rPr>
              <w:t xml:space="preserve"> </w:t>
            </w:r>
            <w:r>
              <w:rPr>
                <w:spacing w:val="-2"/>
              </w:rPr>
              <w:t>并处以违法所得一倍以上五倍以下的罚款； 没有违法所得</w:t>
            </w:r>
            <w:r>
              <w:rPr>
                <w:position w:val="-6"/>
              </w:rPr>
              <w:drawing>
                <wp:inline distT="0" distB="0" distL="0" distR="0">
                  <wp:extent cx="11430" cy="1981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71"/>
                          <a:stretch>
                            <a:fillRect/>
                          </a:stretch>
                        </pic:blipFill>
                        <pic:spPr>
                          <a:xfrm>
                            <a:off x="0" y="0"/>
                            <a:ext cx="11455" cy="198120"/>
                          </a:xfrm>
                          <a:prstGeom prst="rect">
                            <a:avLst/>
                          </a:prstGeom>
                        </pic:spPr>
                      </pic:pic>
                    </a:graphicData>
                  </a:graphic>
                </wp:inline>
              </w:drawing>
            </w:r>
            <w:r>
              <w:rPr>
                <w:spacing w:val="-2"/>
                <w:shd w:val="clear" w:fill="D9D9D9"/>
              </w:rPr>
              <w:t>或者违法</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096" w:type="dxa"/>
            <w:gridSpan w:val="12"/>
            <w:vMerge w:val="continue"/>
            <w:tcBorders>
              <w:top w:val="nil"/>
              <w:bottom w:val="single" w:color="000000" w:sz="2" w:space="0"/>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726" w:type="dxa"/>
            <w:gridSpan w:val="2"/>
            <w:tcBorders>
              <w:top w:val="single" w:color="000000" w:sz="2" w:space="0"/>
              <w:right w:val="single" w:color="000000" w:sz="2" w:space="0"/>
            </w:tcBorders>
            <w:shd w:val="clear" w:color="auto" w:fill="D9D9D9"/>
            <w:vAlign w:val="top"/>
          </w:tcPr>
          <w:p>
            <w:pPr>
              <w:pStyle w:val="8"/>
              <w:spacing w:before="23" w:line="217" w:lineRule="auto"/>
              <w:ind w:left="24"/>
            </w:pPr>
            <w:r>
              <w:rPr>
                <w:spacing w:val="-2"/>
              </w:rPr>
              <w:t>所得不足十万元</w:t>
            </w:r>
          </w:p>
        </w:tc>
        <w:tc>
          <w:tcPr>
            <w:tcW w:w="970" w:type="dxa"/>
            <w:gridSpan w:val="3"/>
            <w:tcBorders>
              <w:top w:val="nil"/>
              <w:left w:val="single" w:color="000000" w:sz="2" w:space="0"/>
              <w:right w:val="single" w:color="000000" w:sz="2" w:space="0"/>
            </w:tcBorders>
            <w:vAlign w:val="top"/>
          </w:tcPr>
          <w:p>
            <w:pPr>
              <w:pStyle w:val="8"/>
              <w:spacing w:before="23" w:line="220" w:lineRule="auto"/>
              <w:ind w:left="12"/>
            </w:pPr>
            <w:r>
              <w:rPr>
                <w:spacing w:val="-6"/>
              </w:rPr>
              <w:t>的，处以</w:t>
            </w:r>
          </w:p>
        </w:tc>
        <w:tc>
          <w:tcPr>
            <w:tcW w:w="1461" w:type="dxa"/>
            <w:gridSpan w:val="4"/>
            <w:tcBorders>
              <w:top w:val="single" w:color="000000" w:sz="2" w:space="0"/>
              <w:left w:val="single" w:color="000000" w:sz="2" w:space="0"/>
              <w:right w:val="single" w:color="000000" w:sz="2" w:space="0"/>
            </w:tcBorders>
            <w:shd w:val="clear" w:color="auto" w:fill="D9D9D9"/>
            <w:vAlign w:val="top"/>
          </w:tcPr>
          <w:p>
            <w:pPr>
              <w:pStyle w:val="8"/>
              <w:spacing w:before="23" w:line="217" w:lineRule="auto"/>
              <w:ind w:left="2"/>
            </w:pPr>
            <w:r>
              <w:rPr>
                <w:spacing w:val="-3"/>
              </w:rPr>
              <w:t>十万元以上三</w:t>
            </w:r>
          </w:p>
        </w:tc>
        <w:tc>
          <w:tcPr>
            <w:tcW w:w="2939" w:type="dxa"/>
            <w:gridSpan w:val="3"/>
            <w:tcBorders>
              <w:top w:val="nil"/>
              <w:left w:val="single" w:color="000000" w:sz="2" w:space="0"/>
            </w:tcBorders>
            <w:vAlign w:val="top"/>
          </w:tcPr>
          <w:p>
            <w:pPr>
              <w:pStyle w:val="8"/>
              <w:spacing w:before="23" w:line="217" w:lineRule="auto"/>
            </w:pPr>
            <w:r>
              <w:rPr>
                <w:spacing w:val="-8"/>
              </w:rPr>
              <w:t>十万元以下的罚款。</w:t>
            </w:r>
          </w:p>
        </w:tc>
        <w:tc>
          <w:tcPr>
            <w:tcW w:w="6802" w:type="dxa"/>
            <w:vMerge w:val="continue"/>
            <w:tcBorders>
              <w:top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222" w:type="dxa"/>
            <w:gridSpan w:val="4"/>
            <w:tcBorders>
              <w:bottom w:val="single" w:color="000000" w:sz="2" w:space="0"/>
              <w:right w:val="single" w:color="000000" w:sz="2" w:space="0"/>
            </w:tcBorders>
            <w:vAlign w:val="top"/>
          </w:tcPr>
          <w:p>
            <w:pPr>
              <w:spacing w:before="26" w:line="210" w:lineRule="auto"/>
              <w:ind w:right="13"/>
              <w:jc w:val="right"/>
              <w:rPr>
                <w:rFonts w:ascii="黑体" w:hAnsi="黑体" w:eastAsia="黑体" w:cs="黑体"/>
                <w:sz w:val="24"/>
                <w:szCs w:val="24"/>
              </w:rPr>
            </w:pPr>
            <w:r>
              <w:rPr>
                <w:rFonts w:ascii="黑体" w:hAnsi="黑体" w:eastAsia="黑体" w:cs="黑体"/>
                <w:sz w:val="24"/>
                <w:szCs w:val="24"/>
              </w:rPr>
              <w:t>第二百一十六条</w:t>
            </w:r>
          </w:p>
        </w:tc>
        <w:tc>
          <w:tcPr>
            <w:tcW w:w="4874" w:type="dxa"/>
            <w:gridSpan w:val="8"/>
            <w:tcBorders>
              <w:left w:val="single" w:color="000000" w:sz="2" w:space="0"/>
              <w:bottom w:val="single" w:color="000000" w:sz="2" w:space="0"/>
            </w:tcBorders>
            <w:shd w:val="clear" w:color="auto" w:fill="D9D9D9"/>
            <w:vAlign w:val="top"/>
          </w:tcPr>
          <w:p>
            <w:pPr>
              <w:pStyle w:val="8"/>
              <w:spacing w:before="26" w:line="210" w:lineRule="auto"/>
              <w:ind w:right="11"/>
              <w:jc w:val="right"/>
            </w:pPr>
            <w:r>
              <w:rPr>
                <w:spacing w:val="-5"/>
              </w:rPr>
              <w:t>证券公司违反规定， 未经批准经营非上市证</w:t>
            </w:r>
          </w:p>
        </w:tc>
        <w:tc>
          <w:tcPr>
            <w:tcW w:w="6802" w:type="dxa"/>
            <w:vMerge w:val="restart"/>
            <w:tcBorders>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096" w:type="dxa"/>
            <w:gridSpan w:val="12"/>
            <w:tcBorders>
              <w:top w:val="single" w:color="000000" w:sz="2" w:space="0"/>
              <w:bottom w:val="single" w:color="000000" w:sz="2" w:space="0"/>
            </w:tcBorders>
            <w:shd w:val="clear" w:color="auto" w:fill="D9D9D9"/>
            <w:vAlign w:val="top"/>
          </w:tcPr>
          <w:p>
            <w:pPr>
              <w:pStyle w:val="8"/>
              <w:spacing w:before="43" w:line="207" w:lineRule="auto"/>
              <w:ind w:left="26"/>
            </w:pPr>
            <w:r>
              <w:rPr>
                <w:spacing w:val="3"/>
              </w:rPr>
              <w:t>券的交易的，责令改正，没收违法所得，并处以违法所</w:t>
            </w:r>
            <w:r>
              <w:rPr>
                <w:spacing w:val="2"/>
              </w:rPr>
              <w:t>得一倍以上</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1953" w:type="dxa"/>
            <w:gridSpan w:val="3"/>
            <w:tcBorders>
              <w:top w:val="single" w:color="000000" w:sz="2" w:space="0"/>
              <w:right w:val="single" w:color="000000" w:sz="2" w:space="0"/>
            </w:tcBorders>
            <w:shd w:val="clear" w:color="auto" w:fill="D9D9D9"/>
            <w:vAlign w:val="top"/>
          </w:tcPr>
          <w:p>
            <w:pPr>
              <w:pStyle w:val="8"/>
              <w:spacing w:before="47" w:line="217" w:lineRule="auto"/>
              <w:ind w:left="31"/>
            </w:pPr>
            <w:r>
              <w:rPr>
                <w:spacing w:val="-8"/>
              </w:rPr>
              <w:t>五倍以下的罚款。</w:t>
            </w:r>
          </w:p>
        </w:tc>
        <w:tc>
          <w:tcPr>
            <w:tcW w:w="5143" w:type="dxa"/>
            <w:gridSpan w:val="9"/>
            <w:tcBorders>
              <w:top w:val="single" w:color="000000" w:sz="2" w:space="0"/>
              <w:left w:val="single" w:color="000000" w:sz="2" w:space="0"/>
            </w:tcBorders>
            <w:vAlign w:val="top"/>
          </w:tcPr>
          <w:p>
            <w:pPr>
              <w:rPr>
                <w:rFonts w:ascii="Arial"/>
                <w:sz w:val="21"/>
              </w:rPr>
            </w:pPr>
          </w:p>
        </w:tc>
        <w:tc>
          <w:tcPr>
            <w:tcW w:w="6802" w:type="dxa"/>
            <w:vMerge w:val="continue"/>
            <w:tcBorders>
              <w:top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2222" w:type="dxa"/>
            <w:gridSpan w:val="4"/>
            <w:tcBorders>
              <w:bottom w:val="single" w:color="000000" w:sz="4" w:space="0"/>
              <w:right w:val="single" w:color="000000" w:sz="2" w:space="0"/>
            </w:tcBorders>
            <w:vAlign w:val="top"/>
          </w:tcPr>
          <w:p>
            <w:pPr>
              <w:spacing w:before="38" w:line="197" w:lineRule="auto"/>
              <w:ind w:right="13"/>
              <w:jc w:val="right"/>
              <w:rPr>
                <w:rFonts w:ascii="黑体" w:hAnsi="黑体" w:eastAsia="黑体" w:cs="黑体"/>
                <w:sz w:val="24"/>
                <w:szCs w:val="24"/>
              </w:rPr>
            </w:pPr>
            <w:r>
              <w:rPr>
                <w:rFonts w:ascii="黑体" w:hAnsi="黑体" w:eastAsia="黑体" w:cs="黑体"/>
                <w:sz w:val="24"/>
                <w:szCs w:val="24"/>
              </w:rPr>
              <w:t>第二百一十七条</w:t>
            </w:r>
          </w:p>
        </w:tc>
        <w:tc>
          <w:tcPr>
            <w:tcW w:w="4874" w:type="dxa"/>
            <w:gridSpan w:val="8"/>
            <w:tcBorders>
              <w:left w:val="single" w:color="000000" w:sz="2" w:space="0"/>
              <w:bottom w:val="single" w:color="000000" w:sz="4" w:space="0"/>
            </w:tcBorders>
            <w:shd w:val="clear" w:color="auto" w:fill="D9D9D9"/>
            <w:vAlign w:val="top"/>
          </w:tcPr>
          <w:p>
            <w:pPr>
              <w:pStyle w:val="8"/>
              <w:spacing w:before="38" w:line="197" w:lineRule="auto"/>
              <w:ind w:right="11"/>
              <w:jc w:val="right"/>
            </w:pPr>
            <w:r>
              <w:rPr>
                <w:spacing w:val="2"/>
              </w:rPr>
              <w:t>证券公司成立后，无正当理由超过三个月未</w:t>
            </w:r>
          </w:p>
        </w:tc>
        <w:tc>
          <w:tcPr>
            <w:tcW w:w="6802" w:type="dxa"/>
            <w:vMerge w:val="restart"/>
            <w:tcBorders>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096" w:type="dxa"/>
            <w:gridSpan w:val="12"/>
            <w:tcBorders>
              <w:top w:val="single" w:color="000000" w:sz="4" w:space="0"/>
              <w:bottom w:val="single" w:color="000000" w:sz="2" w:space="0"/>
            </w:tcBorders>
            <w:shd w:val="clear" w:color="auto" w:fill="D9D9D9"/>
            <w:vAlign w:val="top"/>
          </w:tcPr>
          <w:p>
            <w:pPr>
              <w:pStyle w:val="8"/>
              <w:spacing w:before="55" w:line="202" w:lineRule="auto"/>
              <w:ind w:left="30"/>
            </w:pPr>
            <w:r>
              <w:rPr>
                <w:spacing w:val="3"/>
              </w:rPr>
              <w:t>开始营业的，或者开业后自行停业连续三个</w:t>
            </w:r>
            <w:r>
              <w:rPr>
                <w:spacing w:val="2"/>
              </w:rPr>
              <w:t>月以上的，由公司登记</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2913" w:type="dxa"/>
            <w:gridSpan w:val="6"/>
            <w:tcBorders>
              <w:top w:val="single" w:color="000000" w:sz="2" w:space="0"/>
              <w:right w:val="single" w:color="000000" w:sz="2" w:space="0"/>
            </w:tcBorders>
            <w:shd w:val="clear" w:color="auto" w:fill="D9D9D9"/>
            <w:vAlign w:val="top"/>
          </w:tcPr>
          <w:p>
            <w:pPr>
              <w:pStyle w:val="8"/>
              <w:spacing w:before="53" w:line="208" w:lineRule="auto"/>
              <w:ind w:left="21"/>
            </w:pPr>
            <w:r>
              <w:rPr>
                <w:spacing w:val="-5"/>
              </w:rPr>
              <w:t>机关吊销其公司营业执照。</w:t>
            </w:r>
          </w:p>
        </w:tc>
        <w:tc>
          <w:tcPr>
            <w:tcW w:w="4183" w:type="dxa"/>
            <w:gridSpan w:val="6"/>
            <w:tcBorders>
              <w:top w:val="single" w:color="000000" w:sz="2" w:space="0"/>
              <w:left w:val="single" w:color="000000" w:sz="2" w:space="0"/>
            </w:tcBorders>
            <w:vAlign w:val="top"/>
          </w:tcPr>
          <w:p>
            <w:pPr>
              <w:rPr>
                <w:rFonts w:ascii="Arial"/>
                <w:sz w:val="21"/>
              </w:rPr>
            </w:pPr>
          </w:p>
        </w:tc>
        <w:tc>
          <w:tcPr>
            <w:tcW w:w="6802" w:type="dxa"/>
            <w:vMerge w:val="continue"/>
            <w:tcBorders>
              <w:top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57" w:type="dxa"/>
            <w:gridSpan w:val="9"/>
            <w:tcBorders>
              <w:bottom w:val="single" w:color="000000" w:sz="2" w:space="0"/>
              <w:right w:val="single" w:color="000000" w:sz="2" w:space="0"/>
            </w:tcBorders>
            <w:vAlign w:val="top"/>
          </w:tcPr>
          <w:p>
            <w:pPr>
              <w:pStyle w:val="8"/>
              <w:spacing w:before="57" w:line="188" w:lineRule="auto"/>
              <w:ind w:right="5"/>
              <w:jc w:val="right"/>
            </w:pPr>
            <w:r>
              <w:rPr>
                <w:rFonts w:ascii="黑体" w:hAnsi="黑体" w:eastAsia="黑体" w:cs="黑体"/>
                <w:spacing w:val="1"/>
              </w:rPr>
              <w:t xml:space="preserve">第二百二十二条第一款  </w:t>
            </w:r>
            <w:r>
              <w:rPr>
                <w:spacing w:val="1"/>
              </w:rPr>
              <w:t>证券公司</w:t>
            </w:r>
          </w:p>
        </w:tc>
        <w:tc>
          <w:tcPr>
            <w:tcW w:w="738" w:type="dxa"/>
            <w:tcBorders>
              <w:left w:val="single" w:color="000000" w:sz="2" w:space="0"/>
              <w:bottom w:val="single" w:color="000000" w:sz="2" w:space="0"/>
              <w:right w:val="single" w:color="000000" w:sz="2" w:space="0"/>
            </w:tcBorders>
            <w:shd w:val="clear" w:color="auto" w:fill="D9D9D9"/>
            <w:vAlign w:val="top"/>
          </w:tcPr>
          <w:p>
            <w:pPr>
              <w:pStyle w:val="8"/>
              <w:spacing w:before="57" w:line="188" w:lineRule="auto"/>
              <w:jc w:val="right"/>
            </w:pPr>
            <w:r>
              <w:rPr>
                <w:spacing w:val="-2"/>
              </w:rPr>
              <w:t>或者其</w:t>
            </w:r>
          </w:p>
        </w:tc>
        <w:tc>
          <w:tcPr>
            <w:tcW w:w="2201" w:type="dxa"/>
            <w:gridSpan w:val="2"/>
            <w:tcBorders>
              <w:left w:val="single" w:color="000000" w:sz="2" w:space="0"/>
              <w:bottom w:val="single" w:color="000000" w:sz="2" w:space="0"/>
            </w:tcBorders>
            <w:vAlign w:val="top"/>
          </w:tcPr>
          <w:p>
            <w:pPr>
              <w:pStyle w:val="8"/>
              <w:spacing w:before="57" w:line="188" w:lineRule="auto"/>
              <w:jc w:val="right"/>
            </w:pPr>
            <w:r>
              <w:rPr>
                <w:spacing w:val="1"/>
              </w:rPr>
              <w:t>股东、实际控制人违</w:t>
            </w:r>
          </w:p>
        </w:tc>
        <w:tc>
          <w:tcPr>
            <w:tcW w:w="6802" w:type="dxa"/>
            <w:vMerge w:val="restart"/>
            <w:tcBorders>
              <w:bottom w:val="nil"/>
            </w:tcBorders>
            <w:vAlign w:val="top"/>
          </w:tcPr>
          <w:p>
            <w:pPr>
              <w:pStyle w:val="8"/>
              <w:spacing w:before="44" w:line="236" w:lineRule="auto"/>
              <w:ind w:left="15" w:firstLine="498"/>
              <w:jc w:val="both"/>
            </w:pPr>
            <w:r>
              <w:rPr>
                <w:rFonts w:ascii="黑体" w:hAnsi="黑体" w:eastAsia="黑体" w:cs="黑体"/>
                <w:spacing w:val="1"/>
              </w:rPr>
              <w:t xml:space="preserve">第二百一十一条  </w:t>
            </w:r>
            <w:r>
              <w:rPr>
                <w:spacing w:val="1"/>
              </w:rPr>
              <w:t>证券公司及其主要股东、实际控制人违反</w:t>
            </w:r>
            <w:r>
              <w:rPr>
                <w:spacing w:val="2"/>
              </w:rPr>
              <w:t xml:space="preserve"> </w:t>
            </w:r>
            <w:r>
              <w:rPr>
                <w:spacing w:val="1"/>
              </w:rPr>
              <w:t>本法第</w:t>
            </w:r>
            <w:r>
              <w:rPr>
                <w:rFonts w:ascii="黑体" w:hAnsi="黑体" w:eastAsia="黑体" w:cs="黑体"/>
                <w:spacing w:val="1"/>
              </w:rPr>
              <w:t>一百三十八</w:t>
            </w:r>
            <w:r>
              <w:rPr>
                <w:spacing w:val="1"/>
              </w:rPr>
              <w:t>条的规定</w:t>
            </w:r>
            <w:r>
              <w:rPr>
                <w:rFonts w:ascii="黑体" w:hAnsi="黑体" w:eastAsia="黑体" w:cs="黑体"/>
                <w:spacing w:val="1"/>
              </w:rPr>
              <w:t>，未</w:t>
            </w:r>
            <w:r>
              <w:rPr>
                <w:spacing w:val="1"/>
              </w:rPr>
              <w:t>报送、提供信息和资料，或者报</w:t>
            </w:r>
            <w:r>
              <w:rPr>
                <w:spacing w:val="18"/>
              </w:rPr>
              <w:t xml:space="preserve"> </w:t>
            </w:r>
            <w:r>
              <w:rPr>
                <w:spacing w:val="11"/>
              </w:rPr>
              <w:t>送、提供的信息和资料有虚假记载、误导性陈</w:t>
            </w:r>
            <w:r>
              <w:rPr>
                <w:spacing w:val="10"/>
              </w:rPr>
              <w:t>述或者重大遗漏</w:t>
            </w:r>
            <w:r>
              <w:t xml:space="preserve"> </w:t>
            </w:r>
            <w:r>
              <w:rPr>
                <w:spacing w:val="-10"/>
              </w:rPr>
              <w:t>的， 责令改正，给予警告， 并处以</w:t>
            </w:r>
            <w:r>
              <w:rPr>
                <w:rFonts w:ascii="黑体" w:hAnsi="黑体" w:eastAsia="黑体" w:cs="黑体"/>
                <w:spacing w:val="-10"/>
              </w:rPr>
              <w:t>一百</w:t>
            </w:r>
            <w:r>
              <w:rPr>
                <w:spacing w:val="-10"/>
              </w:rPr>
              <w:t>万元以下的罚款； 情</w:t>
            </w:r>
            <w:r>
              <w:rPr>
                <w:spacing w:val="-11"/>
              </w:rPr>
              <w:t>节严</w:t>
            </w:r>
            <w:r>
              <w:t xml:space="preserve"> </w:t>
            </w:r>
            <w:r>
              <w:rPr>
                <w:spacing w:val="2"/>
              </w:rPr>
              <w:t>重的，并处撤销相关业务许可。对直接负责的</w:t>
            </w:r>
            <w:r>
              <w:rPr>
                <w:spacing w:val="1"/>
              </w:rPr>
              <w:t>主管人员和其他直</w:t>
            </w:r>
            <w:r>
              <w:t xml:space="preserve"> </w:t>
            </w:r>
            <w:r>
              <w:rPr>
                <w:spacing w:val="-3"/>
              </w:rPr>
              <w:t>接责任人员，给予警告，并处以</w:t>
            </w:r>
            <w:r>
              <w:rPr>
                <w:rFonts w:ascii="黑体" w:hAnsi="黑体" w:eastAsia="黑体" w:cs="黑体"/>
                <w:spacing w:val="-3"/>
              </w:rPr>
              <w:t>五十</w:t>
            </w:r>
            <w:r>
              <w:rPr>
                <w:spacing w:val="-3"/>
              </w:rPr>
              <w:t>万元以下的罚款。</w:t>
            </w: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7096" w:type="dxa"/>
            <w:gridSpan w:val="12"/>
            <w:vMerge w:val="restart"/>
            <w:tcBorders>
              <w:top w:val="single" w:color="000000" w:sz="2" w:space="0"/>
              <w:bottom w:val="nil"/>
            </w:tcBorders>
            <w:vAlign w:val="top"/>
          </w:tcPr>
          <w:p>
            <w:pPr>
              <w:pStyle w:val="8"/>
              <w:spacing w:before="34" w:line="322" w:lineRule="exact"/>
              <w:ind w:firstLine="14"/>
            </w:pPr>
            <w:r>
              <w:rPr>
                <w:position w:val="-6"/>
              </w:rPr>
              <w:pict>
                <v:group id="_x0000_s1171" o:spid="_x0000_s1171" o:spt="203" style="height:16.1pt;width:353.3pt;" coordsize="7065,322">
                  <o:lock v:ext="edit"/>
                  <v:rect id="_x0000_s1172" o:spid="_x0000_s1172" o:spt="1" style="position:absolute;left:242;top:0;height:312;width:5847;" fillcolor="#D9D9D9" filled="t" stroked="f" coordsize="21600,21600">
                    <v:path/>
                    <v:fill on="t" focussize="0,0"/>
                    <v:stroke on="f"/>
                    <v:imagedata o:title=""/>
                    <o:lock v:ext="edit"/>
                  </v:rect>
                  <v:shape id="_x0000_s1173" o:spid="_x0000_s1173" o:spt="202" type="#_x0000_t202" style="position:absolute;left:-20;top:-20;height:362;width:7105;" filled="f" stroked="f" coordsize="21600,21600">
                    <v:path/>
                    <v:fill on="f" focussize="0,0"/>
                    <v:stroke on="f"/>
                    <v:imagedata o:title=""/>
                    <o:lock v:ext="edit" aspectratio="f"/>
                    <v:textbox inset="0mm,0mm,0mm,0mm">
                      <w:txbxContent>
                        <w:p>
                          <w:pPr>
                            <w:spacing w:before="20"/>
                            <w:ind w:left="20"/>
                            <w:rPr>
                              <w:rFonts w:ascii="仿宋" w:hAnsi="仿宋" w:eastAsia="仿宋" w:cs="仿宋"/>
                              <w:sz w:val="24"/>
                              <w:szCs w:val="24"/>
                            </w:rPr>
                          </w:pPr>
                          <w:r>
                            <w:rPr>
                              <w:rFonts w:ascii="仿宋" w:hAnsi="仿宋" w:eastAsia="仿宋" w:cs="仿宋"/>
                              <w:spacing w:val="2"/>
                              <w:sz w:val="24"/>
                              <w:szCs w:val="24"/>
                            </w:rPr>
                            <w:t>反</w:t>
                          </w:r>
                          <w:r>
                            <w:rPr>
                              <w:position w:val="-7"/>
                              <w:sz w:val="24"/>
                              <w:szCs w:val="24"/>
                            </w:rPr>
                            <w:drawing>
                              <wp:inline distT="0" distB="0" distL="0" distR="0">
                                <wp:extent cx="9525" cy="203835"/>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80"/>
                                        <a:stretch>
                                          <a:fillRect/>
                                        </a:stretch>
                                      </pic:blipFill>
                                      <pic:spPr>
                                        <a:xfrm>
                                          <a:off x="0" y="0"/>
                                          <a:ext cx="9537" cy="204216"/>
                                        </a:xfrm>
                                        <a:prstGeom prst="rect">
                                          <a:avLst/>
                                        </a:prstGeom>
                                      </pic:spPr>
                                    </pic:pic>
                                  </a:graphicData>
                                </a:graphic>
                              </wp:inline>
                            </w:drawing>
                          </w:r>
                          <w:r>
                            <w:rPr>
                              <w:rFonts w:ascii="仿宋" w:hAnsi="仿宋" w:eastAsia="仿宋" w:cs="仿宋"/>
                              <w:spacing w:val="2"/>
                              <w:sz w:val="24"/>
                              <w:szCs w:val="24"/>
                              <w:u w:val="single" w:color="auto"/>
                            </w:rPr>
                            <w:t>规定，拒不向证券监督管理机构报送或者提供经营管理</w:t>
                          </w:r>
                          <w:r>
                            <w:rPr>
                              <w:position w:val="-7"/>
                              <w:sz w:val="24"/>
                              <w:szCs w:val="24"/>
                            </w:rPr>
                            <w:drawing>
                              <wp:inline distT="0" distB="0" distL="0" distR="0">
                                <wp:extent cx="9525" cy="203835"/>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73"/>
                                        <a:stretch>
                                          <a:fillRect/>
                                        </a:stretch>
                                      </pic:blipFill>
                                      <pic:spPr>
                                        <a:xfrm>
                                          <a:off x="0" y="0"/>
                                          <a:ext cx="9538" cy="204216"/>
                                        </a:xfrm>
                                        <a:prstGeom prst="rect">
                                          <a:avLst/>
                                        </a:prstGeom>
                                      </pic:spPr>
                                    </pic:pic>
                                  </a:graphicData>
                                </a:graphic>
                              </wp:inline>
                            </w:drawing>
                          </w:r>
                          <w:r>
                            <w:rPr>
                              <w:rFonts w:ascii="仿宋" w:hAnsi="仿宋" w:eastAsia="仿宋" w:cs="仿宋"/>
                              <w:spacing w:val="2"/>
                              <w:sz w:val="24"/>
                              <w:szCs w:val="24"/>
                            </w:rPr>
                            <w:t>信息和资</w:t>
                          </w:r>
                        </w:p>
                      </w:txbxContent>
                    </v:textbox>
                  </v:shape>
                  <w10:wrap type="none"/>
                  <w10:anchorlock/>
                </v:group>
              </w:pict>
            </w:r>
          </w:p>
          <w:p>
            <w:pPr>
              <w:pStyle w:val="8"/>
              <w:spacing w:before="9" w:line="239" w:lineRule="auto"/>
              <w:ind w:left="11" w:right="1" w:firstLine="5"/>
            </w:pPr>
            <w:r>
              <w:rPr>
                <w:spacing w:val="-1"/>
              </w:rPr>
              <w:t>料，</w:t>
            </w:r>
            <w:r>
              <w:rPr>
                <w:spacing w:val="-18"/>
              </w:rPr>
              <w:t xml:space="preserve"> </w:t>
            </w:r>
            <w:r>
              <w:rPr>
                <w:spacing w:val="-1"/>
              </w:rPr>
              <w:t>或者报送、提供的</w:t>
            </w:r>
            <w:r>
              <w:rPr>
                <w:position w:val="-7"/>
              </w:rPr>
              <w:drawing>
                <wp:inline distT="0" distB="0" distL="0" distR="0">
                  <wp:extent cx="8255" cy="19685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96"/>
                          <a:stretch>
                            <a:fillRect/>
                          </a:stretch>
                        </pic:blipFill>
                        <pic:spPr>
                          <a:xfrm>
                            <a:off x="0" y="0"/>
                            <a:ext cx="8661" cy="197421"/>
                          </a:xfrm>
                          <a:prstGeom prst="rect">
                            <a:avLst/>
                          </a:prstGeom>
                        </pic:spPr>
                      </pic:pic>
                    </a:graphicData>
                  </a:graphic>
                </wp:inline>
              </w:drawing>
            </w:r>
            <w:r>
              <w:rPr>
                <w:spacing w:val="-1"/>
                <w:u w:val="single" w:color="auto"/>
                <w:shd w:val="clear" w:fill="D9D9D9"/>
              </w:rPr>
              <w:t>经营管理</w:t>
            </w:r>
            <w:r>
              <w:rPr>
                <w:position w:val="-7"/>
              </w:rPr>
              <w:drawing>
                <wp:inline distT="0" distB="0" distL="0" distR="0">
                  <wp:extent cx="8255" cy="19685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76"/>
                          <a:stretch>
                            <a:fillRect/>
                          </a:stretch>
                        </pic:blipFill>
                        <pic:spPr>
                          <a:xfrm>
                            <a:off x="0" y="0"/>
                            <a:ext cx="8661" cy="197421"/>
                          </a:xfrm>
                          <a:prstGeom prst="rect">
                            <a:avLst/>
                          </a:prstGeom>
                        </pic:spPr>
                      </pic:pic>
                    </a:graphicData>
                  </a:graphic>
                </wp:inline>
              </w:drawing>
            </w:r>
            <w:r>
              <w:rPr>
                <w:spacing w:val="-1"/>
              </w:rPr>
              <w:t>信息和资料有虚假</w:t>
            </w:r>
            <w:r>
              <w:rPr>
                <w:spacing w:val="-1"/>
                <w:u w:val="single" w:color="auto"/>
              </w:rPr>
              <w:t>记载、误导性陈</w:t>
            </w:r>
            <w:r>
              <w:t xml:space="preserve"> </w:t>
            </w:r>
            <w:r>
              <w:rPr>
                <w:spacing w:val="-5"/>
              </w:rPr>
              <w:t>述或者重大遗漏的， 责令改正，给予警告， 并处以</w:t>
            </w:r>
            <w:r>
              <w:rPr>
                <w:position w:val="-6"/>
              </w:rPr>
              <w:drawing>
                <wp:inline distT="0" distB="0" distL="0" distR="0">
                  <wp:extent cx="9525" cy="191135"/>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84"/>
                          <a:stretch>
                            <a:fillRect/>
                          </a:stretch>
                        </pic:blipFill>
                        <pic:spPr>
                          <a:xfrm>
                            <a:off x="0" y="0"/>
                            <a:ext cx="9778" cy="191528"/>
                          </a:xfrm>
                          <a:prstGeom prst="rect">
                            <a:avLst/>
                          </a:prstGeom>
                        </pic:spPr>
                      </pic:pic>
                    </a:graphicData>
                  </a:graphic>
                </wp:inline>
              </w:drawing>
            </w:r>
            <w:r>
              <w:rPr>
                <w:spacing w:val="-5"/>
                <w:shd w:val="clear" w:fill="D9D9D9"/>
              </w:rPr>
              <w:t>三万元以</w:t>
            </w:r>
            <w:r>
              <w:rPr>
                <w:spacing w:val="-6"/>
                <w:shd w:val="clear" w:fill="D9D9D9"/>
              </w:rPr>
              <w:t>上三十</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096" w:type="dxa"/>
            <w:gridSpan w:val="12"/>
            <w:vMerge w:val="continue"/>
            <w:tcBorders>
              <w:top w:val="nil"/>
              <w:bottom w:val="nil"/>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096" w:type="dxa"/>
            <w:gridSpan w:val="12"/>
            <w:vMerge w:val="continue"/>
            <w:tcBorders>
              <w:top w:val="nil"/>
              <w:bottom w:val="single" w:color="000000" w:sz="2" w:space="0"/>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518" w:type="dxa"/>
            <w:tcBorders>
              <w:top w:val="single" w:color="000000" w:sz="2" w:space="0"/>
              <w:bottom w:val="single" w:color="000000" w:sz="2" w:space="0"/>
              <w:right w:val="single" w:color="000000" w:sz="2" w:space="0"/>
            </w:tcBorders>
            <w:shd w:val="clear" w:color="auto" w:fill="D9D9D9"/>
            <w:vAlign w:val="top"/>
          </w:tcPr>
          <w:p>
            <w:pPr>
              <w:pStyle w:val="8"/>
              <w:spacing w:before="62" w:line="194" w:lineRule="auto"/>
              <w:ind w:right="2"/>
              <w:jc w:val="right"/>
            </w:pPr>
            <w:r>
              <w:rPr>
                <w:spacing w:val="-6"/>
              </w:rPr>
              <w:t>万元</w:t>
            </w:r>
          </w:p>
        </w:tc>
        <w:tc>
          <w:tcPr>
            <w:tcW w:w="1208" w:type="dxa"/>
            <w:tcBorders>
              <w:top w:val="nil"/>
              <w:left w:val="single" w:color="000000" w:sz="2" w:space="0"/>
              <w:bottom w:val="nil"/>
              <w:right w:val="single" w:color="000000" w:sz="2" w:space="0"/>
            </w:tcBorders>
            <w:vAlign w:val="top"/>
          </w:tcPr>
          <w:p>
            <w:pPr>
              <w:pStyle w:val="8"/>
              <w:spacing w:before="62" w:line="194" w:lineRule="auto"/>
              <w:jc w:val="right"/>
            </w:pPr>
            <w:r>
              <w:rPr>
                <w:spacing w:val="-7"/>
              </w:rPr>
              <w:t>以下的罚款</w:t>
            </w:r>
          </w:p>
        </w:tc>
        <w:tc>
          <w:tcPr>
            <w:tcW w:w="3169" w:type="dxa"/>
            <w:gridSpan w:val="8"/>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62" w:line="194" w:lineRule="auto"/>
              <w:ind w:left="42"/>
            </w:pPr>
            <w:r>
              <w:rPr>
                <w:spacing w:val="-9"/>
              </w:rPr>
              <w:t>,</w:t>
            </w:r>
            <w:r>
              <w:rPr>
                <w:spacing w:val="89"/>
              </w:rPr>
              <w:t xml:space="preserve"> </w:t>
            </w:r>
            <w:r>
              <w:rPr>
                <w:spacing w:val="-9"/>
              </w:rPr>
              <w:t>可以暂停或者撤销证券公司</w:t>
            </w:r>
          </w:p>
        </w:tc>
        <w:tc>
          <w:tcPr>
            <w:tcW w:w="2201" w:type="dxa"/>
            <w:gridSpan w:val="2"/>
            <w:tcBorders>
              <w:top w:val="single" w:color="000000" w:sz="2" w:space="0"/>
              <w:left w:val="single" w:color="000000" w:sz="2" w:space="0"/>
              <w:bottom w:val="nil"/>
            </w:tcBorders>
            <w:vAlign w:val="top"/>
          </w:tcPr>
          <w:p>
            <w:pPr>
              <w:pStyle w:val="8"/>
              <w:spacing w:before="62" w:line="194" w:lineRule="auto"/>
              <w:jc w:val="right"/>
            </w:pPr>
            <w:r>
              <w:rPr>
                <w:spacing w:val="1"/>
              </w:rPr>
              <w:t>相关业务许可。对直</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6354" w:type="dxa"/>
            <w:gridSpan w:val="11"/>
            <w:vMerge w:val="restart"/>
            <w:tcBorders>
              <w:top w:val="single" w:color="000000" w:sz="2" w:space="0"/>
              <w:bottom w:val="nil"/>
              <w:right w:val="nil"/>
            </w:tcBorders>
            <w:vAlign w:val="top"/>
          </w:tcPr>
          <w:p>
            <w:pPr>
              <w:pStyle w:val="8"/>
              <w:spacing w:before="64" w:line="215" w:lineRule="auto"/>
              <w:ind w:left="13"/>
            </w:pPr>
            <w:r>
              <w:drawing>
                <wp:anchor distT="0" distB="0" distL="0" distR="0" simplePos="0" relativeHeight="251795456" behindDoc="1" locked="0" layoutInCell="1" allowOverlap="1">
                  <wp:simplePos x="0" y="0"/>
                  <wp:positionH relativeFrom="rightMargin">
                    <wp:posOffset>-3256915</wp:posOffset>
                  </wp:positionH>
                  <wp:positionV relativeFrom="topMargin">
                    <wp:posOffset>220980</wp:posOffset>
                  </wp:positionV>
                  <wp:extent cx="2591435" cy="6350"/>
                  <wp:effectExtent l="0" t="0" r="0" b="0"/>
                  <wp:wrapNone/>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138"/>
                          <a:stretch>
                            <a:fillRect/>
                          </a:stretch>
                        </pic:blipFill>
                        <pic:spPr>
                          <a:xfrm>
                            <a:off x="0" y="0"/>
                            <a:ext cx="2591180" cy="6350"/>
                          </a:xfrm>
                          <a:prstGeom prst="rect">
                            <a:avLst/>
                          </a:prstGeom>
                        </pic:spPr>
                      </pic:pic>
                    </a:graphicData>
                  </a:graphic>
                </wp:anchor>
              </w:drawing>
            </w:r>
            <w:r>
              <w:rPr>
                <w:spacing w:val="3"/>
              </w:rPr>
              <w:t>接负责的主管人员和其他直接责任人员，给予警告，并处以</w:t>
            </w:r>
          </w:p>
          <w:p>
            <w:pPr>
              <w:pStyle w:val="8"/>
              <w:spacing w:before="4" w:line="235" w:lineRule="auto"/>
              <w:ind w:left="46"/>
            </w:pPr>
            <w:r>
              <w:rPr>
                <w:spacing w:val="-2"/>
              </w:rPr>
              <w:t>以下的罚款</w:t>
            </w:r>
            <w:r>
              <w:rPr>
                <w:position w:val="24"/>
              </w:rPr>
              <w:drawing>
                <wp:inline distT="0" distB="0" distL="0" distR="0">
                  <wp:extent cx="5080" cy="5715"/>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81"/>
                          <a:stretch>
                            <a:fillRect/>
                          </a:stretch>
                        </pic:blipFill>
                        <pic:spPr>
                          <a:xfrm>
                            <a:off x="0" y="0"/>
                            <a:ext cx="5444" cy="6095"/>
                          </a:xfrm>
                          <a:prstGeom prst="rect">
                            <a:avLst/>
                          </a:prstGeom>
                        </pic:spPr>
                      </pic:pic>
                    </a:graphicData>
                  </a:graphic>
                </wp:inline>
              </w:drawing>
            </w:r>
            <w:r>
              <w:rPr>
                <w:position w:val="-6"/>
              </w:rPr>
              <w:drawing>
                <wp:inline distT="0" distB="0" distL="0" distR="0">
                  <wp:extent cx="5080" cy="1981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76"/>
                          <a:stretch>
                            <a:fillRect/>
                          </a:stretch>
                        </pic:blipFill>
                        <pic:spPr>
                          <a:xfrm>
                            <a:off x="0" y="0"/>
                            <a:ext cx="5444" cy="198120"/>
                          </a:xfrm>
                          <a:prstGeom prst="rect">
                            <a:avLst/>
                          </a:prstGeom>
                        </pic:spPr>
                      </pic:pic>
                    </a:graphicData>
                  </a:graphic>
                </wp:inline>
              </w:drawing>
            </w:r>
            <w:r>
              <w:rPr>
                <w:spacing w:val="-2"/>
                <w:shd w:val="clear" w:fill="D9D9D9"/>
              </w:rPr>
              <w:t>，可以撤销任职资格或者证券从业</w:t>
            </w:r>
            <w:r>
              <w:rPr>
                <w:spacing w:val="-3"/>
                <w:shd w:val="clear" w:fill="D9D9D9"/>
              </w:rPr>
              <w:t>资格</w:t>
            </w:r>
            <w:r>
              <w:rPr>
                <w:position w:val="-6"/>
              </w:rPr>
              <w:drawing>
                <wp:inline distT="0" distB="0" distL="0" distR="0">
                  <wp:extent cx="5080" cy="203835"/>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89"/>
                          <a:stretch>
                            <a:fillRect/>
                          </a:stretch>
                        </pic:blipFill>
                        <pic:spPr>
                          <a:xfrm>
                            <a:off x="0" y="0"/>
                            <a:ext cx="5444" cy="204216"/>
                          </a:xfrm>
                          <a:prstGeom prst="rect">
                            <a:avLst/>
                          </a:prstGeom>
                        </pic:spPr>
                      </pic:pic>
                    </a:graphicData>
                  </a:graphic>
                </wp:inline>
              </w:drawing>
            </w:r>
            <w:r>
              <w:rPr>
                <w:spacing w:val="-3"/>
              </w:rPr>
              <w:t>。</w:t>
            </w:r>
          </w:p>
        </w:tc>
        <w:tc>
          <w:tcPr>
            <w:tcW w:w="742" w:type="dxa"/>
            <w:tcBorders>
              <w:top w:val="single" w:color="000000" w:sz="2" w:space="0"/>
              <w:left w:val="single" w:color="000000" w:sz="2" w:space="0"/>
              <w:bottom w:val="single" w:color="000000" w:sz="2" w:space="0"/>
            </w:tcBorders>
            <w:shd w:val="clear" w:color="auto" w:fill="D9D9D9"/>
            <w:vAlign w:val="top"/>
          </w:tcPr>
          <w:p>
            <w:pPr>
              <w:pStyle w:val="8"/>
              <w:spacing w:before="64" w:line="157" w:lineRule="auto"/>
              <w:ind w:left="24"/>
            </w:pPr>
            <w:r>
              <w:rPr>
                <w:spacing w:val="-8"/>
              </w:rPr>
              <w:t>三万元</w:t>
            </w: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 w:hRule="atLeast"/>
        </w:trPr>
        <w:tc>
          <w:tcPr>
            <w:tcW w:w="6354" w:type="dxa"/>
            <w:gridSpan w:val="11"/>
            <w:vMerge w:val="continue"/>
            <w:tcBorders>
              <w:top w:val="nil"/>
              <w:bottom w:val="nil"/>
              <w:right w:val="nil"/>
            </w:tcBorders>
            <w:vAlign w:val="top"/>
          </w:tcPr>
          <w:p>
            <w:pPr>
              <w:rPr>
                <w:rFonts w:ascii="Arial"/>
                <w:sz w:val="21"/>
              </w:rPr>
            </w:pPr>
          </w:p>
        </w:tc>
        <w:tc>
          <w:tcPr>
            <w:tcW w:w="742" w:type="dxa"/>
            <w:vMerge w:val="restart"/>
            <w:tcBorders>
              <w:top w:val="single" w:color="000000" w:sz="2" w:space="0"/>
              <w:left w:val="nil"/>
              <w:bottom w:val="nil"/>
            </w:tcBorders>
            <w:vAlign w:val="top"/>
          </w:tcPr>
          <w:p>
            <w:pPr>
              <w:rPr>
                <w:rFonts w:ascii="Arial"/>
                <w:sz w:val="21"/>
              </w:rPr>
            </w:pPr>
          </w:p>
        </w:tc>
        <w:tc>
          <w:tcPr>
            <w:tcW w:w="6802" w:type="dxa"/>
            <w:vMerge w:val="continue"/>
            <w:tcBorders>
              <w:top w:val="nil"/>
              <w:bottom w:val="nil"/>
            </w:tcBorders>
            <w:vAlign w:val="top"/>
          </w:tcPr>
          <w:p>
            <w:pPr>
              <w:rPr>
                <w:rFonts w:ascii="Arial"/>
                <w:sz w:val="21"/>
              </w:rPr>
            </w:pPr>
          </w:p>
        </w:tc>
        <w:tc>
          <w:tcPr>
            <w:tcW w:w="86" w:type="dxa"/>
            <w:tcBorders>
              <w:top w:val="nil"/>
              <w:bottom w:val="nil"/>
              <w:right w:val="nil"/>
            </w:tcBorders>
            <w:vAlign w:val="top"/>
          </w:tcPr>
          <w:p>
            <w:pPr>
              <w:spacing w:line="106" w:lineRule="exact"/>
              <w:rPr>
                <w:rFonts w:ascii="Arial"/>
                <w:sz w:val="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354" w:type="dxa"/>
            <w:gridSpan w:val="11"/>
            <w:vMerge w:val="continue"/>
            <w:tcBorders>
              <w:top w:val="nil"/>
              <w:right w:val="nil"/>
            </w:tcBorders>
            <w:vAlign w:val="top"/>
          </w:tcPr>
          <w:p>
            <w:pPr>
              <w:rPr>
                <w:rFonts w:ascii="Arial"/>
                <w:sz w:val="21"/>
              </w:rPr>
            </w:pPr>
          </w:p>
        </w:tc>
        <w:tc>
          <w:tcPr>
            <w:tcW w:w="742" w:type="dxa"/>
            <w:vMerge w:val="continue"/>
            <w:tcBorders>
              <w:top w:val="nil"/>
              <w:left w:val="nil"/>
            </w:tcBorders>
            <w:vAlign w:val="top"/>
          </w:tcPr>
          <w:p>
            <w:pPr>
              <w:rPr>
                <w:rFonts w:ascii="Arial"/>
                <w:sz w:val="21"/>
              </w:rPr>
            </w:pPr>
          </w:p>
        </w:tc>
        <w:tc>
          <w:tcPr>
            <w:tcW w:w="6802" w:type="dxa"/>
            <w:vMerge w:val="continue"/>
            <w:tcBorders>
              <w:top w:val="nil"/>
            </w:tcBorders>
            <w:vAlign w:val="top"/>
          </w:tcPr>
          <w:p>
            <w:pPr>
              <w:rPr>
                <w:rFonts w:ascii="Arial"/>
                <w:sz w:val="21"/>
              </w:rPr>
            </w:pPr>
          </w:p>
        </w:tc>
        <w:tc>
          <w:tcPr>
            <w:tcW w:w="86" w:type="dxa"/>
            <w:tcBorders>
              <w:top w:val="nil"/>
              <w:bottom w:val="nil"/>
              <w:right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3" w:type="default"/>
          <w:pgSz w:w="16845" w:h="11910"/>
          <w:pgMar w:top="1012" w:right="1425"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40"/>
        <w:gridCol w:w="489"/>
        <w:gridCol w:w="269"/>
        <w:gridCol w:w="242"/>
        <w:gridCol w:w="218"/>
        <w:gridCol w:w="994"/>
        <w:gridCol w:w="497"/>
        <w:gridCol w:w="439"/>
        <w:gridCol w:w="461"/>
        <w:gridCol w:w="1048"/>
        <w:gridCol w:w="974"/>
        <w:gridCol w:w="6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2222" w:type="dxa"/>
            <w:gridSpan w:val="4"/>
            <w:tcBorders>
              <w:bottom w:val="single" w:color="000000" w:sz="2" w:space="0"/>
              <w:right w:val="single" w:color="000000" w:sz="2" w:space="0"/>
            </w:tcBorders>
            <w:vAlign w:val="top"/>
          </w:tcPr>
          <w:p>
            <w:pPr>
              <w:spacing w:before="52" w:line="209" w:lineRule="auto"/>
              <w:ind w:right="13"/>
              <w:jc w:val="right"/>
              <w:rPr>
                <w:rFonts w:ascii="黑体" w:hAnsi="黑体" w:eastAsia="黑体" w:cs="黑体"/>
                <w:sz w:val="24"/>
                <w:szCs w:val="24"/>
              </w:rPr>
            </w:pPr>
            <w:r>
              <w:rPr>
                <w:rFonts w:ascii="黑体" w:hAnsi="黑体" w:eastAsia="黑体" w:cs="黑体"/>
                <w:sz w:val="24"/>
                <w:szCs w:val="24"/>
              </w:rPr>
              <w:t>第二百二十四条</w:t>
            </w:r>
          </w:p>
        </w:tc>
        <w:tc>
          <w:tcPr>
            <w:tcW w:w="4873" w:type="dxa"/>
            <w:gridSpan w:val="8"/>
            <w:tcBorders>
              <w:left w:val="single" w:color="000000" w:sz="2" w:space="0"/>
              <w:bottom w:val="single" w:color="000000" w:sz="2" w:space="0"/>
            </w:tcBorders>
            <w:shd w:val="clear" w:color="auto" w:fill="D9D9D9"/>
            <w:vAlign w:val="top"/>
          </w:tcPr>
          <w:p>
            <w:pPr>
              <w:pStyle w:val="8"/>
              <w:spacing w:before="53" w:line="208" w:lineRule="auto"/>
              <w:ind w:right="29"/>
              <w:jc w:val="right"/>
            </w:pPr>
            <w:r>
              <w:rPr>
                <w:spacing w:val="1"/>
              </w:rPr>
              <w:t>违反本法规定，发行、承销公司债券的，由</w:t>
            </w:r>
          </w:p>
        </w:tc>
        <w:tc>
          <w:tcPr>
            <w:tcW w:w="6812"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073" w:type="dxa"/>
            <w:gridSpan w:val="10"/>
            <w:tcBorders>
              <w:top w:val="single" w:color="000000" w:sz="2" w:space="0"/>
              <w:bottom w:val="single" w:color="000000" w:sz="2" w:space="0"/>
              <w:right w:val="single" w:color="000000" w:sz="2" w:space="0"/>
            </w:tcBorders>
            <w:shd w:val="clear" w:color="auto" w:fill="D9D9D9"/>
            <w:vAlign w:val="top"/>
          </w:tcPr>
          <w:p>
            <w:pPr>
              <w:pStyle w:val="8"/>
              <w:spacing w:before="45" w:line="201" w:lineRule="auto"/>
              <w:ind w:left="43"/>
            </w:pPr>
            <w:r>
              <w:rPr>
                <w:spacing w:val="-4"/>
              </w:rPr>
              <w:t>国务院授权的部门依照本法有关规定予以处罚。</w:t>
            </w:r>
          </w:p>
        </w:tc>
        <w:tc>
          <w:tcPr>
            <w:tcW w:w="2022" w:type="dxa"/>
            <w:gridSpan w:val="2"/>
            <w:vMerge w:val="restart"/>
            <w:tcBorders>
              <w:top w:val="single" w:color="000000" w:sz="2" w:space="0"/>
              <w:left w:val="nil"/>
              <w:bottom w:val="nil"/>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 w:hRule="atLeast"/>
        </w:trPr>
        <w:tc>
          <w:tcPr>
            <w:tcW w:w="5073" w:type="dxa"/>
            <w:gridSpan w:val="10"/>
            <w:tcBorders>
              <w:top w:val="single" w:color="000000" w:sz="2" w:space="0"/>
              <w:right w:val="nil"/>
            </w:tcBorders>
            <w:vAlign w:val="top"/>
          </w:tcPr>
          <w:p>
            <w:pPr>
              <w:rPr>
                <w:rFonts w:ascii="Arial"/>
                <w:sz w:val="21"/>
              </w:rPr>
            </w:pPr>
          </w:p>
        </w:tc>
        <w:tc>
          <w:tcPr>
            <w:tcW w:w="2022" w:type="dxa"/>
            <w:gridSpan w:val="2"/>
            <w:vMerge w:val="continue"/>
            <w:tcBorders>
              <w:top w:val="nil"/>
              <w:left w:val="nil"/>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2464" w:type="dxa"/>
            <w:gridSpan w:val="5"/>
            <w:tcBorders>
              <w:bottom w:val="nil"/>
              <w:right w:val="single" w:color="000000" w:sz="2" w:space="0"/>
            </w:tcBorders>
            <w:vAlign w:val="top"/>
          </w:tcPr>
          <w:p>
            <w:pPr>
              <w:spacing w:before="44" w:line="194" w:lineRule="auto"/>
              <w:ind w:left="513"/>
              <w:rPr>
                <w:rFonts w:ascii="黑体" w:hAnsi="黑体" w:eastAsia="黑体" w:cs="黑体"/>
                <w:sz w:val="24"/>
                <w:szCs w:val="24"/>
              </w:rPr>
            </w:pPr>
            <w:r>
              <w:rPr>
                <w:rFonts w:ascii="黑体" w:hAnsi="黑体" w:eastAsia="黑体" w:cs="黑体"/>
                <w:sz w:val="24"/>
                <w:szCs w:val="24"/>
              </w:rPr>
              <w:t>第二百二十六条</w:t>
            </w:r>
          </w:p>
        </w:tc>
        <w:tc>
          <w:tcPr>
            <w:tcW w:w="3657" w:type="dxa"/>
            <w:gridSpan w:val="6"/>
            <w:tcBorders>
              <w:left w:val="single" w:color="000000" w:sz="2" w:space="0"/>
              <w:bottom w:val="single" w:color="000000" w:sz="2" w:space="0"/>
              <w:right w:val="single" w:color="000000" w:sz="2" w:space="0"/>
            </w:tcBorders>
            <w:shd w:val="clear" w:color="auto" w:fill="D9D9D9"/>
            <w:vAlign w:val="top"/>
          </w:tcPr>
          <w:p>
            <w:pPr>
              <w:pStyle w:val="8"/>
              <w:spacing w:before="46" w:line="193" w:lineRule="auto"/>
              <w:ind w:left="5"/>
            </w:pPr>
            <w:r>
              <w:rPr>
                <w:spacing w:val="2"/>
              </w:rPr>
              <w:t>未经国务院证券监督管理机构批准</w:t>
            </w:r>
          </w:p>
        </w:tc>
        <w:tc>
          <w:tcPr>
            <w:tcW w:w="974" w:type="dxa"/>
            <w:vMerge w:val="restart"/>
            <w:tcBorders>
              <w:left w:val="nil"/>
              <w:bottom w:val="nil"/>
            </w:tcBorders>
            <w:vAlign w:val="top"/>
          </w:tcPr>
          <w:p>
            <w:pPr>
              <w:pStyle w:val="8"/>
              <w:spacing w:before="45" w:line="232" w:lineRule="auto"/>
              <w:ind w:left="18" w:firstLine="11"/>
            </w:pPr>
            <w:r>
              <w:rPr>
                <w:spacing w:val="22"/>
              </w:rPr>
              <w:t>,擅自设</w:t>
            </w:r>
            <w:r>
              <w:t xml:space="preserve"> </w:t>
            </w:r>
            <w:r>
              <w:rPr>
                <w:spacing w:val="-4"/>
              </w:rPr>
              <w:t>没收违法</w:t>
            </w:r>
          </w:p>
        </w:tc>
        <w:tc>
          <w:tcPr>
            <w:tcW w:w="6812" w:type="dxa"/>
            <w:vMerge w:val="restart"/>
            <w:tcBorders>
              <w:bottom w:val="nil"/>
            </w:tcBorders>
            <w:vAlign w:val="top"/>
          </w:tcPr>
          <w:p>
            <w:pPr>
              <w:pStyle w:val="8"/>
              <w:spacing w:before="32" w:line="235" w:lineRule="auto"/>
              <w:ind w:left="16" w:right="6" w:firstLine="499"/>
              <w:rPr>
                <w:rFonts w:ascii="黑体" w:hAnsi="黑体" w:eastAsia="黑体" w:cs="黑体"/>
              </w:rPr>
            </w:pPr>
            <w:r>
              <w:rPr>
                <w:rFonts w:ascii="黑体" w:hAnsi="黑体" w:eastAsia="黑体" w:cs="黑体"/>
                <w:spacing w:val="1"/>
              </w:rPr>
              <w:t xml:space="preserve">第二百一十二条  </w:t>
            </w:r>
            <w:r>
              <w:rPr>
                <w:spacing w:val="1"/>
              </w:rPr>
              <w:t>违反本法第</w:t>
            </w:r>
            <w:r>
              <w:rPr>
                <w:rFonts w:ascii="黑体" w:hAnsi="黑体" w:eastAsia="黑体" w:cs="黑体"/>
                <w:spacing w:val="1"/>
              </w:rPr>
              <w:t>一百四十五</w:t>
            </w:r>
            <w:r>
              <w:rPr>
                <w:spacing w:val="1"/>
              </w:rPr>
              <w:t>条的规定，擅自设</w:t>
            </w:r>
            <w:r>
              <w:rPr>
                <w:spacing w:val="6"/>
              </w:rPr>
              <w:t xml:space="preserve"> </w:t>
            </w:r>
            <w:r>
              <w:t>立证券登记结算机构的，由国务院证券监督管理机构予以</w:t>
            </w:r>
            <w:r>
              <w:rPr>
                <w:spacing w:val="-1"/>
              </w:rPr>
              <w:t>取缔，</w:t>
            </w:r>
            <w:r>
              <w:t xml:space="preserve"> </w:t>
            </w:r>
            <w:r>
              <w:rPr>
                <w:spacing w:val="2"/>
              </w:rPr>
              <w:t>没收违法所得，并处以违法所得一倍以上</w:t>
            </w:r>
            <w:r>
              <w:rPr>
                <w:rFonts w:ascii="黑体" w:hAnsi="黑体" w:eastAsia="黑体" w:cs="黑体"/>
                <w:spacing w:val="2"/>
              </w:rPr>
              <w:t>十</w:t>
            </w:r>
            <w:r>
              <w:rPr>
                <w:spacing w:val="2"/>
              </w:rPr>
              <w:t>倍以下的罚</w:t>
            </w:r>
            <w:r>
              <w:rPr>
                <w:spacing w:val="1"/>
              </w:rPr>
              <w:t>款；</w:t>
            </w:r>
            <w:r>
              <w:rPr>
                <w:rFonts w:ascii="黑体" w:hAnsi="黑体" w:eastAsia="黑体" w:cs="黑体"/>
                <w:spacing w:val="1"/>
              </w:rPr>
              <w:t>没有</w:t>
            </w:r>
            <w:r>
              <w:rPr>
                <w:rFonts w:ascii="黑体" w:hAnsi="黑体" w:eastAsia="黑体" w:cs="黑体"/>
              </w:rPr>
              <w:t xml:space="preserve"> </w:t>
            </w:r>
            <w:r>
              <w:rPr>
                <w:rFonts w:ascii="黑体" w:hAnsi="黑体" w:eastAsia="黑体" w:cs="黑体"/>
                <w:spacing w:val="-3"/>
              </w:rPr>
              <w:t>违法所得或者违法所得不足五十万元的， 处以五十万元以上五百</w:t>
            </w:r>
            <w:r>
              <w:rPr>
                <w:rFonts w:ascii="黑体" w:hAnsi="黑体" w:eastAsia="黑体" w:cs="黑体"/>
                <w:spacing w:val="18"/>
              </w:rPr>
              <w:t xml:space="preserve"> </w:t>
            </w:r>
            <w:r>
              <w:rPr>
                <w:rFonts w:ascii="黑体" w:hAnsi="黑体" w:eastAsia="黑体" w:cs="黑体"/>
                <w:spacing w:val="2"/>
              </w:rPr>
              <w:t>万元以下的罚款。对直接负责的主管人员和其他直接责</w:t>
            </w:r>
            <w:r>
              <w:rPr>
                <w:rFonts w:ascii="黑体" w:hAnsi="黑体" w:eastAsia="黑体" w:cs="黑体"/>
                <w:spacing w:val="1"/>
              </w:rPr>
              <w:t>任人员给</w:t>
            </w:r>
            <w:r>
              <w:rPr>
                <w:rFonts w:ascii="黑体" w:hAnsi="黑体" w:eastAsia="黑体" w:cs="黑体"/>
              </w:rPr>
              <w:t xml:space="preserve"> </w:t>
            </w:r>
            <w:r>
              <w:rPr>
                <w:rFonts w:ascii="黑体" w:hAnsi="黑体" w:eastAsia="黑体" w:cs="黑体"/>
                <w:spacing w:val="-2"/>
              </w:rPr>
              <w:t>予警告，并处以二十万元以上二百万元以下的罚款。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121" w:type="dxa"/>
            <w:gridSpan w:val="11"/>
            <w:tcBorders>
              <w:top w:val="single" w:color="000000" w:sz="2" w:space="0"/>
              <w:bottom w:val="single" w:color="000000" w:sz="2" w:space="0"/>
              <w:right w:val="nil"/>
            </w:tcBorders>
            <w:vAlign w:val="top"/>
          </w:tcPr>
          <w:p>
            <w:pPr>
              <w:pStyle w:val="8"/>
              <w:spacing w:before="53" w:line="218" w:lineRule="auto"/>
              <w:ind w:left="14" w:right="58" w:firstLine="9"/>
            </w:pPr>
            <w:r>
              <w:rPr>
                <w:spacing w:val="-4"/>
              </w:rPr>
              <w:t>立证券登记结算机构的， 由证券监督管理机构予以取缔，</w:t>
            </w:r>
            <w:r>
              <w:rPr>
                <w:spacing w:val="14"/>
              </w:rPr>
              <w:t xml:space="preserve"> </w:t>
            </w:r>
            <w:r>
              <w:rPr>
                <w:spacing w:val="-3"/>
              </w:rPr>
              <w:t>所得，并处以违法所得一倍以上五倍以下的罚款。</w:t>
            </w:r>
          </w:p>
        </w:tc>
        <w:tc>
          <w:tcPr>
            <w:tcW w:w="974" w:type="dxa"/>
            <w:vMerge w:val="continue"/>
            <w:tcBorders>
              <w:top w:val="nil"/>
              <w:left w:val="nil"/>
              <w:bottom w:val="single" w:color="000000" w:sz="2" w:space="0"/>
            </w:tcBorders>
            <w:vAlign w:val="top"/>
          </w:tcPr>
          <w:p>
            <w:pPr>
              <w:rPr>
                <w:rFonts w:ascii="Arial"/>
                <w:sz w:val="21"/>
              </w:rPr>
            </w:pP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24" w:type="dxa"/>
            <w:tcBorders>
              <w:top w:val="nil"/>
              <w:bottom w:val="single" w:color="000000" w:sz="2" w:space="0"/>
              <w:right w:val="single" w:color="000000" w:sz="2" w:space="0"/>
            </w:tcBorders>
            <w:vAlign w:val="top"/>
          </w:tcPr>
          <w:p>
            <w:pPr>
              <w:rPr>
                <w:rFonts w:ascii="Arial"/>
                <w:sz w:val="21"/>
              </w:rPr>
            </w:pPr>
          </w:p>
        </w:tc>
        <w:tc>
          <w:tcPr>
            <w:tcW w:w="6571" w:type="dxa"/>
            <w:gridSpan w:val="11"/>
            <w:tcBorders>
              <w:top w:val="single" w:color="000000" w:sz="2" w:space="0"/>
              <w:left w:val="single" w:color="000000" w:sz="2" w:space="0"/>
              <w:bottom w:val="single" w:color="000000" w:sz="2" w:space="0"/>
            </w:tcBorders>
            <w:shd w:val="clear" w:color="auto" w:fill="D9D9D9"/>
            <w:vAlign w:val="top"/>
          </w:tcPr>
          <w:p>
            <w:pPr>
              <w:pStyle w:val="8"/>
              <w:spacing w:before="51" w:line="197" w:lineRule="auto"/>
              <w:ind w:left="6"/>
            </w:pPr>
            <w:r>
              <w:rPr>
                <w:spacing w:val="11"/>
              </w:rPr>
              <w:t>投资咨询机构、财务顾问机构、资信评级机构、资产评估机</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095" w:type="dxa"/>
            <w:gridSpan w:val="12"/>
            <w:tcBorders>
              <w:top w:val="single" w:color="000000" w:sz="2" w:space="0"/>
              <w:bottom w:val="nil"/>
            </w:tcBorders>
            <w:vAlign w:val="top"/>
          </w:tcPr>
          <w:p>
            <w:pPr>
              <w:pStyle w:val="8"/>
              <w:spacing w:before="23" w:line="241" w:lineRule="auto"/>
              <w:ind w:left="20" w:firstLine="2"/>
            </w:pPr>
            <w:r>
              <w:rPr>
                <w:spacing w:val="11"/>
                <w:u w:val="single" w:color="auto"/>
                <w:shd w:val="clear" w:fill="D9D9D9"/>
              </w:rPr>
              <w:t>构、会计师事务所未经批准，</w:t>
            </w:r>
            <w:r>
              <w:rPr>
                <w:spacing w:val="-95"/>
                <w:u w:val="single" w:color="auto"/>
                <w:shd w:val="clear" w:fill="D9D9D9"/>
              </w:rPr>
              <w:t xml:space="preserve"> </w:t>
            </w:r>
            <w:r>
              <w:rPr>
                <w:position w:val="-7"/>
              </w:rPr>
              <w:drawing>
                <wp:inline distT="0" distB="0" distL="0" distR="0">
                  <wp:extent cx="5715" cy="203835"/>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76"/>
                          <a:stretch>
                            <a:fillRect/>
                          </a:stretch>
                        </pic:blipFill>
                        <pic:spPr>
                          <a:xfrm>
                            <a:off x="0" y="0"/>
                            <a:ext cx="6094" cy="204216"/>
                          </a:xfrm>
                          <a:prstGeom prst="rect">
                            <a:avLst/>
                          </a:prstGeom>
                        </pic:spPr>
                      </pic:pic>
                    </a:graphicData>
                  </a:graphic>
                </wp:inline>
              </w:drawing>
            </w:r>
            <w:r>
              <w:rPr>
                <w:spacing w:val="11"/>
              </w:rPr>
              <w:t>擅自从事证券服务</w:t>
            </w:r>
            <w:r>
              <w:rPr>
                <w:spacing w:val="10"/>
              </w:rPr>
              <w:t>业务的，责令改</w:t>
            </w:r>
            <w:r>
              <w:t xml:space="preserve"> </w:t>
            </w:r>
            <w:r>
              <w:rPr>
                <w:spacing w:val="-2"/>
              </w:rPr>
              <w:t>正，没收违法所得，并处以违法所得一倍以</w:t>
            </w:r>
            <w:r>
              <w:rPr>
                <w:spacing w:val="-3"/>
              </w:rPr>
              <w:t>上五倍以下的罚款。</w:t>
            </w:r>
          </w:p>
          <w:p>
            <w:pPr>
              <w:pStyle w:val="8"/>
              <w:spacing w:before="31" w:line="227" w:lineRule="auto"/>
              <w:ind w:left="22" w:firstLine="497"/>
              <w:jc w:val="both"/>
            </w:pPr>
            <w:r>
              <w:rPr>
                <w:spacing w:val="3"/>
              </w:rPr>
              <w:t>证券登记结算机构、证券服务机构违反本法规定或</w:t>
            </w:r>
            <w:r>
              <w:rPr>
                <w:spacing w:val="2"/>
              </w:rPr>
              <w:t>者依法制定</w:t>
            </w:r>
            <w:r>
              <w:t xml:space="preserve"> </w:t>
            </w:r>
            <w:r>
              <w:rPr>
                <w:spacing w:val="-5"/>
              </w:rPr>
              <w:t>的业务规则的， 由证券监督管理机构责令改正， 没收违法所得，并</w:t>
            </w:r>
            <w:r>
              <w:rPr>
                <w:spacing w:val="11"/>
              </w:rPr>
              <w:t xml:space="preserve"> </w:t>
            </w:r>
            <w:r>
              <w:rPr>
                <w:spacing w:val="3"/>
              </w:rPr>
              <w:t>处以违法所得一倍以上五倍以下的罚款；没有违法所得或者违法所</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676" w:type="dxa"/>
            <w:gridSpan w:val="7"/>
            <w:tcBorders>
              <w:top w:val="nil"/>
              <w:bottom w:val="nil"/>
              <w:right w:val="single" w:color="000000" w:sz="2" w:space="0"/>
            </w:tcBorders>
            <w:vAlign w:val="top"/>
          </w:tcPr>
          <w:p>
            <w:pPr>
              <w:pStyle w:val="8"/>
              <w:spacing w:before="46" w:line="201" w:lineRule="auto"/>
              <w:ind w:left="17"/>
            </w:pPr>
            <w:r>
              <w:rPr>
                <w:spacing w:val="2"/>
              </w:rPr>
              <w:t>得不足十万元的，处以十万元以上</w:t>
            </w:r>
          </w:p>
        </w:tc>
        <w:tc>
          <w:tcPr>
            <w:tcW w:w="497" w:type="dxa"/>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46" w:line="201" w:lineRule="auto"/>
              <w:ind w:right="1"/>
              <w:jc w:val="right"/>
            </w:pPr>
            <w:r>
              <w:rPr>
                <w:spacing w:val="-7"/>
              </w:rPr>
              <w:t>三十</w:t>
            </w:r>
          </w:p>
        </w:tc>
        <w:tc>
          <w:tcPr>
            <w:tcW w:w="2922" w:type="dxa"/>
            <w:gridSpan w:val="4"/>
            <w:tcBorders>
              <w:top w:val="nil"/>
              <w:left w:val="single" w:color="000000" w:sz="2" w:space="0"/>
              <w:bottom w:val="nil"/>
            </w:tcBorders>
            <w:vAlign w:val="top"/>
          </w:tcPr>
          <w:p>
            <w:pPr>
              <w:pStyle w:val="8"/>
              <w:spacing w:before="46" w:line="201" w:lineRule="auto"/>
              <w:jc w:val="right"/>
            </w:pPr>
            <w:r>
              <w:rPr>
                <w:spacing w:val="-9"/>
              </w:rPr>
              <w:t>万元以下的罚款； 情节严重</w:t>
            </w:r>
          </w:p>
        </w:tc>
        <w:tc>
          <w:tcPr>
            <w:tcW w:w="681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464" w:type="dxa"/>
            <w:gridSpan w:val="2"/>
            <w:tcBorders>
              <w:top w:val="nil"/>
              <w:right w:val="single" w:color="000000" w:sz="2" w:space="0"/>
            </w:tcBorders>
            <w:vAlign w:val="top"/>
          </w:tcPr>
          <w:p>
            <w:pPr>
              <w:pStyle w:val="8"/>
              <w:spacing w:before="54" w:line="197" w:lineRule="auto"/>
              <w:ind w:right="4"/>
              <w:jc w:val="right"/>
            </w:pPr>
            <w:r>
              <w:rPr>
                <w:spacing w:val="-5"/>
              </w:rPr>
              <w:t>的，责令关闭</w:t>
            </w:r>
          </w:p>
        </w:tc>
        <w:tc>
          <w:tcPr>
            <w:tcW w:w="489" w:type="dxa"/>
            <w:tcBorders>
              <w:top w:val="single" w:color="000000" w:sz="2" w:space="0"/>
              <w:left w:val="single" w:color="000000" w:sz="2" w:space="0"/>
              <w:right w:val="single" w:color="000000" w:sz="2" w:space="0"/>
            </w:tcBorders>
            <w:shd w:val="clear" w:color="auto" w:fill="D9D9D9"/>
            <w:vAlign w:val="top"/>
          </w:tcPr>
          <w:p>
            <w:pPr>
              <w:pStyle w:val="8"/>
              <w:spacing w:before="54" w:line="197" w:lineRule="auto"/>
              <w:ind w:left="4"/>
            </w:pPr>
            <w:r>
              <w:rPr>
                <w:spacing w:val="-3"/>
              </w:rPr>
              <w:t>或者</w:t>
            </w:r>
          </w:p>
        </w:tc>
        <w:tc>
          <w:tcPr>
            <w:tcW w:w="729" w:type="dxa"/>
            <w:gridSpan w:val="3"/>
            <w:tcBorders>
              <w:top w:val="nil"/>
              <w:left w:val="single" w:color="000000" w:sz="2" w:space="0"/>
              <w:right w:val="single" w:color="000000" w:sz="2" w:space="0"/>
            </w:tcBorders>
            <w:vAlign w:val="top"/>
          </w:tcPr>
          <w:p>
            <w:pPr>
              <w:pStyle w:val="8"/>
              <w:spacing w:before="54" w:line="197" w:lineRule="auto"/>
              <w:ind w:left="8"/>
            </w:pPr>
            <w:r>
              <w:rPr>
                <w:spacing w:val="-3"/>
              </w:rPr>
              <w:t>撤销证</w:t>
            </w:r>
          </w:p>
        </w:tc>
        <w:tc>
          <w:tcPr>
            <w:tcW w:w="1930" w:type="dxa"/>
            <w:gridSpan w:val="3"/>
            <w:tcBorders>
              <w:top w:val="single" w:color="000000" w:sz="2" w:space="0"/>
              <w:left w:val="single" w:color="000000" w:sz="2" w:space="0"/>
              <w:right w:val="single" w:color="000000" w:sz="2" w:space="0"/>
            </w:tcBorders>
            <w:shd w:val="clear" w:color="auto" w:fill="D9D9D9"/>
            <w:vAlign w:val="top"/>
          </w:tcPr>
          <w:p>
            <w:pPr>
              <w:pStyle w:val="8"/>
              <w:spacing w:before="54" w:line="197" w:lineRule="auto"/>
              <w:ind w:left="8"/>
            </w:pPr>
            <w:r>
              <w:rPr>
                <w:spacing w:val="-7"/>
              </w:rPr>
              <w:t>券服务业务许可。</w:t>
            </w:r>
          </w:p>
        </w:tc>
        <w:tc>
          <w:tcPr>
            <w:tcW w:w="2483" w:type="dxa"/>
            <w:gridSpan w:val="3"/>
            <w:tcBorders>
              <w:top w:val="nil"/>
              <w:left w:val="single" w:color="000000" w:sz="2" w:space="0"/>
            </w:tcBorders>
            <w:vAlign w:val="top"/>
          </w:tcPr>
          <w:p>
            <w:pPr>
              <w:rPr>
                <w:rFonts w:ascii="Arial"/>
                <w:sz w:val="21"/>
              </w:rPr>
            </w:pPr>
          </w:p>
        </w:tc>
        <w:tc>
          <w:tcPr>
            <w:tcW w:w="68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3" w:hRule="atLeast"/>
        </w:trPr>
        <w:tc>
          <w:tcPr>
            <w:tcW w:w="7095" w:type="dxa"/>
            <w:gridSpan w:val="12"/>
            <w:vAlign w:val="top"/>
          </w:tcPr>
          <w:p>
            <w:pPr>
              <w:pStyle w:val="8"/>
              <w:spacing w:before="53" w:line="239" w:lineRule="auto"/>
              <w:ind w:left="15" w:firstLine="497"/>
              <w:jc w:val="both"/>
            </w:pPr>
            <w:r>
              <w:rPr>
                <w:rFonts w:ascii="黑体" w:hAnsi="黑体" w:eastAsia="黑体" w:cs="黑体"/>
                <w:spacing w:val="3"/>
              </w:rPr>
              <w:t xml:space="preserve">第二百二十三条  </w:t>
            </w:r>
            <w:r>
              <w:rPr>
                <w:spacing w:val="3"/>
              </w:rPr>
              <w:t>证券服务机构未勤勉尽责，所制作、出具的</w:t>
            </w:r>
            <w:r>
              <w:t xml:space="preserve"> 文件有虚</w:t>
            </w:r>
            <w:r>
              <w:rPr>
                <w:u w:val="single" w:color="auto"/>
              </w:rPr>
              <w:t>假记载、误导性陈述或者重大遗漏</w:t>
            </w:r>
            <w:r>
              <w:t>的，</w:t>
            </w:r>
            <w:r>
              <w:rPr>
                <w:spacing w:val="-17"/>
              </w:rPr>
              <w:t xml:space="preserve"> </w:t>
            </w:r>
            <w:r>
              <w:t xml:space="preserve">责令改正，没收业 </w:t>
            </w:r>
            <w:r>
              <w:rPr>
                <w:spacing w:val="-2"/>
              </w:rPr>
              <w:t>务收入，</w:t>
            </w:r>
            <w:r>
              <w:rPr>
                <w:position w:val="-7"/>
              </w:rPr>
              <w:drawing>
                <wp:inline distT="0" distB="0" distL="0" distR="0">
                  <wp:extent cx="2540" cy="203835"/>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77"/>
                          <a:stretch>
                            <a:fillRect/>
                          </a:stretch>
                        </pic:blipFill>
                        <pic:spPr>
                          <a:xfrm>
                            <a:off x="0" y="0"/>
                            <a:ext cx="3045" cy="204215"/>
                          </a:xfrm>
                          <a:prstGeom prst="rect">
                            <a:avLst/>
                          </a:prstGeom>
                        </pic:spPr>
                      </pic:pic>
                    </a:graphicData>
                  </a:graphic>
                </wp:inline>
              </w:drawing>
            </w:r>
            <w:r>
              <w:rPr>
                <w:position w:val="-7"/>
              </w:rPr>
              <w:drawing>
                <wp:inline distT="0" distB="0" distL="0" distR="0">
                  <wp:extent cx="2540" cy="5715"/>
                  <wp:effectExtent l="0" t="0" r="0" b="0"/>
                  <wp:docPr id="1330" name="IM 1330"/>
                  <wp:cNvGraphicFramePr/>
                  <a:graphic xmlns:a="http://schemas.openxmlformats.org/drawingml/2006/main">
                    <a:graphicData uri="http://schemas.openxmlformats.org/drawingml/2006/picture">
                      <pic:pic xmlns:pic="http://schemas.openxmlformats.org/drawingml/2006/picture">
                        <pic:nvPicPr>
                          <pic:cNvPr id="1330" name="IM 1330"/>
                          <pic:cNvPicPr/>
                        </pic:nvPicPr>
                        <pic:blipFill>
                          <a:blip r:embed="rId82"/>
                          <a:stretch>
                            <a:fillRect/>
                          </a:stretch>
                        </pic:blipFill>
                        <pic:spPr>
                          <a:xfrm>
                            <a:off x="0" y="0"/>
                            <a:ext cx="3045" cy="6095"/>
                          </a:xfrm>
                          <a:prstGeom prst="rect">
                            <a:avLst/>
                          </a:prstGeom>
                        </pic:spPr>
                      </pic:pic>
                    </a:graphicData>
                  </a:graphic>
                </wp:inline>
              </w:drawing>
            </w:r>
            <w:r>
              <w:rPr>
                <w:spacing w:val="-99"/>
                <w:u w:val="single" w:color="auto"/>
                <w:shd w:val="clear" w:fill="D9D9D9"/>
              </w:rPr>
              <w:t xml:space="preserve"> </w:t>
            </w:r>
            <w:r>
              <w:rPr>
                <w:spacing w:val="-2"/>
                <w:u w:val="single" w:color="auto"/>
                <w:shd w:val="clear" w:fill="D9D9D9"/>
              </w:rPr>
              <w:t>暂停或者撤销证券服务业务许可，</w:t>
            </w:r>
            <w:r>
              <w:rPr>
                <w:spacing w:val="-22"/>
                <w:u w:val="single" w:color="auto"/>
                <w:shd w:val="clear" w:fill="D9D9D9"/>
              </w:rPr>
              <w:t xml:space="preserve"> </w:t>
            </w:r>
            <w:r>
              <w:rPr>
                <w:position w:val="-7"/>
              </w:rPr>
              <w:drawing>
                <wp:inline distT="0" distB="0" distL="0" distR="0">
                  <wp:extent cx="2540" cy="203835"/>
                  <wp:effectExtent l="0" t="0" r="0" b="0"/>
                  <wp:docPr id="1332" name="IM 1332"/>
                  <wp:cNvGraphicFramePr/>
                  <a:graphic xmlns:a="http://schemas.openxmlformats.org/drawingml/2006/main">
                    <a:graphicData uri="http://schemas.openxmlformats.org/drawingml/2006/picture">
                      <pic:pic xmlns:pic="http://schemas.openxmlformats.org/drawingml/2006/picture">
                        <pic:nvPicPr>
                          <pic:cNvPr id="1332" name="IM 1332"/>
                          <pic:cNvPicPr/>
                        </pic:nvPicPr>
                        <pic:blipFill>
                          <a:blip r:embed="rId77"/>
                          <a:stretch>
                            <a:fillRect/>
                          </a:stretch>
                        </pic:blipFill>
                        <pic:spPr>
                          <a:xfrm>
                            <a:off x="0" y="0"/>
                            <a:ext cx="3045" cy="204215"/>
                          </a:xfrm>
                          <a:prstGeom prst="rect">
                            <a:avLst/>
                          </a:prstGeom>
                        </pic:spPr>
                      </pic:pic>
                    </a:graphicData>
                  </a:graphic>
                </wp:inline>
              </w:drawing>
            </w:r>
            <w:r>
              <w:rPr>
                <w:position w:val="-7"/>
              </w:rPr>
              <w:drawing>
                <wp:inline distT="0" distB="0" distL="0" distR="0">
                  <wp:extent cx="2540" cy="5715"/>
                  <wp:effectExtent l="0" t="0" r="0" b="0"/>
                  <wp:docPr id="1334" name="IM 1334"/>
                  <wp:cNvGraphicFramePr/>
                  <a:graphic xmlns:a="http://schemas.openxmlformats.org/drawingml/2006/main">
                    <a:graphicData uri="http://schemas.openxmlformats.org/drawingml/2006/picture">
                      <pic:pic xmlns:pic="http://schemas.openxmlformats.org/drawingml/2006/picture">
                        <pic:nvPicPr>
                          <pic:cNvPr id="1334" name="IM 1334"/>
                          <pic:cNvPicPr/>
                        </pic:nvPicPr>
                        <pic:blipFill>
                          <a:blip r:embed="rId82"/>
                          <a:stretch>
                            <a:fillRect/>
                          </a:stretch>
                        </pic:blipFill>
                        <pic:spPr>
                          <a:xfrm>
                            <a:off x="0" y="0"/>
                            <a:ext cx="3045" cy="6095"/>
                          </a:xfrm>
                          <a:prstGeom prst="rect">
                            <a:avLst/>
                          </a:prstGeom>
                        </pic:spPr>
                      </pic:pic>
                    </a:graphicData>
                  </a:graphic>
                </wp:inline>
              </w:drawing>
            </w:r>
            <w:r>
              <w:rPr>
                <w:spacing w:val="-103"/>
              </w:rPr>
              <w:t xml:space="preserve"> </w:t>
            </w:r>
            <w:r>
              <w:rPr>
                <w:spacing w:val="-2"/>
              </w:rPr>
              <w:t>并处以业务收入一倍以</w:t>
            </w:r>
            <w:r>
              <w:t xml:space="preserve"> </w:t>
            </w:r>
            <w:r>
              <w:rPr>
                <w:spacing w:val="3"/>
              </w:rPr>
              <w:t>上五倍以</w:t>
            </w:r>
            <w:r>
              <w:rPr>
                <w:spacing w:val="3"/>
                <w:u w:val="single" w:color="auto"/>
              </w:rPr>
              <w:t>下的罚款。对直接负</w:t>
            </w:r>
            <w:r>
              <w:rPr>
                <w:spacing w:val="3"/>
              </w:rPr>
              <w:t>责的主</w:t>
            </w:r>
            <w:r>
              <w:rPr>
                <w:spacing w:val="3"/>
                <w:u w:val="single" w:color="auto"/>
              </w:rPr>
              <w:t>管人</w:t>
            </w:r>
            <w:r>
              <w:rPr>
                <w:spacing w:val="3"/>
              </w:rPr>
              <w:t>员和其</w:t>
            </w:r>
            <w:r>
              <w:rPr>
                <w:spacing w:val="3"/>
                <w:u w:val="single" w:color="auto"/>
              </w:rPr>
              <w:t>他直</w:t>
            </w:r>
            <w:r>
              <w:rPr>
                <w:spacing w:val="3"/>
              </w:rPr>
              <w:t>接责任人员给</w:t>
            </w:r>
            <w:r>
              <w:rPr>
                <w:spacing w:val="16"/>
              </w:rPr>
              <w:t xml:space="preserve"> </w:t>
            </w:r>
            <w:r>
              <w:rPr>
                <w:spacing w:val="7"/>
              </w:rPr>
              <w:t>予警告，</w:t>
            </w:r>
            <w:r>
              <w:rPr>
                <w:spacing w:val="-98"/>
              </w:rPr>
              <w:t xml:space="preserve"> </w:t>
            </w:r>
            <w:r>
              <w:rPr>
                <w:position w:val="-7"/>
              </w:rPr>
              <w:drawing>
                <wp:inline distT="0" distB="0" distL="0" distR="0">
                  <wp:extent cx="10160" cy="203835"/>
                  <wp:effectExtent l="0" t="0" r="0" b="0"/>
                  <wp:docPr id="1336" name="IM 1336"/>
                  <wp:cNvGraphicFramePr/>
                  <a:graphic xmlns:a="http://schemas.openxmlformats.org/drawingml/2006/main">
                    <a:graphicData uri="http://schemas.openxmlformats.org/drawingml/2006/picture">
                      <pic:pic xmlns:pic="http://schemas.openxmlformats.org/drawingml/2006/picture">
                        <pic:nvPicPr>
                          <pic:cNvPr id="1336" name="IM 1336"/>
                          <pic:cNvPicPr/>
                        </pic:nvPicPr>
                        <pic:blipFill>
                          <a:blip r:embed="rId70"/>
                          <a:stretch>
                            <a:fillRect/>
                          </a:stretch>
                        </pic:blipFill>
                        <pic:spPr>
                          <a:xfrm>
                            <a:off x="0" y="0"/>
                            <a:ext cx="10747" cy="204216"/>
                          </a:xfrm>
                          <a:prstGeom prst="rect">
                            <a:avLst/>
                          </a:prstGeom>
                        </pic:spPr>
                      </pic:pic>
                    </a:graphicData>
                  </a:graphic>
                </wp:inline>
              </w:drawing>
            </w:r>
            <w:r>
              <w:rPr>
                <w:spacing w:val="7"/>
                <w:u w:val="single" w:color="auto"/>
                <w:shd w:val="clear" w:fill="D9D9D9"/>
              </w:rPr>
              <w:t>撤销证券从业资格，</w:t>
            </w:r>
            <w:r>
              <w:rPr>
                <w:spacing w:val="-99"/>
                <w:u w:val="single" w:color="auto"/>
                <w:shd w:val="clear" w:fill="D9D9D9"/>
              </w:rPr>
              <w:t xml:space="preserve"> </w:t>
            </w:r>
            <w:r>
              <w:rPr>
                <w:position w:val="-7"/>
              </w:rPr>
              <w:drawing>
                <wp:inline distT="0" distB="0" distL="0" distR="0">
                  <wp:extent cx="10160" cy="203835"/>
                  <wp:effectExtent l="0" t="0" r="0" b="0"/>
                  <wp:docPr id="1338" name="IM 1338"/>
                  <wp:cNvGraphicFramePr/>
                  <a:graphic xmlns:a="http://schemas.openxmlformats.org/drawingml/2006/main">
                    <a:graphicData uri="http://schemas.openxmlformats.org/drawingml/2006/picture">
                      <pic:pic xmlns:pic="http://schemas.openxmlformats.org/drawingml/2006/picture">
                        <pic:nvPicPr>
                          <pic:cNvPr id="1338" name="IM 1338"/>
                          <pic:cNvPicPr/>
                        </pic:nvPicPr>
                        <pic:blipFill>
                          <a:blip r:embed="rId70"/>
                          <a:stretch>
                            <a:fillRect/>
                          </a:stretch>
                        </pic:blipFill>
                        <pic:spPr>
                          <a:xfrm>
                            <a:off x="0" y="0"/>
                            <a:ext cx="10747" cy="204216"/>
                          </a:xfrm>
                          <a:prstGeom prst="rect">
                            <a:avLst/>
                          </a:prstGeom>
                        </pic:spPr>
                      </pic:pic>
                    </a:graphicData>
                  </a:graphic>
                </wp:inline>
              </w:drawing>
            </w:r>
            <w:r>
              <w:rPr>
                <w:spacing w:val="7"/>
              </w:rPr>
              <w:t>并处以</w:t>
            </w:r>
            <w:r>
              <w:rPr>
                <w:position w:val="-7"/>
              </w:rPr>
              <w:drawing>
                <wp:inline distT="0" distB="0" distL="0" distR="0">
                  <wp:extent cx="10160" cy="203835"/>
                  <wp:effectExtent l="0" t="0" r="0" b="0"/>
                  <wp:docPr id="1340" name="IM 1340"/>
                  <wp:cNvGraphicFramePr/>
                  <a:graphic xmlns:a="http://schemas.openxmlformats.org/drawingml/2006/main">
                    <a:graphicData uri="http://schemas.openxmlformats.org/drawingml/2006/picture">
                      <pic:pic xmlns:pic="http://schemas.openxmlformats.org/drawingml/2006/picture">
                        <pic:nvPicPr>
                          <pic:cNvPr id="1340" name="IM 1340"/>
                          <pic:cNvPicPr/>
                        </pic:nvPicPr>
                        <pic:blipFill>
                          <a:blip r:embed="rId70"/>
                          <a:stretch>
                            <a:fillRect/>
                          </a:stretch>
                        </pic:blipFill>
                        <pic:spPr>
                          <a:xfrm>
                            <a:off x="0" y="0"/>
                            <a:ext cx="10747" cy="204216"/>
                          </a:xfrm>
                          <a:prstGeom prst="rect">
                            <a:avLst/>
                          </a:prstGeom>
                        </pic:spPr>
                      </pic:pic>
                    </a:graphicData>
                  </a:graphic>
                </wp:inline>
              </w:drawing>
            </w:r>
            <w:r>
              <w:rPr>
                <w:spacing w:val="7"/>
                <w:shd w:val="clear" w:fill="D9D9D9"/>
              </w:rPr>
              <w:t>三</w:t>
            </w:r>
            <w:r>
              <w:rPr>
                <w:position w:val="-7"/>
              </w:rPr>
              <w:drawing>
                <wp:inline distT="0" distB="0" distL="0" distR="0">
                  <wp:extent cx="10160" cy="203835"/>
                  <wp:effectExtent l="0" t="0" r="0" b="0"/>
                  <wp:docPr id="1342" name="IM 1342"/>
                  <wp:cNvGraphicFramePr/>
                  <a:graphic xmlns:a="http://schemas.openxmlformats.org/drawingml/2006/main">
                    <a:graphicData uri="http://schemas.openxmlformats.org/drawingml/2006/picture">
                      <pic:pic xmlns:pic="http://schemas.openxmlformats.org/drawingml/2006/picture">
                        <pic:nvPicPr>
                          <pic:cNvPr id="1342" name="IM 1342"/>
                          <pic:cNvPicPr/>
                        </pic:nvPicPr>
                        <pic:blipFill>
                          <a:blip r:embed="rId76"/>
                          <a:stretch>
                            <a:fillRect/>
                          </a:stretch>
                        </pic:blipFill>
                        <pic:spPr>
                          <a:xfrm>
                            <a:off x="0" y="0"/>
                            <a:ext cx="10747" cy="204216"/>
                          </a:xfrm>
                          <a:prstGeom prst="rect">
                            <a:avLst/>
                          </a:prstGeom>
                        </pic:spPr>
                      </pic:pic>
                    </a:graphicData>
                  </a:graphic>
                </wp:inline>
              </w:drawing>
            </w:r>
            <w:r>
              <w:rPr>
                <w:spacing w:val="7"/>
              </w:rPr>
              <w:t>万元以上</w:t>
            </w:r>
            <w:r>
              <w:rPr>
                <w:position w:val="-7"/>
              </w:rPr>
              <w:drawing>
                <wp:inline distT="0" distB="0" distL="0" distR="0">
                  <wp:extent cx="10160" cy="203835"/>
                  <wp:effectExtent l="0" t="0" r="0" b="0"/>
                  <wp:docPr id="1344" name="IM 1344"/>
                  <wp:cNvGraphicFramePr/>
                  <a:graphic xmlns:a="http://schemas.openxmlformats.org/drawingml/2006/main">
                    <a:graphicData uri="http://schemas.openxmlformats.org/drawingml/2006/picture">
                      <pic:pic xmlns:pic="http://schemas.openxmlformats.org/drawingml/2006/picture">
                        <pic:nvPicPr>
                          <pic:cNvPr id="1344" name="IM 1344"/>
                          <pic:cNvPicPr/>
                        </pic:nvPicPr>
                        <pic:blipFill>
                          <a:blip r:embed="rId83"/>
                          <a:stretch>
                            <a:fillRect/>
                          </a:stretch>
                        </pic:blipFill>
                        <pic:spPr>
                          <a:xfrm>
                            <a:off x="0" y="0"/>
                            <a:ext cx="10747" cy="204216"/>
                          </a:xfrm>
                          <a:prstGeom prst="rect">
                            <a:avLst/>
                          </a:prstGeom>
                        </pic:spPr>
                      </pic:pic>
                    </a:graphicData>
                  </a:graphic>
                </wp:inline>
              </w:drawing>
            </w:r>
            <w:r>
              <w:rPr>
                <w:spacing w:val="7"/>
                <w:u w:val="single" w:color="auto"/>
                <w:shd w:val="clear" w:fill="D9D9D9"/>
              </w:rPr>
              <w:t>十</w:t>
            </w:r>
            <w:r>
              <w:rPr>
                <w:position w:val="-7"/>
              </w:rPr>
              <w:drawing>
                <wp:inline distT="0" distB="0" distL="0" distR="0">
                  <wp:extent cx="10160" cy="203835"/>
                  <wp:effectExtent l="0" t="0" r="0" b="0"/>
                  <wp:docPr id="1346" name="IM 1346"/>
                  <wp:cNvGraphicFramePr/>
                  <a:graphic xmlns:a="http://schemas.openxmlformats.org/drawingml/2006/main">
                    <a:graphicData uri="http://schemas.openxmlformats.org/drawingml/2006/picture">
                      <pic:pic xmlns:pic="http://schemas.openxmlformats.org/drawingml/2006/picture">
                        <pic:nvPicPr>
                          <pic:cNvPr id="1346" name="IM 1346"/>
                          <pic:cNvPicPr/>
                        </pic:nvPicPr>
                        <pic:blipFill>
                          <a:blip r:embed="rId76"/>
                          <a:stretch>
                            <a:fillRect/>
                          </a:stretch>
                        </pic:blipFill>
                        <pic:spPr>
                          <a:xfrm>
                            <a:off x="0" y="0"/>
                            <a:ext cx="10747" cy="204216"/>
                          </a:xfrm>
                          <a:prstGeom prst="rect">
                            <a:avLst/>
                          </a:prstGeom>
                        </pic:spPr>
                      </pic:pic>
                    </a:graphicData>
                  </a:graphic>
                </wp:inline>
              </w:drawing>
            </w:r>
            <w:r>
              <w:rPr>
                <w:spacing w:val="7"/>
              </w:rPr>
              <w:t>万元</w:t>
            </w:r>
            <w:r>
              <w:rPr>
                <w:spacing w:val="6"/>
              </w:rPr>
              <w:t>以下的罚</w:t>
            </w:r>
            <w:r>
              <w:t xml:space="preserve"> </w:t>
            </w:r>
            <w:r>
              <w:rPr>
                <w:spacing w:val="-16"/>
              </w:rPr>
              <w:t>款。</w:t>
            </w:r>
          </w:p>
        </w:tc>
        <w:tc>
          <w:tcPr>
            <w:tcW w:w="6812" w:type="dxa"/>
            <w:vAlign w:val="top"/>
          </w:tcPr>
          <w:p>
            <w:pPr>
              <w:pStyle w:val="8"/>
              <w:spacing w:before="59" w:line="236" w:lineRule="auto"/>
              <w:ind w:left="16" w:right="4" w:firstLine="499"/>
            </w:pPr>
            <w:r>
              <w:rPr>
                <w:rFonts w:ascii="黑体" w:hAnsi="黑体" w:eastAsia="黑体" w:cs="黑体"/>
                <w:spacing w:val="1"/>
              </w:rPr>
              <w:t>第二百一十三条  证券投资咨询机构</w:t>
            </w:r>
            <w:r>
              <w:rPr>
                <w:spacing w:val="1"/>
              </w:rPr>
              <w:t>违反本法</w:t>
            </w:r>
            <w:r>
              <w:rPr>
                <w:rFonts w:ascii="黑体" w:hAnsi="黑体" w:eastAsia="黑体" w:cs="黑体"/>
                <w:spacing w:val="1"/>
              </w:rPr>
              <w:t>第一百六十条</w:t>
            </w:r>
            <w:r>
              <w:rPr>
                <w:rFonts w:ascii="黑体" w:hAnsi="黑体" w:eastAsia="黑体" w:cs="黑体"/>
                <w:spacing w:val="6"/>
              </w:rPr>
              <w:t xml:space="preserve"> </w:t>
            </w:r>
            <w:r>
              <w:rPr>
                <w:rFonts w:ascii="黑体" w:hAnsi="黑体" w:eastAsia="黑体" w:cs="黑体"/>
                <w:spacing w:val="2"/>
              </w:rPr>
              <w:t>第二款的规定</w:t>
            </w:r>
            <w:r>
              <w:rPr>
                <w:spacing w:val="2"/>
              </w:rPr>
              <w:t>擅自从事证券服务业务，</w:t>
            </w:r>
            <w:r>
              <w:rPr>
                <w:rFonts w:ascii="黑体" w:hAnsi="黑体" w:eastAsia="黑体" w:cs="黑体"/>
                <w:spacing w:val="2"/>
              </w:rPr>
              <w:t>或者从事证券服务业</w:t>
            </w:r>
            <w:r>
              <w:rPr>
                <w:rFonts w:ascii="黑体" w:hAnsi="黑体" w:eastAsia="黑体" w:cs="黑体"/>
                <w:spacing w:val="1"/>
              </w:rPr>
              <w:t>务有</w:t>
            </w:r>
            <w:r>
              <w:rPr>
                <w:rFonts w:ascii="黑体" w:hAnsi="黑体" w:eastAsia="黑体" w:cs="黑体"/>
              </w:rPr>
              <w:t xml:space="preserve"> </w:t>
            </w:r>
            <w:r>
              <w:rPr>
                <w:rFonts w:ascii="黑体" w:hAnsi="黑体" w:eastAsia="黑体" w:cs="黑体"/>
                <w:spacing w:val="-2"/>
              </w:rPr>
              <w:t>本法第一百六十一条规定行为的，</w:t>
            </w:r>
            <w:r>
              <w:rPr>
                <w:spacing w:val="-2"/>
              </w:rPr>
              <w:t>责令改正，没</w:t>
            </w:r>
            <w:r>
              <w:rPr>
                <w:spacing w:val="-3"/>
              </w:rPr>
              <w:t>收违法所得， 并</w:t>
            </w:r>
            <w:r>
              <w:t xml:space="preserve"> </w:t>
            </w:r>
            <w:r>
              <w:rPr>
                <w:spacing w:val="2"/>
              </w:rPr>
              <w:t>处以违法所得一倍以上</w:t>
            </w:r>
            <w:r>
              <w:rPr>
                <w:rFonts w:ascii="黑体" w:hAnsi="黑体" w:eastAsia="黑体" w:cs="黑体"/>
                <w:spacing w:val="2"/>
              </w:rPr>
              <w:t>十</w:t>
            </w:r>
            <w:r>
              <w:rPr>
                <w:spacing w:val="2"/>
              </w:rPr>
              <w:t>倍以下的罚款；没有违法所得或者</w:t>
            </w:r>
            <w:r>
              <w:rPr>
                <w:spacing w:val="1"/>
              </w:rPr>
              <w:t>违法</w:t>
            </w:r>
            <w:r>
              <w:t xml:space="preserve"> </w:t>
            </w:r>
            <w:r>
              <w:rPr>
                <w:spacing w:val="-4"/>
              </w:rPr>
              <w:t>所得不足</w:t>
            </w:r>
            <w:r>
              <w:rPr>
                <w:rFonts w:ascii="黑体" w:hAnsi="黑体" w:eastAsia="黑体" w:cs="黑体"/>
                <w:spacing w:val="-4"/>
              </w:rPr>
              <w:t>五</w:t>
            </w:r>
            <w:r>
              <w:rPr>
                <w:spacing w:val="-4"/>
              </w:rPr>
              <w:t>十万元的， 处以</w:t>
            </w:r>
            <w:r>
              <w:rPr>
                <w:rFonts w:ascii="黑体" w:hAnsi="黑体" w:eastAsia="黑体" w:cs="黑体"/>
                <w:spacing w:val="-4"/>
              </w:rPr>
              <w:t>五</w:t>
            </w:r>
            <w:r>
              <w:rPr>
                <w:spacing w:val="-4"/>
              </w:rPr>
              <w:t>十万元以上</w:t>
            </w:r>
            <w:r>
              <w:rPr>
                <w:rFonts w:ascii="黑体" w:hAnsi="黑体" w:eastAsia="黑体" w:cs="黑体"/>
                <w:spacing w:val="-4"/>
              </w:rPr>
              <w:t>五</w:t>
            </w:r>
            <w:r>
              <w:rPr>
                <w:spacing w:val="-4"/>
              </w:rPr>
              <w:t>百万元以下的罚款。</w:t>
            </w:r>
            <w:r>
              <w:t xml:space="preserve"> </w:t>
            </w:r>
            <w:r>
              <w:rPr>
                <w:spacing w:val="-3"/>
              </w:rPr>
              <w:t>对直接负责的主管人员和其他直接责任人员， 给予警告，并处以</w:t>
            </w:r>
            <w:r>
              <w:rPr>
                <w:spacing w:val="18"/>
              </w:rPr>
              <w:t xml:space="preserve"> </w:t>
            </w:r>
            <w:r>
              <w:rPr>
                <w:rFonts w:ascii="黑体" w:hAnsi="黑体" w:eastAsia="黑体" w:cs="黑体"/>
                <w:spacing w:val="-4"/>
              </w:rPr>
              <w:t>二</w:t>
            </w:r>
            <w:r>
              <w:rPr>
                <w:spacing w:val="-4"/>
              </w:rPr>
              <w:t>十万元以上</w:t>
            </w:r>
            <w:r>
              <w:rPr>
                <w:rFonts w:ascii="黑体" w:hAnsi="黑体" w:eastAsia="黑体" w:cs="黑体"/>
                <w:spacing w:val="-4"/>
              </w:rPr>
              <w:t>二</w:t>
            </w:r>
            <w:r>
              <w:rPr>
                <w:spacing w:val="-4"/>
              </w:rPr>
              <w:t>百万元以下的罚款。</w:t>
            </w:r>
          </w:p>
          <w:p>
            <w:pPr>
              <w:spacing w:before="27" w:line="235" w:lineRule="auto"/>
              <w:ind w:left="17" w:right="3" w:firstLine="496"/>
              <w:rPr>
                <w:rFonts w:ascii="黑体" w:hAnsi="黑体" w:eastAsia="黑体" w:cs="黑体"/>
                <w:sz w:val="24"/>
                <w:szCs w:val="24"/>
              </w:rPr>
            </w:pPr>
            <w:r>
              <w:rPr>
                <w:rFonts w:ascii="黑体" w:hAnsi="黑体" w:eastAsia="黑体" w:cs="黑体"/>
                <w:sz w:val="24"/>
                <w:szCs w:val="24"/>
              </w:rPr>
              <w:t>会计师事务所、律师事务所以及从事资产评估、资信评级、</w:t>
            </w:r>
            <w:r>
              <w:rPr>
                <w:rFonts w:ascii="黑体" w:hAnsi="黑体" w:eastAsia="黑体" w:cs="黑体"/>
                <w:spacing w:val="1"/>
                <w:sz w:val="24"/>
                <w:szCs w:val="24"/>
              </w:rPr>
              <w:t xml:space="preserve"> </w:t>
            </w:r>
            <w:r>
              <w:rPr>
                <w:rFonts w:ascii="黑体" w:hAnsi="黑体" w:eastAsia="黑体" w:cs="黑体"/>
                <w:spacing w:val="2"/>
                <w:sz w:val="24"/>
                <w:szCs w:val="24"/>
              </w:rPr>
              <w:t>财务顾问、信息技术系统服务的机构违反本法第一百</w:t>
            </w:r>
            <w:r>
              <w:rPr>
                <w:rFonts w:ascii="黑体" w:hAnsi="黑体" w:eastAsia="黑体" w:cs="黑体"/>
                <w:spacing w:val="1"/>
                <w:sz w:val="24"/>
                <w:szCs w:val="24"/>
              </w:rPr>
              <w:t>六十条第二</w:t>
            </w:r>
            <w:r>
              <w:rPr>
                <w:rFonts w:ascii="黑体" w:hAnsi="黑体" w:eastAsia="黑体" w:cs="黑体"/>
                <w:sz w:val="24"/>
                <w:szCs w:val="24"/>
              </w:rPr>
              <w:t xml:space="preserve"> </w:t>
            </w:r>
            <w:r>
              <w:rPr>
                <w:rFonts w:ascii="黑体" w:hAnsi="黑体" w:eastAsia="黑体" w:cs="黑体"/>
                <w:spacing w:val="-2"/>
                <w:sz w:val="24"/>
                <w:szCs w:val="24"/>
              </w:rPr>
              <w:t>款的规定，从事证券服务业务未报备案的， 责</w:t>
            </w:r>
            <w:r>
              <w:rPr>
                <w:rFonts w:ascii="黑体" w:hAnsi="黑体" w:eastAsia="黑体" w:cs="黑体"/>
                <w:spacing w:val="-3"/>
                <w:sz w:val="24"/>
                <w:szCs w:val="24"/>
              </w:rPr>
              <w:t>令改正，可以处二</w:t>
            </w:r>
            <w:r>
              <w:rPr>
                <w:rFonts w:ascii="黑体" w:hAnsi="黑体" w:eastAsia="黑体" w:cs="黑体"/>
                <w:sz w:val="24"/>
                <w:szCs w:val="24"/>
              </w:rPr>
              <w:t xml:space="preserve"> </w:t>
            </w:r>
            <w:r>
              <w:rPr>
                <w:rFonts w:ascii="黑体" w:hAnsi="黑体" w:eastAsia="黑体" w:cs="黑体"/>
                <w:spacing w:val="-5"/>
                <w:sz w:val="24"/>
                <w:szCs w:val="24"/>
              </w:rPr>
              <w:t>十万元以下的罚款。</w:t>
            </w:r>
          </w:p>
          <w:p>
            <w:pPr>
              <w:pStyle w:val="8"/>
              <w:spacing w:before="24" w:line="209" w:lineRule="auto"/>
              <w:ind w:right="6"/>
              <w:jc w:val="right"/>
            </w:pPr>
            <w:r>
              <w:rPr>
                <w:spacing w:val="10"/>
              </w:rPr>
              <w:t>证券服务机构违反本法第</w:t>
            </w:r>
            <w:r>
              <w:rPr>
                <w:rFonts w:ascii="黑体" w:hAnsi="黑体" w:eastAsia="黑体" w:cs="黑体"/>
                <w:spacing w:val="10"/>
              </w:rPr>
              <w:t>一百六十三</w:t>
            </w:r>
            <w:r>
              <w:rPr>
                <w:spacing w:val="10"/>
              </w:rPr>
              <w:t>条的规定，未勤勉尽</w:t>
            </w:r>
          </w:p>
        </w:tc>
      </w:tr>
    </w:tbl>
    <w:p>
      <w:pPr>
        <w:rPr>
          <w:rFonts w:ascii="Arial"/>
          <w:sz w:val="21"/>
        </w:rPr>
      </w:pPr>
    </w:p>
    <w:p>
      <w:pPr>
        <w:rPr>
          <w:rFonts w:ascii="Arial" w:hAnsi="Arial" w:eastAsia="Arial" w:cs="Arial"/>
          <w:sz w:val="21"/>
          <w:szCs w:val="21"/>
        </w:rPr>
        <w:sectPr>
          <w:footerReference r:id="rId64"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66"/>
        <w:gridCol w:w="1011"/>
        <w:gridCol w:w="1254"/>
        <w:gridCol w:w="153"/>
        <w:gridCol w:w="120"/>
        <w:gridCol w:w="368"/>
        <w:gridCol w:w="323"/>
        <w:gridCol w:w="393"/>
        <w:gridCol w:w="2009"/>
        <w:gridCol w:w="6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8" w:hRule="atLeast"/>
        </w:trPr>
        <w:tc>
          <w:tcPr>
            <w:tcW w:w="7097" w:type="dxa"/>
            <w:gridSpan w:val="9"/>
            <w:vAlign w:val="top"/>
          </w:tcPr>
          <w:p>
            <w:pPr>
              <w:rPr>
                <w:rFonts w:ascii="Arial"/>
                <w:sz w:val="21"/>
              </w:rPr>
            </w:pPr>
          </w:p>
        </w:tc>
        <w:tc>
          <w:tcPr>
            <w:tcW w:w="6810" w:type="dxa"/>
            <w:vAlign w:val="top"/>
          </w:tcPr>
          <w:p>
            <w:pPr>
              <w:pStyle w:val="8"/>
              <w:spacing w:before="44" w:line="235" w:lineRule="auto"/>
              <w:ind w:left="17" w:right="3" w:firstLine="4"/>
              <w:jc w:val="both"/>
            </w:pPr>
            <w:r>
              <w:rPr>
                <w:spacing w:val="-2"/>
              </w:rPr>
              <w:t>责，</w:t>
            </w:r>
            <w:r>
              <w:rPr>
                <w:spacing w:val="-20"/>
              </w:rPr>
              <w:t xml:space="preserve"> </w:t>
            </w:r>
            <w:r>
              <w:rPr>
                <w:spacing w:val="-2"/>
              </w:rPr>
              <w:t>所制作、出具的文件有虚假记载、误导性陈述或者重大遗漏</w:t>
            </w:r>
            <w:r>
              <w:t xml:space="preserve"> </w:t>
            </w:r>
            <w:r>
              <w:rPr>
                <w:spacing w:val="-6"/>
              </w:rPr>
              <w:t>的， 责令改正， 没收业务收入，并处以</w:t>
            </w:r>
            <w:r>
              <w:rPr>
                <w:spacing w:val="-7"/>
              </w:rPr>
              <w:t>业务收入一倍以上</w:t>
            </w:r>
            <w:r>
              <w:rPr>
                <w:rFonts w:ascii="黑体" w:hAnsi="黑体" w:eastAsia="黑体" w:cs="黑体"/>
                <w:spacing w:val="-7"/>
              </w:rPr>
              <w:t>十</w:t>
            </w:r>
            <w:r>
              <w:rPr>
                <w:spacing w:val="-7"/>
              </w:rPr>
              <w:t>倍以</w:t>
            </w:r>
            <w:r>
              <w:t xml:space="preserve"> </w:t>
            </w:r>
            <w:r>
              <w:rPr>
                <w:spacing w:val="-2"/>
              </w:rPr>
              <w:t>下的罚款，没有业务收入或者业务收入不足</w:t>
            </w:r>
            <w:r>
              <w:rPr>
                <w:rFonts w:ascii="黑体" w:hAnsi="黑体" w:eastAsia="黑体" w:cs="黑体"/>
                <w:spacing w:val="-3"/>
              </w:rPr>
              <w:t>五十</w:t>
            </w:r>
            <w:r>
              <w:rPr>
                <w:spacing w:val="-3"/>
              </w:rPr>
              <w:t>万元的， 处以</w:t>
            </w:r>
            <w:r>
              <w:rPr>
                <w:rFonts w:ascii="黑体" w:hAnsi="黑体" w:eastAsia="黑体" w:cs="黑体"/>
                <w:spacing w:val="-3"/>
              </w:rPr>
              <w:t>五</w:t>
            </w:r>
            <w:r>
              <w:rPr>
                <w:rFonts w:ascii="黑体" w:hAnsi="黑体" w:eastAsia="黑体" w:cs="黑体"/>
              </w:rPr>
              <w:t xml:space="preserve"> </w:t>
            </w:r>
            <w:r>
              <w:rPr>
                <w:rFonts w:ascii="黑体" w:hAnsi="黑体" w:eastAsia="黑体" w:cs="黑体"/>
                <w:spacing w:val="-6"/>
              </w:rPr>
              <w:t>十</w:t>
            </w:r>
            <w:r>
              <w:rPr>
                <w:spacing w:val="-6"/>
              </w:rPr>
              <w:t>万元以上</w:t>
            </w:r>
            <w:r>
              <w:rPr>
                <w:rFonts w:ascii="黑体" w:hAnsi="黑体" w:eastAsia="黑体" w:cs="黑体"/>
                <w:spacing w:val="-6"/>
              </w:rPr>
              <w:t>五百</w:t>
            </w:r>
            <w:r>
              <w:rPr>
                <w:spacing w:val="-6"/>
              </w:rPr>
              <w:t>万元以下的罚款； 情节严重的</w:t>
            </w:r>
            <w:r>
              <w:rPr>
                <w:spacing w:val="-7"/>
              </w:rPr>
              <w:t>， 并处暂停或者禁</w:t>
            </w:r>
            <w:r>
              <w:t xml:space="preserve"> </w:t>
            </w:r>
            <w:r>
              <w:rPr>
                <w:spacing w:val="2"/>
              </w:rPr>
              <w:t>止从事证券服务业务。对直接负责的主管人员</w:t>
            </w:r>
            <w:r>
              <w:rPr>
                <w:spacing w:val="1"/>
              </w:rPr>
              <w:t>和其他直接责任人</w:t>
            </w:r>
            <w:r>
              <w:t xml:space="preserve"> </w:t>
            </w:r>
            <w:r>
              <w:rPr>
                <w:spacing w:val="-2"/>
              </w:rPr>
              <w:t>员给予警告，并处以</w:t>
            </w:r>
            <w:r>
              <w:rPr>
                <w:rFonts w:ascii="黑体" w:hAnsi="黑体" w:eastAsia="黑体" w:cs="黑体"/>
                <w:spacing w:val="-2"/>
              </w:rPr>
              <w:t>二十</w:t>
            </w:r>
            <w:r>
              <w:rPr>
                <w:spacing w:val="-2"/>
              </w:rPr>
              <w:t>万元以上</w:t>
            </w:r>
            <w:r>
              <w:rPr>
                <w:rFonts w:ascii="黑体" w:hAnsi="黑体" w:eastAsia="黑体" w:cs="黑体"/>
                <w:spacing w:val="-2"/>
              </w:rPr>
              <w:t>二百</w:t>
            </w:r>
            <w:r>
              <w:rPr>
                <w:spacing w:val="-2"/>
              </w:rPr>
              <w:t>万元</w:t>
            </w:r>
            <w:r>
              <w:rPr>
                <w:spacing w:val="-3"/>
              </w:rPr>
              <w:t>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466" w:type="dxa"/>
            <w:tcBorders>
              <w:bottom w:val="single" w:color="000000" w:sz="2" w:space="0"/>
              <w:right w:val="single" w:color="000000" w:sz="2" w:space="0"/>
            </w:tcBorders>
            <w:vAlign w:val="top"/>
          </w:tcPr>
          <w:p>
            <w:pPr>
              <w:spacing w:before="35" w:line="201" w:lineRule="auto"/>
              <w:jc w:val="right"/>
              <w:rPr>
                <w:rFonts w:ascii="黑体" w:hAnsi="黑体" w:eastAsia="黑体" w:cs="黑体"/>
                <w:sz w:val="24"/>
                <w:szCs w:val="24"/>
              </w:rPr>
            </w:pPr>
            <w:r>
              <w:rPr>
                <w:rFonts w:ascii="黑体" w:hAnsi="黑体" w:eastAsia="黑体" w:cs="黑体"/>
                <w:spacing w:val="-5"/>
                <w:sz w:val="24"/>
                <w:szCs w:val="24"/>
              </w:rPr>
              <w:t>第二百条</w:t>
            </w:r>
          </w:p>
        </w:tc>
        <w:tc>
          <w:tcPr>
            <w:tcW w:w="5631" w:type="dxa"/>
            <w:gridSpan w:val="8"/>
            <w:tcBorders>
              <w:left w:val="single" w:color="000000" w:sz="2" w:space="0"/>
              <w:bottom w:val="single" w:color="000000" w:sz="2" w:space="0"/>
            </w:tcBorders>
            <w:shd w:val="clear" w:color="auto" w:fill="D9D9D9"/>
            <w:vAlign w:val="top"/>
          </w:tcPr>
          <w:p>
            <w:pPr>
              <w:pStyle w:val="8"/>
              <w:spacing w:before="37" w:line="200" w:lineRule="auto"/>
              <w:ind w:right="12"/>
              <w:jc w:val="right"/>
            </w:pPr>
            <w:r>
              <w:rPr>
                <w:spacing w:val="2"/>
              </w:rPr>
              <w:t>证券交易所、证券公司、证券登记结算机构、证券</w:t>
            </w:r>
          </w:p>
        </w:tc>
        <w:tc>
          <w:tcPr>
            <w:tcW w:w="6810"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097" w:type="dxa"/>
            <w:gridSpan w:val="9"/>
            <w:tcBorders>
              <w:top w:val="single" w:color="000000" w:sz="2" w:space="0"/>
              <w:bottom w:val="single" w:color="000000" w:sz="2" w:space="0"/>
            </w:tcBorders>
            <w:shd w:val="clear" w:color="auto" w:fill="D9D9D9"/>
            <w:vAlign w:val="top"/>
          </w:tcPr>
          <w:p>
            <w:pPr>
              <w:pStyle w:val="8"/>
              <w:spacing w:before="56" w:line="201" w:lineRule="auto"/>
              <w:ind w:left="26"/>
            </w:pPr>
            <w:r>
              <w:rPr>
                <w:spacing w:val="-1"/>
              </w:rPr>
              <w:t>服务机构的从业人员或者证券业协会的工作人员，</w:t>
            </w:r>
            <w:r>
              <w:rPr>
                <w:spacing w:val="-2"/>
              </w:rPr>
              <w:t xml:space="preserve"> 故意提供虚假资</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7" w:type="dxa"/>
            <w:gridSpan w:val="9"/>
            <w:tcBorders>
              <w:top w:val="single" w:color="000000" w:sz="2" w:space="0"/>
              <w:bottom w:val="single" w:color="000000" w:sz="2" w:space="0"/>
            </w:tcBorders>
            <w:shd w:val="clear" w:color="auto" w:fill="D9D9D9"/>
            <w:vAlign w:val="top"/>
          </w:tcPr>
          <w:p>
            <w:pPr>
              <w:pStyle w:val="8"/>
              <w:spacing w:before="55" w:line="201" w:lineRule="auto"/>
              <w:ind w:left="27"/>
            </w:pPr>
            <w:r>
              <w:rPr>
                <w:spacing w:val="10"/>
              </w:rPr>
              <w:t>料，</w:t>
            </w:r>
            <w:r>
              <w:rPr>
                <w:spacing w:val="-68"/>
              </w:rPr>
              <w:t xml:space="preserve"> </w:t>
            </w:r>
            <w:r>
              <w:rPr>
                <w:spacing w:val="10"/>
              </w:rPr>
              <w:t>隐匿、伪造、篡改或者毁损交易记录，诱</w:t>
            </w:r>
            <w:r>
              <w:rPr>
                <w:spacing w:val="9"/>
              </w:rPr>
              <w:t>骗投资者买卖证券</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097" w:type="dxa"/>
            <w:gridSpan w:val="9"/>
            <w:tcBorders>
              <w:top w:val="single" w:color="000000" w:sz="2" w:space="0"/>
              <w:bottom w:val="single" w:color="000000" w:sz="2" w:space="0"/>
            </w:tcBorders>
            <w:shd w:val="clear" w:color="auto" w:fill="D9D9D9"/>
            <w:vAlign w:val="top"/>
          </w:tcPr>
          <w:p>
            <w:pPr>
              <w:pStyle w:val="8"/>
              <w:spacing w:before="54" w:line="202" w:lineRule="auto"/>
              <w:ind w:left="43"/>
            </w:pPr>
            <w:r>
              <w:rPr>
                <w:spacing w:val="-2"/>
              </w:rPr>
              <w:t>的，</w:t>
            </w:r>
            <w:r>
              <w:rPr>
                <w:spacing w:val="-16"/>
              </w:rPr>
              <w:t xml:space="preserve"> </w:t>
            </w:r>
            <w:r>
              <w:rPr>
                <w:spacing w:val="-2"/>
              </w:rPr>
              <w:t>撤销证券从业资格，并处以三万元以上十万元以下的罚款；属</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088" w:type="dxa"/>
            <w:gridSpan w:val="8"/>
            <w:tcBorders>
              <w:top w:val="single" w:color="000000" w:sz="2" w:space="0"/>
              <w:bottom w:val="single" w:color="000000" w:sz="2" w:space="0"/>
              <w:right w:val="single" w:color="000000" w:sz="2" w:space="0"/>
            </w:tcBorders>
            <w:shd w:val="clear" w:color="auto" w:fill="D9D9D9"/>
            <w:vAlign w:val="top"/>
          </w:tcPr>
          <w:p>
            <w:pPr>
              <w:pStyle w:val="8"/>
              <w:spacing w:before="53" w:line="195" w:lineRule="auto"/>
              <w:ind w:left="34"/>
            </w:pPr>
            <w:r>
              <w:rPr>
                <w:spacing w:val="-12"/>
              </w:rPr>
              <w:t>于国家工作人员的，</w:t>
            </w:r>
            <w:r>
              <w:rPr>
                <w:spacing w:val="67"/>
              </w:rPr>
              <w:t xml:space="preserve"> </w:t>
            </w:r>
            <w:r>
              <w:rPr>
                <w:spacing w:val="-12"/>
              </w:rPr>
              <w:t>还应当依法给予行政处分。</w:t>
            </w:r>
          </w:p>
        </w:tc>
        <w:tc>
          <w:tcPr>
            <w:tcW w:w="2009" w:type="dxa"/>
            <w:vMerge w:val="restart"/>
            <w:tcBorders>
              <w:top w:val="single" w:color="000000" w:sz="2" w:space="0"/>
              <w:left w:val="single" w:color="000000" w:sz="2" w:space="0"/>
              <w:bottom w:val="nil"/>
            </w:tcBorders>
            <w:vAlign w:val="top"/>
          </w:tcPr>
          <w:p>
            <w:pPr>
              <w:rPr>
                <w:rFonts w:ascii="Arial"/>
                <w:sz w:val="21"/>
              </w:rPr>
            </w:pP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 w:hRule="atLeast"/>
        </w:trPr>
        <w:tc>
          <w:tcPr>
            <w:tcW w:w="1466" w:type="dxa"/>
            <w:tcBorders>
              <w:top w:val="single" w:color="000000" w:sz="2" w:space="0"/>
              <w:right w:val="nil"/>
            </w:tcBorders>
            <w:vAlign w:val="top"/>
          </w:tcPr>
          <w:p>
            <w:pPr>
              <w:spacing w:line="100" w:lineRule="exact"/>
              <w:rPr>
                <w:rFonts w:ascii="Arial"/>
                <w:sz w:val="8"/>
              </w:rPr>
            </w:pPr>
          </w:p>
        </w:tc>
        <w:tc>
          <w:tcPr>
            <w:tcW w:w="1011" w:type="dxa"/>
            <w:tcBorders>
              <w:top w:val="single" w:color="000000" w:sz="2" w:space="0"/>
              <w:left w:val="nil"/>
              <w:right w:val="nil"/>
            </w:tcBorders>
            <w:vAlign w:val="top"/>
          </w:tcPr>
          <w:p>
            <w:pPr>
              <w:spacing w:line="100" w:lineRule="exact"/>
              <w:rPr>
                <w:rFonts w:ascii="Arial"/>
                <w:sz w:val="8"/>
              </w:rPr>
            </w:pPr>
          </w:p>
        </w:tc>
        <w:tc>
          <w:tcPr>
            <w:tcW w:w="1254" w:type="dxa"/>
            <w:tcBorders>
              <w:top w:val="single" w:color="000000" w:sz="2" w:space="0"/>
              <w:left w:val="nil"/>
              <w:right w:val="nil"/>
            </w:tcBorders>
            <w:vAlign w:val="top"/>
          </w:tcPr>
          <w:p>
            <w:pPr>
              <w:spacing w:line="100" w:lineRule="exact"/>
              <w:rPr>
                <w:rFonts w:ascii="Arial"/>
                <w:sz w:val="8"/>
              </w:rPr>
            </w:pPr>
          </w:p>
        </w:tc>
        <w:tc>
          <w:tcPr>
            <w:tcW w:w="153" w:type="dxa"/>
            <w:tcBorders>
              <w:top w:val="single" w:color="000000" w:sz="2" w:space="0"/>
              <w:left w:val="nil"/>
              <w:right w:val="nil"/>
            </w:tcBorders>
            <w:vAlign w:val="top"/>
          </w:tcPr>
          <w:p>
            <w:pPr>
              <w:spacing w:line="100" w:lineRule="exact"/>
              <w:rPr>
                <w:rFonts w:ascii="Arial"/>
                <w:sz w:val="8"/>
              </w:rPr>
            </w:pPr>
          </w:p>
        </w:tc>
        <w:tc>
          <w:tcPr>
            <w:tcW w:w="120" w:type="dxa"/>
            <w:tcBorders>
              <w:top w:val="single" w:color="000000" w:sz="2" w:space="0"/>
              <w:left w:val="nil"/>
              <w:right w:val="nil"/>
            </w:tcBorders>
            <w:vAlign w:val="top"/>
          </w:tcPr>
          <w:p>
            <w:pPr>
              <w:spacing w:line="100" w:lineRule="exact"/>
              <w:rPr>
                <w:rFonts w:ascii="Arial"/>
                <w:sz w:val="8"/>
              </w:rPr>
            </w:pPr>
          </w:p>
        </w:tc>
        <w:tc>
          <w:tcPr>
            <w:tcW w:w="368" w:type="dxa"/>
            <w:tcBorders>
              <w:top w:val="single" w:color="000000" w:sz="2" w:space="0"/>
              <w:left w:val="nil"/>
              <w:right w:val="nil"/>
            </w:tcBorders>
            <w:vAlign w:val="top"/>
          </w:tcPr>
          <w:p>
            <w:pPr>
              <w:spacing w:line="100" w:lineRule="exact"/>
              <w:rPr>
                <w:rFonts w:ascii="Arial"/>
                <w:sz w:val="8"/>
              </w:rPr>
            </w:pPr>
          </w:p>
        </w:tc>
        <w:tc>
          <w:tcPr>
            <w:tcW w:w="323" w:type="dxa"/>
            <w:tcBorders>
              <w:top w:val="single" w:color="000000" w:sz="2" w:space="0"/>
              <w:left w:val="nil"/>
              <w:right w:val="nil"/>
            </w:tcBorders>
            <w:vAlign w:val="top"/>
          </w:tcPr>
          <w:p>
            <w:pPr>
              <w:spacing w:line="100" w:lineRule="exact"/>
              <w:rPr>
                <w:rFonts w:ascii="Arial"/>
                <w:sz w:val="8"/>
              </w:rPr>
            </w:pPr>
          </w:p>
        </w:tc>
        <w:tc>
          <w:tcPr>
            <w:tcW w:w="393" w:type="dxa"/>
            <w:tcBorders>
              <w:top w:val="single" w:color="000000" w:sz="2" w:space="0"/>
              <w:left w:val="nil"/>
              <w:right w:val="nil"/>
            </w:tcBorders>
            <w:vAlign w:val="top"/>
          </w:tcPr>
          <w:p>
            <w:pPr>
              <w:spacing w:line="100" w:lineRule="exact"/>
              <w:rPr>
                <w:rFonts w:ascii="Arial"/>
                <w:sz w:val="8"/>
              </w:rPr>
            </w:pPr>
          </w:p>
        </w:tc>
        <w:tc>
          <w:tcPr>
            <w:tcW w:w="2009" w:type="dxa"/>
            <w:vMerge w:val="continue"/>
            <w:tcBorders>
              <w:top w:val="nil"/>
              <w:left w:val="single" w:color="000000" w:sz="2" w:space="0"/>
            </w:tcBorders>
            <w:vAlign w:val="top"/>
          </w:tcPr>
          <w:p>
            <w:pPr>
              <w:rPr>
                <w:rFonts w:ascii="Arial"/>
                <w:sz w:val="21"/>
              </w:rPr>
            </w:pP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77" w:type="dxa"/>
            <w:gridSpan w:val="2"/>
            <w:tcBorders>
              <w:bottom w:val="nil"/>
              <w:right w:val="single" w:color="000000" w:sz="2" w:space="0"/>
            </w:tcBorders>
            <w:vAlign w:val="top"/>
          </w:tcPr>
          <w:p>
            <w:pPr>
              <w:spacing w:before="53" w:line="190" w:lineRule="auto"/>
              <w:ind w:left="513"/>
              <w:rPr>
                <w:rFonts w:ascii="黑体" w:hAnsi="黑体" w:eastAsia="黑体" w:cs="黑体"/>
                <w:sz w:val="24"/>
                <w:szCs w:val="24"/>
              </w:rPr>
            </w:pPr>
            <w:r>
              <w:rPr>
                <w:rFonts w:ascii="黑体" w:hAnsi="黑体" w:eastAsia="黑体" w:cs="黑体"/>
                <w:sz w:val="24"/>
                <w:szCs w:val="24"/>
              </w:rPr>
              <w:t>第二百二十五条</w:t>
            </w:r>
          </w:p>
        </w:tc>
        <w:tc>
          <w:tcPr>
            <w:tcW w:w="2218" w:type="dxa"/>
            <w:gridSpan w:val="5"/>
            <w:tcBorders>
              <w:left w:val="single" w:color="000000" w:sz="2" w:space="0"/>
              <w:bottom w:val="single" w:color="000000" w:sz="2" w:space="0"/>
              <w:right w:val="single" w:color="000000" w:sz="2" w:space="0"/>
            </w:tcBorders>
            <w:shd w:val="clear" w:color="auto" w:fill="D9D9D9"/>
            <w:vAlign w:val="top"/>
          </w:tcPr>
          <w:p>
            <w:pPr>
              <w:pStyle w:val="8"/>
              <w:spacing w:before="53" w:line="190" w:lineRule="auto"/>
            </w:pPr>
            <w:r>
              <w:t>上市公司、证券公司</w:t>
            </w:r>
          </w:p>
        </w:tc>
        <w:tc>
          <w:tcPr>
            <w:tcW w:w="2402" w:type="dxa"/>
            <w:gridSpan w:val="2"/>
            <w:tcBorders>
              <w:left w:val="single" w:color="000000" w:sz="2" w:space="0"/>
              <w:bottom w:val="nil"/>
            </w:tcBorders>
            <w:vAlign w:val="top"/>
          </w:tcPr>
          <w:p>
            <w:pPr>
              <w:pStyle w:val="8"/>
              <w:spacing w:before="53" w:line="190" w:lineRule="auto"/>
            </w:pPr>
            <w:r>
              <w:rPr>
                <w:spacing w:val="-2"/>
              </w:rPr>
              <w:t>、证券交易所、证券登</w:t>
            </w:r>
          </w:p>
        </w:tc>
        <w:tc>
          <w:tcPr>
            <w:tcW w:w="6810" w:type="dxa"/>
            <w:vMerge w:val="restart"/>
            <w:tcBorders>
              <w:bottom w:val="nil"/>
            </w:tcBorders>
            <w:vAlign w:val="top"/>
          </w:tcPr>
          <w:p>
            <w:pPr>
              <w:pStyle w:val="8"/>
              <w:spacing w:before="42" w:line="234" w:lineRule="auto"/>
              <w:ind w:left="17" w:right="3" w:firstLine="496"/>
            </w:pPr>
            <w:r>
              <w:rPr>
                <w:rFonts w:ascii="黑体" w:hAnsi="黑体" w:eastAsia="黑体" w:cs="黑体"/>
                <w:spacing w:val="1"/>
              </w:rPr>
              <w:t>第二百一十四条  发行人、</w:t>
            </w:r>
            <w:r>
              <w:rPr>
                <w:spacing w:val="1"/>
              </w:rPr>
              <w:t>证券登记结算机构、证券公司、</w:t>
            </w:r>
            <w:r>
              <w:rPr>
                <w:spacing w:val="4"/>
              </w:rPr>
              <w:t xml:space="preserve"> </w:t>
            </w:r>
            <w:r>
              <w:rPr>
                <w:spacing w:val="-3"/>
              </w:rPr>
              <w:t>证券服务机构未按照规定保存有关文件和资料的， 责令改正，给</w:t>
            </w:r>
            <w:r>
              <w:rPr>
                <w:spacing w:val="10"/>
              </w:rPr>
              <w:t xml:space="preserve"> </w:t>
            </w:r>
            <w:r>
              <w:rPr>
                <w:spacing w:val="-8"/>
              </w:rPr>
              <w:t>予警告， 并处以</w:t>
            </w:r>
            <w:r>
              <w:rPr>
                <w:rFonts w:ascii="黑体" w:hAnsi="黑体" w:eastAsia="黑体" w:cs="黑体"/>
                <w:spacing w:val="-8"/>
              </w:rPr>
              <w:t>十</w:t>
            </w:r>
            <w:r>
              <w:rPr>
                <w:spacing w:val="-8"/>
              </w:rPr>
              <w:t>万元以上</w:t>
            </w:r>
            <w:r>
              <w:rPr>
                <w:rFonts w:ascii="黑体" w:hAnsi="黑体" w:eastAsia="黑体" w:cs="黑体"/>
                <w:spacing w:val="-8"/>
              </w:rPr>
              <w:t>一百</w:t>
            </w:r>
            <w:r>
              <w:rPr>
                <w:spacing w:val="-8"/>
              </w:rPr>
              <w:t>万元以下的罚款； 泄露、隐匿、</w:t>
            </w:r>
            <w:r>
              <w:rPr>
                <w:spacing w:val="5"/>
              </w:rPr>
              <w:t xml:space="preserve"> </w:t>
            </w:r>
            <w:r>
              <w:rPr>
                <w:spacing w:val="-2"/>
              </w:rPr>
              <w:t xml:space="preserve">伪造、篡改或者毁损有关文件和资料的， </w:t>
            </w:r>
            <w:r>
              <w:rPr>
                <w:spacing w:val="-3"/>
              </w:rPr>
              <w:t>给予警告，并处以</w:t>
            </w:r>
            <w:r>
              <w:rPr>
                <w:rFonts w:ascii="黑体" w:hAnsi="黑体" w:eastAsia="黑体" w:cs="黑体"/>
                <w:spacing w:val="-3"/>
              </w:rPr>
              <w:t>二十</w:t>
            </w:r>
            <w:r>
              <w:rPr>
                <w:rFonts w:ascii="黑体" w:hAnsi="黑体" w:eastAsia="黑体" w:cs="黑体"/>
              </w:rPr>
              <w:t xml:space="preserve"> </w:t>
            </w:r>
            <w:r>
              <w:rPr>
                <w:spacing w:val="-6"/>
              </w:rPr>
              <w:t>万元以上</w:t>
            </w:r>
            <w:r>
              <w:rPr>
                <w:rFonts w:ascii="黑体" w:hAnsi="黑体" w:eastAsia="黑体" w:cs="黑体"/>
                <w:spacing w:val="-6"/>
              </w:rPr>
              <w:t>二百</w:t>
            </w:r>
            <w:r>
              <w:rPr>
                <w:spacing w:val="-6"/>
              </w:rPr>
              <w:t>万元以下的罚款； 情节严重</w:t>
            </w:r>
            <w:r>
              <w:rPr>
                <w:spacing w:val="-7"/>
              </w:rPr>
              <w:t>的， 处以</w:t>
            </w:r>
            <w:r>
              <w:rPr>
                <w:rFonts w:ascii="黑体" w:hAnsi="黑体" w:eastAsia="黑体" w:cs="黑体"/>
                <w:spacing w:val="-7"/>
              </w:rPr>
              <w:t>五十</w:t>
            </w:r>
            <w:r>
              <w:rPr>
                <w:spacing w:val="-7"/>
              </w:rPr>
              <w:t>万元以上</w:t>
            </w:r>
            <w:r>
              <w:t xml:space="preserve"> </w:t>
            </w:r>
            <w:r>
              <w:rPr>
                <w:spacing w:val="-3"/>
              </w:rPr>
              <w:t>五百万元以下的罚款， 并处暂停、撤销相关业务许可或者禁止从</w:t>
            </w:r>
            <w:r>
              <w:rPr>
                <w:spacing w:val="15"/>
              </w:rPr>
              <w:t xml:space="preserve"> </w:t>
            </w:r>
            <w:r>
              <w:rPr>
                <w:spacing w:val="2"/>
              </w:rPr>
              <w:t>事相关业务。对直接负责的主管人员和其他直</w:t>
            </w:r>
            <w:r>
              <w:rPr>
                <w:spacing w:val="1"/>
              </w:rPr>
              <w:t>接责任人员给予警</w:t>
            </w:r>
            <w:r>
              <w:t xml:space="preserve"> </w:t>
            </w:r>
            <w:r>
              <w:rPr>
                <w:spacing w:val="-3"/>
              </w:rPr>
              <w:t>告，并处以</w:t>
            </w:r>
            <w:r>
              <w:rPr>
                <w:rFonts w:ascii="黑体" w:hAnsi="黑体" w:eastAsia="黑体" w:cs="黑体"/>
                <w:spacing w:val="-3"/>
              </w:rPr>
              <w:t>十</w:t>
            </w:r>
            <w:r>
              <w:rPr>
                <w:spacing w:val="-3"/>
              </w:rPr>
              <w:t>万元以上</w:t>
            </w:r>
            <w:r>
              <w:rPr>
                <w:rFonts w:ascii="黑体" w:hAnsi="黑体" w:eastAsia="黑体" w:cs="黑体"/>
                <w:spacing w:val="-3"/>
              </w:rPr>
              <w:t>一百</w:t>
            </w:r>
            <w:r>
              <w:rPr>
                <w:spacing w:val="-3"/>
              </w:rPr>
              <w:t>万元以下的罚款。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884" w:type="dxa"/>
            <w:gridSpan w:val="4"/>
            <w:tcBorders>
              <w:top w:val="nil"/>
              <w:bottom w:val="nil"/>
              <w:right w:val="single" w:color="000000" w:sz="2" w:space="0"/>
            </w:tcBorders>
            <w:vAlign w:val="top"/>
          </w:tcPr>
          <w:p>
            <w:pPr>
              <w:pStyle w:val="8"/>
              <w:spacing w:before="69" w:line="186" w:lineRule="auto"/>
              <w:jc w:val="right"/>
            </w:pPr>
            <w:r>
              <w:t>记结算机构、证券服务机构，未按照</w:t>
            </w:r>
          </w:p>
        </w:tc>
        <w:tc>
          <w:tcPr>
            <w:tcW w:w="488" w:type="dxa"/>
            <w:gridSpan w:val="2"/>
            <w:tcBorders>
              <w:top w:val="single" w:color="000000" w:sz="2" w:space="0"/>
              <w:left w:val="single" w:color="000000" w:sz="2" w:space="0"/>
              <w:bottom w:val="single" w:color="000000" w:sz="2" w:space="0"/>
              <w:right w:val="single" w:color="000000" w:sz="2" w:space="0"/>
            </w:tcBorders>
            <w:shd w:val="clear" w:color="auto" w:fill="D9D9D9"/>
            <w:vAlign w:val="top"/>
          </w:tcPr>
          <w:p>
            <w:pPr>
              <w:pStyle w:val="8"/>
              <w:spacing w:before="69" w:line="186" w:lineRule="auto"/>
              <w:jc w:val="right"/>
            </w:pPr>
            <w:r>
              <w:rPr>
                <w:spacing w:val="-25"/>
              </w:rPr>
              <w:t>有</w:t>
            </w:r>
            <w:r>
              <w:rPr>
                <w:spacing w:val="-19"/>
              </w:rPr>
              <w:t>关</w:t>
            </w:r>
          </w:p>
        </w:tc>
        <w:tc>
          <w:tcPr>
            <w:tcW w:w="2725" w:type="dxa"/>
            <w:gridSpan w:val="3"/>
            <w:tcBorders>
              <w:top w:val="nil"/>
              <w:left w:val="single" w:color="000000" w:sz="2" w:space="0"/>
              <w:bottom w:val="nil"/>
            </w:tcBorders>
            <w:vAlign w:val="top"/>
          </w:tcPr>
          <w:p>
            <w:pPr>
              <w:pStyle w:val="8"/>
              <w:spacing w:before="69" w:line="186" w:lineRule="auto"/>
              <w:ind w:right="1"/>
              <w:jc w:val="right"/>
            </w:pPr>
            <w:r>
              <w:rPr>
                <w:spacing w:val="1"/>
              </w:rPr>
              <w:t>规定保存有关文件和资料</w:t>
            </w:r>
          </w:p>
        </w:tc>
        <w:tc>
          <w:tcPr>
            <w:tcW w:w="6810"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4" w:hRule="atLeast"/>
        </w:trPr>
        <w:tc>
          <w:tcPr>
            <w:tcW w:w="7097" w:type="dxa"/>
            <w:gridSpan w:val="9"/>
            <w:tcBorders>
              <w:top w:val="nil"/>
            </w:tcBorders>
            <w:vAlign w:val="top"/>
          </w:tcPr>
          <w:p>
            <w:pPr>
              <w:pStyle w:val="8"/>
              <w:spacing w:before="36"/>
              <w:ind w:left="15" w:firstLine="18"/>
              <w:jc w:val="both"/>
            </w:pPr>
            <w:r>
              <w:rPr>
                <w:spacing w:val="8"/>
              </w:rPr>
              <w:t>的，责令改正，给予警告，并处以</w:t>
            </w:r>
            <w:r>
              <w:rPr>
                <w:position w:val="-7"/>
              </w:rPr>
              <w:drawing>
                <wp:inline distT="0" distB="0" distL="0" distR="0">
                  <wp:extent cx="13335" cy="203835"/>
                  <wp:effectExtent l="0" t="0" r="0" b="0"/>
                  <wp:docPr id="1348" name="IM 1348"/>
                  <wp:cNvGraphicFramePr/>
                  <a:graphic xmlns:a="http://schemas.openxmlformats.org/drawingml/2006/main">
                    <a:graphicData uri="http://schemas.openxmlformats.org/drawingml/2006/picture">
                      <pic:pic xmlns:pic="http://schemas.openxmlformats.org/drawingml/2006/picture">
                        <pic:nvPicPr>
                          <pic:cNvPr id="1348" name="IM 1348"/>
                          <pic:cNvPicPr/>
                        </pic:nvPicPr>
                        <pic:blipFill>
                          <a:blip r:embed="rId70"/>
                          <a:stretch>
                            <a:fillRect/>
                          </a:stretch>
                        </pic:blipFill>
                        <pic:spPr>
                          <a:xfrm>
                            <a:off x="0" y="0"/>
                            <a:ext cx="13904" cy="204216"/>
                          </a:xfrm>
                          <a:prstGeom prst="rect">
                            <a:avLst/>
                          </a:prstGeom>
                        </pic:spPr>
                      </pic:pic>
                    </a:graphicData>
                  </a:graphic>
                </wp:inline>
              </w:drawing>
            </w:r>
            <w:r>
              <w:rPr>
                <w:spacing w:val="8"/>
                <w:shd w:val="clear" w:fill="D9D9D9"/>
              </w:rPr>
              <w:t>三</w:t>
            </w:r>
            <w:r>
              <w:rPr>
                <w:position w:val="-7"/>
              </w:rPr>
              <w:drawing>
                <wp:inline distT="0" distB="0" distL="0" distR="0">
                  <wp:extent cx="13335" cy="203835"/>
                  <wp:effectExtent l="0" t="0" r="0" b="0"/>
                  <wp:docPr id="1350" name="IM 1350"/>
                  <wp:cNvGraphicFramePr/>
                  <a:graphic xmlns:a="http://schemas.openxmlformats.org/drawingml/2006/main">
                    <a:graphicData uri="http://schemas.openxmlformats.org/drawingml/2006/picture">
                      <pic:pic xmlns:pic="http://schemas.openxmlformats.org/drawingml/2006/picture">
                        <pic:nvPicPr>
                          <pic:cNvPr id="1350" name="IM 1350"/>
                          <pic:cNvPicPr/>
                        </pic:nvPicPr>
                        <pic:blipFill>
                          <a:blip r:embed="rId76"/>
                          <a:stretch>
                            <a:fillRect/>
                          </a:stretch>
                        </pic:blipFill>
                        <pic:spPr>
                          <a:xfrm>
                            <a:off x="0" y="0"/>
                            <a:ext cx="13904" cy="204216"/>
                          </a:xfrm>
                          <a:prstGeom prst="rect">
                            <a:avLst/>
                          </a:prstGeom>
                        </pic:spPr>
                      </pic:pic>
                    </a:graphicData>
                  </a:graphic>
                </wp:inline>
              </w:drawing>
            </w:r>
            <w:r>
              <w:rPr>
                <w:spacing w:val="8"/>
              </w:rPr>
              <w:t>万元以上</w:t>
            </w:r>
            <w:r>
              <w:rPr>
                <w:position w:val="-7"/>
              </w:rPr>
              <w:drawing>
                <wp:inline distT="0" distB="0" distL="0" distR="0">
                  <wp:extent cx="13335" cy="203835"/>
                  <wp:effectExtent l="0" t="0" r="0" b="0"/>
                  <wp:docPr id="1352" name="IM 1352"/>
                  <wp:cNvGraphicFramePr/>
                  <a:graphic xmlns:a="http://schemas.openxmlformats.org/drawingml/2006/main">
                    <a:graphicData uri="http://schemas.openxmlformats.org/drawingml/2006/picture">
                      <pic:pic xmlns:pic="http://schemas.openxmlformats.org/drawingml/2006/picture">
                        <pic:nvPicPr>
                          <pic:cNvPr id="1352" name="IM 1352"/>
                          <pic:cNvPicPr/>
                        </pic:nvPicPr>
                        <pic:blipFill>
                          <a:blip r:embed="rId70"/>
                          <a:stretch>
                            <a:fillRect/>
                          </a:stretch>
                        </pic:blipFill>
                        <pic:spPr>
                          <a:xfrm>
                            <a:off x="0" y="0"/>
                            <a:ext cx="13904" cy="204216"/>
                          </a:xfrm>
                          <a:prstGeom prst="rect">
                            <a:avLst/>
                          </a:prstGeom>
                        </pic:spPr>
                      </pic:pic>
                    </a:graphicData>
                  </a:graphic>
                </wp:inline>
              </w:drawing>
            </w:r>
            <w:r>
              <w:rPr>
                <w:spacing w:val="8"/>
                <w:shd w:val="clear" w:fill="D9D9D9"/>
              </w:rPr>
              <w:t>三</w:t>
            </w:r>
            <w:r>
              <w:rPr>
                <w:position w:val="-7"/>
              </w:rPr>
              <w:drawing>
                <wp:inline distT="0" distB="0" distL="0" distR="0">
                  <wp:extent cx="13335" cy="203835"/>
                  <wp:effectExtent l="0" t="0" r="0" b="0"/>
                  <wp:docPr id="1354" name="IM 1354"/>
                  <wp:cNvGraphicFramePr/>
                  <a:graphic xmlns:a="http://schemas.openxmlformats.org/drawingml/2006/main">
                    <a:graphicData uri="http://schemas.openxmlformats.org/drawingml/2006/picture">
                      <pic:pic xmlns:pic="http://schemas.openxmlformats.org/drawingml/2006/picture">
                        <pic:nvPicPr>
                          <pic:cNvPr id="1354" name="IM 1354"/>
                          <pic:cNvPicPr/>
                        </pic:nvPicPr>
                        <pic:blipFill>
                          <a:blip r:embed="rId76"/>
                          <a:stretch>
                            <a:fillRect/>
                          </a:stretch>
                        </pic:blipFill>
                        <pic:spPr>
                          <a:xfrm>
                            <a:off x="0" y="0"/>
                            <a:ext cx="13904" cy="204216"/>
                          </a:xfrm>
                          <a:prstGeom prst="rect">
                            <a:avLst/>
                          </a:prstGeom>
                        </pic:spPr>
                      </pic:pic>
                    </a:graphicData>
                  </a:graphic>
                </wp:inline>
              </w:drawing>
            </w:r>
            <w:r>
              <w:rPr>
                <w:spacing w:val="8"/>
              </w:rPr>
              <w:t>十万元以下的罚</w:t>
            </w:r>
            <w:r>
              <w:rPr>
                <w:spacing w:val="9"/>
              </w:rPr>
              <w:t xml:space="preserve"> </w:t>
            </w:r>
            <w:r>
              <w:t>款；</w:t>
            </w:r>
            <w:r>
              <w:rPr>
                <w:position w:val="-8"/>
              </w:rPr>
              <w:drawing>
                <wp:inline distT="0" distB="0" distL="0" distR="0">
                  <wp:extent cx="5715" cy="5715"/>
                  <wp:effectExtent l="0" t="0" r="0" b="0"/>
                  <wp:docPr id="1356" name="IM 1356"/>
                  <wp:cNvGraphicFramePr/>
                  <a:graphic xmlns:a="http://schemas.openxmlformats.org/drawingml/2006/main">
                    <a:graphicData uri="http://schemas.openxmlformats.org/drawingml/2006/picture">
                      <pic:pic xmlns:pic="http://schemas.openxmlformats.org/drawingml/2006/picture">
                        <pic:nvPicPr>
                          <pic:cNvPr id="1356" name="IM 1356"/>
                          <pic:cNvPicPr/>
                        </pic:nvPicPr>
                        <pic:blipFill>
                          <a:blip r:embed="rId75"/>
                          <a:stretch>
                            <a:fillRect/>
                          </a:stretch>
                        </pic:blipFill>
                        <pic:spPr>
                          <a:xfrm>
                            <a:off x="0" y="0"/>
                            <a:ext cx="6227" cy="6096"/>
                          </a:xfrm>
                          <a:prstGeom prst="rect">
                            <a:avLst/>
                          </a:prstGeom>
                        </pic:spPr>
                      </pic:pic>
                    </a:graphicData>
                  </a:graphic>
                </wp:inline>
              </w:drawing>
            </w:r>
            <w:r>
              <w:rPr>
                <w:spacing w:val="-93"/>
                <w:u w:val="single" w:color="auto"/>
              </w:rPr>
              <w:t xml:space="preserve"> </w:t>
            </w:r>
            <w:r>
              <w:rPr>
                <w:u w:val="single" w:color="auto"/>
              </w:rPr>
              <w:t>隐</w:t>
            </w:r>
            <w:r>
              <w:rPr>
                <w:position w:val="-8"/>
              </w:rPr>
              <w:drawing>
                <wp:inline distT="0" distB="0" distL="0" distR="0">
                  <wp:extent cx="5715" cy="5715"/>
                  <wp:effectExtent l="0" t="0" r="0" b="0"/>
                  <wp:docPr id="1358" name="IM 1358"/>
                  <wp:cNvGraphicFramePr/>
                  <a:graphic xmlns:a="http://schemas.openxmlformats.org/drawingml/2006/main">
                    <a:graphicData uri="http://schemas.openxmlformats.org/drawingml/2006/picture">
                      <pic:pic xmlns:pic="http://schemas.openxmlformats.org/drawingml/2006/picture">
                        <pic:nvPicPr>
                          <pic:cNvPr id="1358" name="IM 1358"/>
                          <pic:cNvPicPr/>
                        </pic:nvPicPr>
                        <pic:blipFill>
                          <a:blip r:embed="rId72"/>
                          <a:stretch>
                            <a:fillRect/>
                          </a:stretch>
                        </pic:blipFill>
                        <pic:spPr>
                          <a:xfrm>
                            <a:off x="0" y="0"/>
                            <a:ext cx="6227" cy="6096"/>
                          </a:xfrm>
                          <a:prstGeom prst="rect">
                            <a:avLst/>
                          </a:prstGeom>
                        </pic:spPr>
                      </pic:pic>
                    </a:graphicData>
                  </a:graphic>
                </wp:inline>
              </w:drawing>
            </w:r>
            <w:r>
              <w:rPr>
                <w:spacing w:val="-90"/>
              </w:rPr>
              <w:t xml:space="preserve"> </w:t>
            </w:r>
            <w:r>
              <w:t>匿、伪造、</w:t>
            </w:r>
            <w:r>
              <w:rPr>
                <w:position w:val="-8"/>
              </w:rPr>
              <w:drawing>
                <wp:inline distT="0" distB="0" distL="0" distR="0">
                  <wp:extent cx="5715" cy="5715"/>
                  <wp:effectExtent l="0" t="0" r="0" b="0"/>
                  <wp:docPr id="1360" name="IM 1360"/>
                  <wp:cNvGraphicFramePr/>
                  <a:graphic xmlns:a="http://schemas.openxmlformats.org/drawingml/2006/main">
                    <a:graphicData uri="http://schemas.openxmlformats.org/drawingml/2006/picture">
                      <pic:pic xmlns:pic="http://schemas.openxmlformats.org/drawingml/2006/picture">
                        <pic:nvPicPr>
                          <pic:cNvPr id="1360" name="IM 1360"/>
                          <pic:cNvPicPr/>
                        </pic:nvPicPr>
                        <pic:blipFill>
                          <a:blip r:embed="rId74"/>
                          <a:stretch>
                            <a:fillRect/>
                          </a:stretch>
                        </pic:blipFill>
                        <pic:spPr>
                          <a:xfrm>
                            <a:off x="0" y="0"/>
                            <a:ext cx="6227" cy="6096"/>
                          </a:xfrm>
                          <a:prstGeom prst="rect">
                            <a:avLst/>
                          </a:prstGeom>
                        </pic:spPr>
                      </pic:pic>
                    </a:graphicData>
                  </a:graphic>
                </wp:inline>
              </w:drawing>
            </w:r>
            <w:r>
              <w:rPr>
                <w:spacing w:val="-98"/>
                <w:u w:val="single" w:color="auto"/>
              </w:rPr>
              <w:t xml:space="preserve"> </w:t>
            </w:r>
            <w:r>
              <w:rPr>
                <w:u w:val="single" w:color="auto"/>
              </w:rPr>
              <w:t>篡</w:t>
            </w:r>
            <w:r>
              <w:t>改或者毁损有关文件和资料的，给予警</w:t>
            </w:r>
            <w:r>
              <w:rPr>
                <w:spacing w:val="-1"/>
              </w:rPr>
              <w:t>告，并</w:t>
            </w:r>
            <w:r>
              <w:t xml:space="preserve"> </w:t>
            </w:r>
            <w:r>
              <w:rPr>
                <w:spacing w:val="-4"/>
              </w:rPr>
              <w:t>处以</w:t>
            </w:r>
            <w:r>
              <w:rPr>
                <w:position w:val="-7"/>
              </w:rPr>
              <w:drawing>
                <wp:inline distT="0" distB="0" distL="0" distR="0">
                  <wp:extent cx="5715" cy="203835"/>
                  <wp:effectExtent l="0" t="0" r="0" b="0"/>
                  <wp:docPr id="1362" name="IM 1362"/>
                  <wp:cNvGraphicFramePr/>
                  <a:graphic xmlns:a="http://schemas.openxmlformats.org/drawingml/2006/main">
                    <a:graphicData uri="http://schemas.openxmlformats.org/drawingml/2006/picture">
                      <pic:pic xmlns:pic="http://schemas.openxmlformats.org/drawingml/2006/picture">
                        <pic:nvPicPr>
                          <pic:cNvPr id="1362" name="IM 1362"/>
                          <pic:cNvPicPr/>
                        </pic:nvPicPr>
                        <pic:blipFill>
                          <a:blip r:embed="rId117"/>
                          <a:stretch>
                            <a:fillRect/>
                          </a:stretch>
                        </pic:blipFill>
                        <pic:spPr>
                          <a:xfrm>
                            <a:off x="0" y="0"/>
                            <a:ext cx="6155" cy="204216"/>
                          </a:xfrm>
                          <a:prstGeom prst="rect">
                            <a:avLst/>
                          </a:prstGeom>
                        </pic:spPr>
                      </pic:pic>
                    </a:graphicData>
                  </a:graphic>
                </wp:inline>
              </w:drawing>
            </w:r>
            <w:r>
              <w:rPr>
                <w:spacing w:val="-4"/>
                <w:shd w:val="clear" w:fill="D9D9D9"/>
              </w:rPr>
              <w:t>三</w:t>
            </w:r>
            <w:r>
              <w:rPr>
                <w:position w:val="-6"/>
              </w:rPr>
              <w:drawing>
                <wp:inline distT="0" distB="0" distL="0" distR="0">
                  <wp:extent cx="5715" cy="198120"/>
                  <wp:effectExtent l="0" t="0" r="0" b="0"/>
                  <wp:docPr id="1364" name="IM 1364"/>
                  <wp:cNvGraphicFramePr/>
                  <a:graphic xmlns:a="http://schemas.openxmlformats.org/drawingml/2006/main">
                    <a:graphicData uri="http://schemas.openxmlformats.org/drawingml/2006/picture">
                      <pic:pic xmlns:pic="http://schemas.openxmlformats.org/drawingml/2006/picture">
                        <pic:nvPicPr>
                          <pic:cNvPr id="1364" name="IM 1364"/>
                          <pic:cNvPicPr/>
                        </pic:nvPicPr>
                        <pic:blipFill>
                          <a:blip r:embed="rId88"/>
                          <a:stretch>
                            <a:fillRect/>
                          </a:stretch>
                        </pic:blipFill>
                        <pic:spPr>
                          <a:xfrm>
                            <a:off x="0" y="0"/>
                            <a:ext cx="6155" cy="198120"/>
                          </a:xfrm>
                          <a:prstGeom prst="rect">
                            <a:avLst/>
                          </a:prstGeom>
                        </pic:spPr>
                      </pic:pic>
                    </a:graphicData>
                  </a:graphic>
                </wp:inline>
              </w:drawing>
            </w:r>
            <w:r>
              <w:rPr>
                <w:spacing w:val="-4"/>
              </w:rPr>
              <w:t>十万元以上</w:t>
            </w:r>
            <w:r>
              <w:rPr>
                <w:position w:val="-6"/>
              </w:rPr>
              <w:drawing>
                <wp:inline distT="0" distB="0" distL="0" distR="0">
                  <wp:extent cx="5715" cy="198120"/>
                  <wp:effectExtent l="0" t="0" r="0" b="0"/>
                  <wp:docPr id="1366" name="IM 1366"/>
                  <wp:cNvGraphicFramePr/>
                  <a:graphic xmlns:a="http://schemas.openxmlformats.org/drawingml/2006/main">
                    <a:graphicData uri="http://schemas.openxmlformats.org/drawingml/2006/picture">
                      <pic:pic xmlns:pic="http://schemas.openxmlformats.org/drawingml/2006/picture">
                        <pic:nvPicPr>
                          <pic:cNvPr id="1366" name="IM 1366"/>
                          <pic:cNvPicPr/>
                        </pic:nvPicPr>
                        <pic:blipFill>
                          <a:blip r:embed="rId76"/>
                          <a:stretch>
                            <a:fillRect/>
                          </a:stretch>
                        </pic:blipFill>
                        <pic:spPr>
                          <a:xfrm>
                            <a:off x="0" y="0"/>
                            <a:ext cx="6155" cy="198120"/>
                          </a:xfrm>
                          <a:prstGeom prst="rect">
                            <a:avLst/>
                          </a:prstGeom>
                        </pic:spPr>
                      </pic:pic>
                    </a:graphicData>
                  </a:graphic>
                </wp:inline>
              </w:drawing>
            </w:r>
            <w:r>
              <w:rPr>
                <w:spacing w:val="-4"/>
                <w:u w:val="single" w:color="auto"/>
                <w:shd w:val="clear" w:fill="D9D9D9"/>
              </w:rPr>
              <w:t>六</w:t>
            </w:r>
            <w:r>
              <w:rPr>
                <w:position w:val="-7"/>
              </w:rPr>
              <w:drawing>
                <wp:inline distT="0" distB="0" distL="0" distR="0">
                  <wp:extent cx="5715" cy="203835"/>
                  <wp:effectExtent l="0" t="0" r="0" b="0"/>
                  <wp:docPr id="1368" name="IM 1368"/>
                  <wp:cNvGraphicFramePr/>
                  <a:graphic xmlns:a="http://schemas.openxmlformats.org/drawingml/2006/main">
                    <a:graphicData uri="http://schemas.openxmlformats.org/drawingml/2006/picture">
                      <pic:pic xmlns:pic="http://schemas.openxmlformats.org/drawingml/2006/picture">
                        <pic:nvPicPr>
                          <pic:cNvPr id="1368" name="IM 1368"/>
                          <pic:cNvPicPr/>
                        </pic:nvPicPr>
                        <pic:blipFill>
                          <a:blip r:embed="rId117"/>
                          <a:stretch>
                            <a:fillRect/>
                          </a:stretch>
                        </pic:blipFill>
                        <pic:spPr>
                          <a:xfrm>
                            <a:off x="0" y="0"/>
                            <a:ext cx="6155" cy="204216"/>
                          </a:xfrm>
                          <a:prstGeom prst="rect">
                            <a:avLst/>
                          </a:prstGeom>
                        </pic:spPr>
                      </pic:pic>
                    </a:graphicData>
                  </a:graphic>
                </wp:inline>
              </w:drawing>
            </w:r>
            <w:r>
              <w:rPr>
                <w:spacing w:val="-4"/>
              </w:rPr>
              <w:t>十万元以下的罚款。</w:t>
            </w:r>
          </w:p>
        </w:tc>
        <w:tc>
          <w:tcPr>
            <w:tcW w:w="6810"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7097" w:type="dxa"/>
            <w:gridSpan w:val="9"/>
            <w:vAlign w:val="top"/>
          </w:tcPr>
          <w:p>
            <w:pPr>
              <w:rPr>
                <w:rFonts w:ascii="Arial"/>
                <w:sz w:val="21"/>
              </w:rPr>
            </w:pPr>
          </w:p>
        </w:tc>
        <w:tc>
          <w:tcPr>
            <w:tcW w:w="6810" w:type="dxa"/>
            <w:vAlign w:val="top"/>
          </w:tcPr>
          <w:p>
            <w:pPr>
              <w:spacing w:before="50" w:line="231" w:lineRule="auto"/>
              <w:ind w:left="18" w:right="4" w:firstLine="495"/>
              <w:rPr>
                <w:rFonts w:ascii="黑体" w:hAnsi="黑体" w:eastAsia="黑体" w:cs="黑体"/>
                <w:sz w:val="24"/>
                <w:szCs w:val="24"/>
              </w:rPr>
            </w:pPr>
            <w:r>
              <w:rPr>
                <w:rFonts w:ascii="黑体" w:hAnsi="黑体" w:eastAsia="黑体" w:cs="黑体"/>
                <w:spacing w:val="1"/>
                <w:sz w:val="24"/>
                <w:szCs w:val="24"/>
              </w:rPr>
              <w:t>第二百一十五条  国务院证券监督管理机构依法将有关市场</w:t>
            </w:r>
            <w:r>
              <w:rPr>
                <w:rFonts w:ascii="黑体" w:hAnsi="黑体" w:eastAsia="黑体" w:cs="黑体"/>
                <w:spacing w:val="8"/>
                <w:sz w:val="24"/>
                <w:szCs w:val="24"/>
              </w:rPr>
              <w:t xml:space="preserve"> </w:t>
            </w:r>
            <w:r>
              <w:rPr>
                <w:rFonts w:ascii="黑体" w:hAnsi="黑体" w:eastAsia="黑体" w:cs="黑体"/>
                <w:spacing w:val="-3"/>
                <w:sz w:val="24"/>
                <w:szCs w:val="24"/>
              </w:rPr>
              <w:t>主体遵守本法的情况纳入证券市场诚信档案。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trPr>
        <w:tc>
          <w:tcPr>
            <w:tcW w:w="7097" w:type="dxa"/>
            <w:gridSpan w:val="9"/>
            <w:vAlign w:val="top"/>
          </w:tcPr>
          <w:p>
            <w:pPr>
              <w:pStyle w:val="8"/>
              <w:spacing w:before="50" w:line="232" w:lineRule="auto"/>
              <w:ind w:left="13" w:firstLine="499"/>
            </w:pPr>
            <w:r>
              <w:rPr>
                <w:rFonts w:ascii="黑体" w:hAnsi="黑体" w:eastAsia="黑体" w:cs="黑体"/>
                <w:spacing w:val="3"/>
              </w:rPr>
              <w:t xml:space="preserve">第二百二十七条  </w:t>
            </w:r>
            <w:r>
              <w:rPr>
                <w:spacing w:val="3"/>
              </w:rPr>
              <w:t>国务院证券监督管理机构或者国务院授权的</w:t>
            </w:r>
            <w:r>
              <w:rPr>
                <w:spacing w:val="2"/>
              </w:rPr>
              <w:t xml:space="preserve"> </w:t>
            </w:r>
            <w:r>
              <w:rPr>
                <w:spacing w:val="-1"/>
              </w:rPr>
              <w:t>部门有下列情形之一的， 对直接负责的主管人员和其他直接责任人</w:t>
            </w:r>
            <w:r>
              <w:rPr>
                <w:spacing w:val="17"/>
              </w:rPr>
              <w:t xml:space="preserve"> </w:t>
            </w:r>
            <w:r>
              <w:rPr>
                <w:spacing w:val="-7"/>
              </w:rPr>
              <w:t>员，依法给予行政处分：</w:t>
            </w:r>
          </w:p>
          <w:p>
            <w:pPr>
              <w:pStyle w:val="8"/>
              <w:spacing w:before="29" w:line="226" w:lineRule="auto"/>
              <w:ind w:left="46" w:right="24" w:firstLine="457"/>
            </w:pPr>
            <w:r>
              <w:rPr>
                <w:spacing w:val="2"/>
              </w:rPr>
              <w:t>（一）对不符合本法规定的发行证券、设立证券公司等申请予</w:t>
            </w:r>
            <w:r>
              <w:rPr>
                <w:spacing w:val="18"/>
              </w:rPr>
              <w:t xml:space="preserve"> </w:t>
            </w:r>
            <w:r>
              <w:rPr>
                <w:spacing w:val="-17"/>
              </w:rPr>
              <w:t>以核准、</w:t>
            </w:r>
            <w:r>
              <w:rPr>
                <w:spacing w:val="22"/>
              </w:rPr>
              <w:t xml:space="preserve"> </w:t>
            </w:r>
            <w:r>
              <w:rPr>
                <w:spacing w:val="-17"/>
              </w:rPr>
              <w:t>批准的；</w:t>
            </w:r>
            <w:r>
              <w:rPr>
                <w:spacing w:val="-17"/>
                <w:u w:val="single" w:color="auto"/>
              </w:rPr>
              <w:t xml:space="preserve">       </w:t>
            </w:r>
            <w:r>
              <w:rPr>
                <w:position w:val="-8"/>
              </w:rPr>
              <w:drawing>
                <wp:inline distT="0" distB="0" distL="0" distR="0">
                  <wp:extent cx="5715" cy="5715"/>
                  <wp:effectExtent l="0" t="0" r="0" b="0"/>
                  <wp:docPr id="1370" name="IM 1370"/>
                  <wp:cNvGraphicFramePr/>
                  <a:graphic xmlns:a="http://schemas.openxmlformats.org/drawingml/2006/main">
                    <a:graphicData uri="http://schemas.openxmlformats.org/drawingml/2006/picture">
                      <pic:pic xmlns:pic="http://schemas.openxmlformats.org/drawingml/2006/picture">
                        <pic:nvPicPr>
                          <pic:cNvPr id="1370" name="IM 1370"/>
                          <pic:cNvPicPr/>
                        </pic:nvPicPr>
                        <pic:blipFill>
                          <a:blip r:embed="rId72"/>
                          <a:stretch>
                            <a:fillRect/>
                          </a:stretch>
                        </pic:blipFill>
                        <pic:spPr>
                          <a:xfrm>
                            <a:off x="0" y="0"/>
                            <a:ext cx="6095" cy="6096"/>
                          </a:xfrm>
                          <a:prstGeom prst="rect">
                            <a:avLst/>
                          </a:prstGeom>
                        </pic:spPr>
                      </pic:pic>
                    </a:graphicData>
                  </a:graphic>
                </wp:inline>
              </w:drawing>
            </w:r>
            <w:r>
              <w:rPr>
                <w:spacing w:val="1"/>
              </w:rPr>
              <w:t xml:space="preserve">          </w:t>
            </w:r>
            <w:r>
              <w:rPr>
                <w:position w:val="-8"/>
              </w:rPr>
              <w:drawing>
                <wp:inline distT="0" distB="0" distL="0" distR="0">
                  <wp:extent cx="5715" cy="5715"/>
                  <wp:effectExtent l="0" t="0" r="0" b="0"/>
                  <wp:docPr id="1372" name="IM 1372"/>
                  <wp:cNvGraphicFramePr/>
                  <a:graphic xmlns:a="http://schemas.openxmlformats.org/drawingml/2006/main">
                    <a:graphicData uri="http://schemas.openxmlformats.org/drawingml/2006/picture">
                      <pic:pic xmlns:pic="http://schemas.openxmlformats.org/drawingml/2006/picture">
                        <pic:nvPicPr>
                          <pic:cNvPr id="1372" name="IM 1372"/>
                          <pic:cNvPicPr/>
                        </pic:nvPicPr>
                        <pic:blipFill>
                          <a:blip r:embed="rId75"/>
                          <a:stretch>
                            <a:fillRect/>
                          </a:stretch>
                        </pic:blipFill>
                        <pic:spPr>
                          <a:xfrm>
                            <a:off x="0" y="0"/>
                            <a:ext cx="6096" cy="6096"/>
                          </a:xfrm>
                          <a:prstGeom prst="rect">
                            <a:avLst/>
                          </a:prstGeom>
                        </pic:spPr>
                      </pic:pic>
                    </a:graphicData>
                  </a:graphic>
                </wp:inline>
              </w:drawing>
            </w:r>
            <w:r>
              <w:rPr>
                <w:spacing w:val="1"/>
                <w:u w:val="single" w:color="auto"/>
              </w:rPr>
              <w:t xml:space="preserve">            </w:t>
            </w:r>
            <w:r>
              <w:rPr>
                <w:position w:val="-8"/>
              </w:rPr>
              <w:drawing>
                <wp:inline distT="0" distB="0" distL="0" distR="0">
                  <wp:extent cx="5715" cy="5715"/>
                  <wp:effectExtent l="0" t="0" r="0" b="0"/>
                  <wp:docPr id="1374" name="IM 1374"/>
                  <wp:cNvGraphicFramePr/>
                  <a:graphic xmlns:a="http://schemas.openxmlformats.org/drawingml/2006/main">
                    <a:graphicData uri="http://schemas.openxmlformats.org/drawingml/2006/picture">
                      <pic:pic xmlns:pic="http://schemas.openxmlformats.org/drawingml/2006/picture">
                        <pic:nvPicPr>
                          <pic:cNvPr id="1374" name="IM 1374"/>
                          <pic:cNvPicPr/>
                        </pic:nvPicPr>
                        <pic:blipFill>
                          <a:blip r:embed="rId74"/>
                          <a:stretch>
                            <a:fillRect/>
                          </a:stretch>
                        </pic:blipFill>
                        <pic:spPr>
                          <a:xfrm>
                            <a:off x="0" y="0"/>
                            <a:ext cx="6096" cy="6096"/>
                          </a:xfrm>
                          <a:prstGeom prst="rect">
                            <a:avLst/>
                          </a:prstGeom>
                        </pic:spPr>
                      </pic:pic>
                    </a:graphicData>
                  </a:graphic>
                </wp:inline>
              </w:drawing>
            </w:r>
          </w:p>
          <w:p>
            <w:pPr>
              <w:pStyle w:val="8"/>
              <w:spacing w:line="242" w:lineRule="auto"/>
              <w:ind w:left="16" w:right="1" w:firstLine="487"/>
            </w:pPr>
            <w:r>
              <w:rPr>
                <w:spacing w:val="1"/>
              </w:rPr>
              <w:t>（二）违反</w:t>
            </w:r>
            <w:r>
              <w:rPr>
                <w:spacing w:val="-103"/>
              </w:rPr>
              <w:t xml:space="preserve"> </w:t>
            </w:r>
            <w:r>
              <w:rPr>
                <w:position w:val="-7"/>
              </w:rPr>
              <w:drawing>
                <wp:inline distT="0" distB="0" distL="0" distR="0">
                  <wp:extent cx="7620" cy="203835"/>
                  <wp:effectExtent l="0" t="0" r="0" b="0"/>
                  <wp:docPr id="1376" name="IM 1376"/>
                  <wp:cNvGraphicFramePr/>
                  <a:graphic xmlns:a="http://schemas.openxmlformats.org/drawingml/2006/main">
                    <a:graphicData uri="http://schemas.openxmlformats.org/drawingml/2006/picture">
                      <pic:pic xmlns:pic="http://schemas.openxmlformats.org/drawingml/2006/picture">
                        <pic:nvPicPr>
                          <pic:cNvPr id="1376" name="IM 1376"/>
                          <pic:cNvPicPr/>
                        </pic:nvPicPr>
                        <pic:blipFill>
                          <a:blip r:embed="rId80"/>
                          <a:stretch>
                            <a:fillRect/>
                          </a:stretch>
                        </pic:blipFill>
                        <pic:spPr>
                          <a:xfrm>
                            <a:off x="0" y="0"/>
                            <a:ext cx="8172" cy="204216"/>
                          </a:xfrm>
                          <a:prstGeom prst="rect">
                            <a:avLst/>
                          </a:prstGeom>
                        </pic:spPr>
                      </pic:pic>
                    </a:graphicData>
                  </a:graphic>
                </wp:inline>
              </w:drawing>
            </w:r>
            <w:r>
              <w:rPr>
                <w:spacing w:val="1"/>
                <w:u w:val="single" w:color="auto"/>
                <w:shd w:val="clear" w:fill="D9D9D9"/>
              </w:rPr>
              <w:t>规定采取</w:t>
            </w:r>
            <w:r>
              <w:rPr>
                <w:position w:val="-7"/>
              </w:rPr>
              <w:drawing>
                <wp:inline distT="0" distB="0" distL="0" distR="0">
                  <wp:extent cx="7620" cy="203835"/>
                  <wp:effectExtent l="0" t="0" r="0" b="0"/>
                  <wp:docPr id="1378" name="IM 1378"/>
                  <wp:cNvGraphicFramePr/>
                  <a:graphic xmlns:a="http://schemas.openxmlformats.org/drawingml/2006/main">
                    <a:graphicData uri="http://schemas.openxmlformats.org/drawingml/2006/picture">
                      <pic:pic xmlns:pic="http://schemas.openxmlformats.org/drawingml/2006/picture">
                        <pic:nvPicPr>
                          <pic:cNvPr id="1378" name="IM 1378"/>
                          <pic:cNvPicPr/>
                        </pic:nvPicPr>
                        <pic:blipFill>
                          <a:blip r:embed="rId73"/>
                          <a:stretch>
                            <a:fillRect/>
                          </a:stretch>
                        </pic:blipFill>
                        <pic:spPr>
                          <a:xfrm>
                            <a:off x="0" y="0"/>
                            <a:ext cx="8172" cy="204216"/>
                          </a:xfrm>
                          <a:prstGeom prst="rect">
                            <a:avLst/>
                          </a:prstGeom>
                        </pic:spPr>
                      </pic:pic>
                    </a:graphicData>
                  </a:graphic>
                </wp:inline>
              </w:drawing>
            </w:r>
            <w:r>
              <w:rPr>
                <w:spacing w:val="1"/>
              </w:rPr>
              <w:t>本法第一百</w:t>
            </w:r>
            <w:r>
              <w:rPr>
                <w:position w:val="-7"/>
              </w:rPr>
              <w:drawing>
                <wp:inline distT="0" distB="0" distL="0" distR="0">
                  <wp:extent cx="7620" cy="203835"/>
                  <wp:effectExtent l="0" t="0" r="0" b="0"/>
                  <wp:docPr id="1380" name="IM 1380"/>
                  <wp:cNvGraphicFramePr/>
                  <a:graphic xmlns:a="http://schemas.openxmlformats.org/drawingml/2006/main">
                    <a:graphicData uri="http://schemas.openxmlformats.org/drawingml/2006/picture">
                      <pic:pic xmlns:pic="http://schemas.openxmlformats.org/drawingml/2006/picture">
                        <pic:nvPicPr>
                          <pic:cNvPr id="1380" name="IM 1380"/>
                          <pic:cNvPicPr/>
                        </pic:nvPicPr>
                        <pic:blipFill>
                          <a:blip r:embed="rId77"/>
                          <a:stretch>
                            <a:fillRect/>
                          </a:stretch>
                        </pic:blipFill>
                        <pic:spPr>
                          <a:xfrm>
                            <a:off x="0" y="0"/>
                            <a:ext cx="8172" cy="204216"/>
                          </a:xfrm>
                          <a:prstGeom prst="rect">
                            <a:avLst/>
                          </a:prstGeom>
                        </pic:spPr>
                      </pic:pic>
                    </a:graphicData>
                  </a:graphic>
                </wp:inline>
              </w:drawing>
            </w:r>
            <w:r>
              <w:rPr>
                <w:spacing w:val="1"/>
                <w:u w:val="single" w:color="auto"/>
                <w:shd w:val="clear" w:fill="D9D9D9"/>
              </w:rPr>
              <w:t>八十条规定的</w:t>
            </w:r>
            <w:r>
              <w:rPr>
                <w:position w:val="-7"/>
              </w:rPr>
              <w:drawing>
                <wp:inline distT="0" distB="0" distL="0" distR="0">
                  <wp:extent cx="7620" cy="203835"/>
                  <wp:effectExtent l="0" t="0" r="0" b="0"/>
                  <wp:docPr id="1382" name="IM 1382"/>
                  <wp:cNvGraphicFramePr/>
                  <a:graphic xmlns:a="http://schemas.openxmlformats.org/drawingml/2006/main">
                    <a:graphicData uri="http://schemas.openxmlformats.org/drawingml/2006/picture">
                      <pic:pic xmlns:pic="http://schemas.openxmlformats.org/drawingml/2006/picture">
                        <pic:nvPicPr>
                          <pic:cNvPr id="1382" name="IM 1382"/>
                          <pic:cNvPicPr/>
                        </pic:nvPicPr>
                        <pic:blipFill>
                          <a:blip r:embed="rId80"/>
                          <a:stretch>
                            <a:fillRect/>
                          </a:stretch>
                        </pic:blipFill>
                        <pic:spPr>
                          <a:xfrm>
                            <a:off x="0" y="0"/>
                            <a:ext cx="8172" cy="204216"/>
                          </a:xfrm>
                          <a:prstGeom prst="rect">
                            <a:avLst/>
                          </a:prstGeom>
                        </pic:spPr>
                      </pic:pic>
                    </a:graphicData>
                  </a:graphic>
                </wp:inline>
              </w:drawing>
            </w:r>
            <w:r>
              <w:rPr>
                <w:spacing w:val="1"/>
              </w:rPr>
              <w:t>现场检查、调查</w:t>
            </w:r>
            <w:r>
              <w:t xml:space="preserve"> </w:t>
            </w:r>
            <w:r>
              <w:rPr>
                <w:spacing w:val="-5"/>
              </w:rPr>
              <w:t>取证、查询、冻结或者查封等措施的；</w:t>
            </w:r>
          </w:p>
        </w:tc>
        <w:tc>
          <w:tcPr>
            <w:tcW w:w="6810" w:type="dxa"/>
            <w:vAlign w:val="top"/>
          </w:tcPr>
          <w:p>
            <w:pPr>
              <w:pStyle w:val="8"/>
              <w:spacing w:before="49" w:line="233" w:lineRule="auto"/>
              <w:ind w:left="18" w:right="4" w:firstLine="495"/>
            </w:pPr>
            <w:r>
              <w:rPr>
                <w:rFonts w:ascii="黑体" w:hAnsi="黑体" w:eastAsia="黑体" w:cs="黑体"/>
                <w:spacing w:val="1"/>
              </w:rPr>
              <w:t xml:space="preserve">第二百一十六条  </w:t>
            </w:r>
            <w:r>
              <w:rPr>
                <w:spacing w:val="1"/>
              </w:rPr>
              <w:t>国务院证券监督管理机构或者国务院授权</w:t>
            </w:r>
            <w:r>
              <w:rPr>
                <w:spacing w:val="8"/>
              </w:rPr>
              <w:t xml:space="preserve"> </w:t>
            </w:r>
            <w:r>
              <w:rPr>
                <w:spacing w:val="-3"/>
              </w:rPr>
              <w:t>的部门有下列情形之一的， 对直接负责的主管人员和其他直接责</w:t>
            </w:r>
            <w:r>
              <w:rPr>
                <w:spacing w:val="14"/>
              </w:rPr>
              <w:t xml:space="preserve"> </w:t>
            </w:r>
            <w:r>
              <w:rPr>
                <w:spacing w:val="-7"/>
              </w:rPr>
              <w:t>任人员，依法给予处分：</w:t>
            </w:r>
          </w:p>
          <w:p>
            <w:pPr>
              <w:pStyle w:val="8"/>
              <w:spacing w:before="25" w:line="229" w:lineRule="auto"/>
              <w:ind w:left="25" w:right="27" w:firstLine="479"/>
            </w:pPr>
            <w:r>
              <w:rPr>
                <w:spacing w:val="1"/>
              </w:rPr>
              <w:t>（一）对不符合本法规定的发行证券、设立证券</w:t>
            </w:r>
            <w:r>
              <w:t xml:space="preserve">公司等申请 </w:t>
            </w:r>
            <w:r>
              <w:rPr>
                <w:spacing w:val="-7"/>
              </w:rPr>
              <w:t>予以核准、注册、批准的；</w:t>
            </w:r>
          </w:p>
          <w:p>
            <w:pPr>
              <w:pStyle w:val="8"/>
              <w:spacing w:before="28" w:line="228" w:lineRule="auto"/>
              <w:ind w:left="14" w:right="27" w:firstLine="489"/>
            </w:pPr>
            <w:r>
              <w:rPr>
                <w:spacing w:val="1"/>
              </w:rPr>
              <w:t>（二）违反本法规定采取现场检查、调查取证、</w:t>
            </w:r>
            <w:r>
              <w:t xml:space="preserve">查询、冻结 </w:t>
            </w:r>
            <w:r>
              <w:rPr>
                <w:spacing w:val="-8"/>
              </w:rPr>
              <w:t>或者查封等措施的；</w:t>
            </w:r>
          </w:p>
          <w:p>
            <w:pPr>
              <w:pStyle w:val="8"/>
              <w:spacing w:before="28" w:line="209" w:lineRule="auto"/>
              <w:ind w:right="6"/>
              <w:jc w:val="right"/>
            </w:pPr>
            <w:r>
              <w:rPr>
                <w:spacing w:val="11"/>
              </w:rPr>
              <w:t>（三）违反本法规定对有关机构和人员采取监督管理措施</w:t>
            </w:r>
          </w:p>
        </w:tc>
      </w:tr>
    </w:tbl>
    <w:p>
      <w:pPr>
        <w:spacing w:before="46" w:line="186"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p>
      <w:pPr>
        <w:spacing w:line="186" w:lineRule="auto"/>
        <w:rPr>
          <w:rFonts w:ascii="Times New Roman" w:hAnsi="Times New Roman" w:eastAsia="Times New Roman" w:cs="Times New Roman"/>
          <w:sz w:val="18"/>
          <w:szCs w:val="18"/>
        </w:rPr>
        <w:sectPr>
          <w:footerReference r:id="rId65" w:type="default"/>
          <w:pgSz w:w="16845" w:h="11910"/>
          <w:pgMar w:top="1012" w:right="1501" w:bottom="400" w:left="1420" w:header="0" w:footer="0"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7"/>
        <w:gridCol w:w="926"/>
        <w:gridCol w:w="1449"/>
        <w:gridCol w:w="1026"/>
        <w:gridCol w:w="1960"/>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6" w:hRule="atLeast"/>
        </w:trPr>
        <w:tc>
          <w:tcPr>
            <w:tcW w:w="7098" w:type="dxa"/>
            <w:gridSpan w:val="5"/>
            <w:vAlign w:val="top"/>
          </w:tcPr>
          <w:p>
            <w:pPr>
              <w:pStyle w:val="8"/>
              <w:spacing w:before="39" w:line="227" w:lineRule="auto"/>
              <w:ind w:left="503" w:right="1122"/>
            </w:pPr>
            <w:r>
              <w:rPr>
                <w:spacing w:val="-9"/>
              </w:rPr>
              <w:t>（</w:t>
            </w:r>
            <w:r>
              <w:rPr>
                <w:spacing w:val="-70"/>
              </w:rPr>
              <w:t xml:space="preserve"> </w:t>
            </w:r>
            <w:r>
              <w:rPr>
                <w:position w:val="-8"/>
              </w:rPr>
              <w:drawing>
                <wp:inline distT="0" distB="0" distL="0" distR="0">
                  <wp:extent cx="5715" cy="5715"/>
                  <wp:effectExtent l="0" t="0" r="0" b="0"/>
                  <wp:docPr id="1384" name="IM 1384"/>
                  <wp:cNvGraphicFramePr/>
                  <a:graphic xmlns:a="http://schemas.openxmlformats.org/drawingml/2006/main">
                    <a:graphicData uri="http://schemas.openxmlformats.org/drawingml/2006/picture">
                      <pic:pic xmlns:pic="http://schemas.openxmlformats.org/drawingml/2006/picture">
                        <pic:nvPicPr>
                          <pic:cNvPr id="1384" name="IM 1384"/>
                          <pic:cNvPicPr/>
                        </pic:nvPicPr>
                        <pic:blipFill>
                          <a:blip r:embed="rId95"/>
                          <a:stretch>
                            <a:fillRect/>
                          </a:stretch>
                        </pic:blipFill>
                        <pic:spPr>
                          <a:xfrm>
                            <a:off x="0" y="0"/>
                            <a:ext cx="6096" cy="6095"/>
                          </a:xfrm>
                          <a:prstGeom prst="rect">
                            <a:avLst/>
                          </a:prstGeom>
                        </pic:spPr>
                      </pic:pic>
                    </a:graphicData>
                  </a:graphic>
                </wp:inline>
              </w:drawing>
            </w:r>
            <w:r>
              <w:rPr>
                <w:spacing w:val="-102"/>
                <w:u w:val="single" w:color="auto"/>
              </w:rPr>
              <w:t xml:space="preserve"> </w:t>
            </w:r>
            <w:r>
              <w:rPr>
                <w:spacing w:val="-9"/>
                <w:u w:val="single" w:color="auto"/>
              </w:rPr>
              <w:t>三</w:t>
            </w:r>
            <w:r>
              <w:rPr>
                <w:spacing w:val="-111"/>
                <w:u w:val="single" w:color="auto"/>
              </w:rPr>
              <w:t xml:space="preserve"> </w:t>
            </w:r>
            <w:r>
              <w:rPr>
                <w:position w:val="-8"/>
              </w:rPr>
              <w:drawing>
                <wp:inline distT="0" distB="0" distL="0" distR="0">
                  <wp:extent cx="5715" cy="5715"/>
                  <wp:effectExtent l="0" t="0" r="0" b="0"/>
                  <wp:docPr id="1386" name="IM 1386"/>
                  <wp:cNvGraphicFramePr/>
                  <a:graphic xmlns:a="http://schemas.openxmlformats.org/drawingml/2006/main">
                    <a:graphicData uri="http://schemas.openxmlformats.org/drawingml/2006/picture">
                      <pic:pic xmlns:pic="http://schemas.openxmlformats.org/drawingml/2006/picture">
                        <pic:nvPicPr>
                          <pic:cNvPr id="1386" name="IM 1386"/>
                          <pic:cNvPicPr/>
                        </pic:nvPicPr>
                        <pic:blipFill>
                          <a:blip r:embed="rId104"/>
                          <a:stretch>
                            <a:fillRect/>
                          </a:stretch>
                        </pic:blipFill>
                        <pic:spPr>
                          <a:xfrm>
                            <a:off x="0" y="0"/>
                            <a:ext cx="6096" cy="6095"/>
                          </a:xfrm>
                          <a:prstGeom prst="rect">
                            <a:avLst/>
                          </a:prstGeom>
                        </pic:spPr>
                      </pic:pic>
                    </a:graphicData>
                  </a:graphic>
                </wp:inline>
              </w:drawing>
            </w:r>
            <w:r>
              <w:rPr>
                <w:spacing w:val="-74"/>
              </w:rPr>
              <w:t xml:space="preserve"> </w:t>
            </w:r>
            <w:r>
              <w:rPr>
                <w:spacing w:val="-9"/>
              </w:rPr>
              <w:t>）违反规定对有关机构和人员实施行政处罚的；</w:t>
            </w:r>
            <w:r>
              <w:t xml:space="preserve"> </w:t>
            </w:r>
            <w:r>
              <w:rPr>
                <w:spacing w:val="-8"/>
              </w:rPr>
              <w:t>（</w:t>
            </w:r>
            <w:r>
              <w:rPr>
                <w:spacing w:val="-76"/>
              </w:rPr>
              <w:t xml:space="preserve"> </w:t>
            </w:r>
            <w:r>
              <w:rPr>
                <w:position w:val="-7"/>
              </w:rPr>
              <w:drawing>
                <wp:inline distT="0" distB="0" distL="0" distR="0">
                  <wp:extent cx="3810" cy="203835"/>
                  <wp:effectExtent l="0" t="0" r="0" b="0"/>
                  <wp:docPr id="1388" name="IM 1388"/>
                  <wp:cNvGraphicFramePr/>
                  <a:graphic xmlns:a="http://schemas.openxmlformats.org/drawingml/2006/main">
                    <a:graphicData uri="http://schemas.openxmlformats.org/drawingml/2006/picture">
                      <pic:pic xmlns:pic="http://schemas.openxmlformats.org/drawingml/2006/picture">
                        <pic:nvPicPr>
                          <pic:cNvPr id="1388" name="IM 1388"/>
                          <pic:cNvPicPr/>
                        </pic:nvPicPr>
                        <pic:blipFill>
                          <a:blip r:embed="rId76"/>
                          <a:stretch>
                            <a:fillRect/>
                          </a:stretch>
                        </pic:blipFill>
                        <pic:spPr>
                          <a:xfrm>
                            <a:off x="0" y="0"/>
                            <a:ext cx="4063" cy="204215"/>
                          </a:xfrm>
                          <a:prstGeom prst="rect">
                            <a:avLst/>
                          </a:prstGeom>
                        </pic:spPr>
                      </pic:pic>
                    </a:graphicData>
                  </a:graphic>
                </wp:inline>
              </w:drawing>
            </w:r>
            <w:r>
              <w:rPr>
                <w:position w:val="-7"/>
              </w:rPr>
              <w:drawing>
                <wp:inline distT="0" distB="0" distL="0" distR="0">
                  <wp:extent cx="3810" cy="5715"/>
                  <wp:effectExtent l="0" t="0" r="0" b="0"/>
                  <wp:docPr id="1390" name="IM 1390"/>
                  <wp:cNvGraphicFramePr/>
                  <a:graphic xmlns:a="http://schemas.openxmlformats.org/drawingml/2006/main">
                    <a:graphicData uri="http://schemas.openxmlformats.org/drawingml/2006/picture">
                      <pic:pic xmlns:pic="http://schemas.openxmlformats.org/drawingml/2006/picture">
                        <pic:nvPicPr>
                          <pic:cNvPr id="1390" name="IM 1390"/>
                          <pic:cNvPicPr/>
                        </pic:nvPicPr>
                        <pic:blipFill>
                          <a:blip r:embed="rId74"/>
                          <a:stretch>
                            <a:fillRect/>
                          </a:stretch>
                        </pic:blipFill>
                        <pic:spPr>
                          <a:xfrm>
                            <a:off x="0" y="0"/>
                            <a:ext cx="4063" cy="6096"/>
                          </a:xfrm>
                          <a:prstGeom prst="rect">
                            <a:avLst/>
                          </a:prstGeom>
                        </pic:spPr>
                      </pic:pic>
                    </a:graphicData>
                  </a:graphic>
                </wp:inline>
              </w:drawing>
            </w:r>
            <w:r>
              <w:rPr>
                <w:spacing w:val="-83"/>
                <w:u w:val="single" w:color="auto"/>
                <w:shd w:val="clear" w:fill="D9D9D9"/>
              </w:rPr>
              <w:t xml:space="preserve"> </w:t>
            </w:r>
            <w:r>
              <w:rPr>
                <w:spacing w:val="-8"/>
                <w:u w:val="single" w:color="auto"/>
                <w:shd w:val="clear" w:fill="D9D9D9"/>
              </w:rPr>
              <w:t>四</w:t>
            </w:r>
            <w:r>
              <w:rPr>
                <w:position w:val="-6"/>
              </w:rPr>
              <w:drawing>
                <wp:inline distT="0" distB="0" distL="0" distR="0">
                  <wp:extent cx="3810" cy="198120"/>
                  <wp:effectExtent l="0" t="0" r="0" b="0"/>
                  <wp:docPr id="1392" name="IM 1392"/>
                  <wp:cNvGraphicFramePr/>
                  <a:graphic xmlns:a="http://schemas.openxmlformats.org/drawingml/2006/main">
                    <a:graphicData uri="http://schemas.openxmlformats.org/drawingml/2006/picture">
                      <pic:pic xmlns:pic="http://schemas.openxmlformats.org/drawingml/2006/picture">
                        <pic:nvPicPr>
                          <pic:cNvPr id="1392" name="IM 1392"/>
                          <pic:cNvPicPr/>
                        </pic:nvPicPr>
                        <pic:blipFill>
                          <a:blip r:embed="rId97"/>
                          <a:stretch>
                            <a:fillRect/>
                          </a:stretch>
                        </pic:blipFill>
                        <pic:spPr>
                          <a:xfrm>
                            <a:off x="0" y="0"/>
                            <a:ext cx="4063" cy="198120"/>
                          </a:xfrm>
                          <a:prstGeom prst="rect">
                            <a:avLst/>
                          </a:prstGeom>
                        </pic:spPr>
                      </pic:pic>
                    </a:graphicData>
                  </a:graphic>
                </wp:inline>
              </w:drawing>
            </w:r>
            <w:r>
              <w:rPr>
                <w:spacing w:val="-8"/>
              </w:rPr>
              <w:t>）其他不依法履行职责的行为。</w:t>
            </w:r>
          </w:p>
        </w:tc>
        <w:tc>
          <w:tcPr>
            <w:tcW w:w="6809" w:type="dxa"/>
            <w:vAlign w:val="top"/>
          </w:tcPr>
          <w:p>
            <w:pPr>
              <w:pStyle w:val="8"/>
              <w:spacing w:before="42" w:line="217" w:lineRule="auto"/>
              <w:ind w:left="34"/>
            </w:pPr>
            <w:r>
              <w:rPr>
                <w:spacing w:val="-24"/>
              </w:rPr>
              <w:t>的；</w:t>
            </w:r>
          </w:p>
          <w:p>
            <w:pPr>
              <w:pStyle w:val="8"/>
              <w:spacing w:before="26" w:line="228" w:lineRule="auto"/>
              <w:ind w:left="503" w:right="353"/>
            </w:pPr>
            <w:r>
              <w:rPr>
                <w:spacing w:val="-3"/>
              </w:rPr>
              <w:t>（四）违反本法规定对有关机构和人员实施行政处罚的；</w:t>
            </w:r>
            <w:r>
              <w:rPr>
                <w:spacing w:val="11"/>
              </w:rPr>
              <w:t xml:space="preserve"> </w:t>
            </w:r>
            <w:r>
              <w:rPr>
                <w:spacing w:val="-3"/>
              </w:rPr>
              <w:t>（五）其他不依法履行职责的行为。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5138" w:type="dxa"/>
            <w:gridSpan w:val="4"/>
            <w:tcBorders>
              <w:bottom w:val="nil"/>
              <w:right w:val="single" w:color="000000" w:sz="2" w:space="0"/>
            </w:tcBorders>
            <w:vAlign w:val="top"/>
          </w:tcPr>
          <w:p>
            <w:pPr>
              <w:pStyle w:val="8"/>
              <w:spacing w:before="38" w:line="199" w:lineRule="auto"/>
              <w:ind w:right="13"/>
              <w:jc w:val="right"/>
            </w:pPr>
            <w:r>
              <w:rPr>
                <w:rFonts w:ascii="黑体" w:hAnsi="黑体" w:eastAsia="黑体" w:cs="黑体"/>
                <w:spacing w:val="2"/>
              </w:rPr>
              <w:t xml:space="preserve">第二百二十八条  </w:t>
            </w:r>
            <w:r>
              <w:rPr>
                <w:spacing w:val="2"/>
              </w:rPr>
              <w:t>证券监督管理机构的工作</w:t>
            </w:r>
          </w:p>
        </w:tc>
        <w:tc>
          <w:tcPr>
            <w:tcW w:w="1960" w:type="dxa"/>
            <w:tcBorders>
              <w:left w:val="single" w:color="000000" w:sz="2" w:space="0"/>
              <w:bottom w:val="single" w:color="000000" w:sz="2" w:space="0"/>
            </w:tcBorders>
            <w:shd w:val="clear" w:color="auto" w:fill="D9D9D9"/>
            <w:vAlign w:val="top"/>
          </w:tcPr>
          <w:p>
            <w:pPr>
              <w:pStyle w:val="8"/>
              <w:spacing w:before="38" w:line="199" w:lineRule="auto"/>
              <w:ind w:left="9"/>
            </w:pPr>
            <w:r>
              <w:t>人员和发行审核委</w:t>
            </w:r>
          </w:p>
        </w:tc>
        <w:tc>
          <w:tcPr>
            <w:tcW w:w="6809" w:type="dxa"/>
            <w:vMerge w:val="restart"/>
            <w:tcBorders>
              <w:bottom w:val="nil"/>
            </w:tcBorders>
            <w:vAlign w:val="top"/>
          </w:tcPr>
          <w:p>
            <w:pPr>
              <w:pStyle w:val="8"/>
              <w:spacing w:before="26" w:line="234" w:lineRule="auto"/>
              <w:ind w:left="19" w:right="4" w:firstLine="493"/>
              <w:jc w:val="both"/>
            </w:pPr>
            <w:r>
              <w:rPr>
                <w:rFonts w:ascii="黑体" w:hAnsi="黑体" w:eastAsia="黑体" w:cs="黑体"/>
                <w:spacing w:val="1"/>
              </w:rPr>
              <w:t xml:space="preserve">第二百一十七条  </w:t>
            </w:r>
            <w:r>
              <w:rPr>
                <w:spacing w:val="1"/>
              </w:rPr>
              <w:t>国务院证券监督管理机构或者国务院授权</w:t>
            </w:r>
            <w:r>
              <w:rPr>
                <w:spacing w:val="8"/>
              </w:rPr>
              <w:t xml:space="preserve"> </w:t>
            </w:r>
            <w:r>
              <w:rPr>
                <w:spacing w:val="-3"/>
              </w:rPr>
              <w:t>的部门的工作人员，不履行本法规定的职责， 滥用职权、玩忽职</w:t>
            </w:r>
            <w:r>
              <w:rPr>
                <w:spacing w:val="13"/>
              </w:rPr>
              <w:t xml:space="preserve"> </w:t>
            </w:r>
            <w:r>
              <w:rPr>
                <w:spacing w:val="-6"/>
              </w:rPr>
              <w:t>守，</w:t>
            </w:r>
            <w:r>
              <w:rPr>
                <w:spacing w:val="-20"/>
              </w:rPr>
              <w:t xml:space="preserve"> </w:t>
            </w:r>
            <w:r>
              <w:rPr>
                <w:spacing w:val="-6"/>
              </w:rPr>
              <w:t>利用职务便利牟取不正当利益， 或者泄露所知悉的有关单位</w:t>
            </w:r>
            <w:r>
              <w:t xml:space="preserve"> </w:t>
            </w:r>
            <w:r>
              <w:rPr>
                <w:spacing w:val="-4"/>
              </w:rPr>
              <w:t>和个人的商业秘密的，依法追究法律责任。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7098" w:type="dxa"/>
            <w:gridSpan w:val="5"/>
            <w:tcBorders>
              <w:top w:val="nil"/>
            </w:tcBorders>
            <w:vAlign w:val="top"/>
          </w:tcPr>
          <w:p>
            <w:pPr>
              <w:pStyle w:val="8"/>
              <w:spacing w:before="19" w:line="238" w:lineRule="auto"/>
              <w:ind w:left="10" w:firstLine="30"/>
            </w:pPr>
            <w:r>
              <w:rPr>
                <w:spacing w:val="-4"/>
                <w:u w:val="single" w:color="auto"/>
                <w:shd w:val="clear" w:fill="D9D9D9"/>
              </w:rPr>
              <w:t>员会的组成</w:t>
            </w:r>
            <w:r>
              <w:rPr>
                <w:position w:val="-7"/>
              </w:rPr>
              <w:drawing>
                <wp:inline distT="0" distB="0" distL="0" distR="0">
                  <wp:extent cx="10795" cy="203835"/>
                  <wp:effectExtent l="0" t="0" r="0" b="0"/>
                  <wp:docPr id="1394" name="IM 1394"/>
                  <wp:cNvGraphicFramePr/>
                  <a:graphic xmlns:a="http://schemas.openxmlformats.org/drawingml/2006/main">
                    <a:graphicData uri="http://schemas.openxmlformats.org/drawingml/2006/picture">
                      <pic:pic xmlns:pic="http://schemas.openxmlformats.org/drawingml/2006/picture">
                        <pic:nvPicPr>
                          <pic:cNvPr id="1394" name="IM 1394"/>
                          <pic:cNvPicPr/>
                        </pic:nvPicPr>
                        <pic:blipFill>
                          <a:blip r:embed="rId70"/>
                          <a:stretch>
                            <a:fillRect/>
                          </a:stretch>
                        </pic:blipFill>
                        <pic:spPr>
                          <a:xfrm>
                            <a:off x="0" y="0"/>
                            <a:ext cx="11068" cy="204216"/>
                          </a:xfrm>
                          <a:prstGeom prst="rect">
                            <a:avLst/>
                          </a:prstGeom>
                        </pic:spPr>
                      </pic:pic>
                    </a:graphicData>
                  </a:graphic>
                </wp:inline>
              </w:drawing>
            </w:r>
            <w:r>
              <w:rPr>
                <w:spacing w:val="-4"/>
              </w:rPr>
              <w:t>人员，不履行本法规定的职责， 滥用职权、玩忽职守，</w:t>
            </w:r>
            <w:r>
              <w:rPr>
                <w:spacing w:val="2"/>
              </w:rPr>
              <w:t xml:space="preserve"> </w:t>
            </w:r>
            <w:r>
              <w:rPr>
                <w:spacing w:val="4"/>
              </w:rPr>
              <w:t>利用职务便利牟取不正当利益，或者泄露所知悉的有关</w:t>
            </w:r>
            <w:r>
              <w:rPr>
                <w:spacing w:val="3"/>
              </w:rPr>
              <w:t>单位和个人</w:t>
            </w:r>
            <w:r>
              <w:t xml:space="preserve"> </w:t>
            </w:r>
            <w:r>
              <w:rPr>
                <w:spacing w:val="-4"/>
              </w:rPr>
              <w:t>的商业秘密的，依法追究法律责任。</w:t>
            </w: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1737" w:type="dxa"/>
            <w:tcBorders>
              <w:bottom w:val="single" w:color="000000" w:sz="2" w:space="0"/>
              <w:right w:val="nil"/>
            </w:tcBorders>
            <w:vAlign w:val="top"/>
          </w:tcPr>
          <w:p>
            <w:pPr>
              <w:pStyle w:val="8"/>
              <w:spacing w:before="38" w:line="226" w:lineRule="auto"/>
              <w:ind w:left="23" w:right="8" w:firstLine="489"/>
            </w:pPr>
            <w:r>
              <w:rPr>
                <w:rFonts w:ascii="黑体" w:hAnsi="黑体" w:eastAsia="黑体" w:cs="黑体"/>
                <w:spacing w:val="1"/>
              </w:rPr>
              <w:t xml:space="preserve">第二百二十 </w:t>
            </w:r>
            <w:r>
              <w:rPr>
                <w:spacing w:val="-1"/>
              </w:rPr>
              <w:t>市申请予以审核</w:t>
            </w:r>
          </w:p>
        </w:tc>
        <w:tc>
          <w:tcPr>
            <w:tcW w:w="5361" w:type="dxa"/>
            <w:gridSpan w:val="4"/>
            <w:tcBorders>
              <w:left w:val="nil"/>
              <w:bottom w:val="nil"/>
            </w:tcBorders>
            <w:vAlign w:val="top"/>
          </w:tcPr>
          <w:p>
            <w:pPr>
              <w:pStyle w:val="8"/>
              <w:spacing w:before="36" w:line="225" w:lineRule="auto"/>
              <w:ind w:left="12" w:hanging="6"/>
            </w:pPr>
            <w:r>
              <w:rPr>
                <w:rFonts w:ascii="黑体" w:hAnsi="黑体" w:eastAsia="黑体" w:cs="黑体"/>
                <w:spacing w:val="3"/>
              </w:rPr>
              <w:t xml:space="preserve">九条  </w:t>
            </w:r>
            <w:r>
              <w:rPr>
                <w:spacing w:val="3"/>
              </w:rPr>
              <w:t>证券交易所对不符合本法规定条件的</w:t>
            </w:r>
            <w:r>
              <w:rPr>
                <w:spacing w:val="2"/>
                <w:u w:val="single" w:color="auto"/>
              </w:rPr>
              <w:t>证券上</w:t>
            </w:r>
            <w:r>
              <w:t xml:space="preserve"> </w:t>
            </w:r>
            <w:r>
              <w:rPr>
                <w:spacing w:val="1"/>
              </w:rPr>
              <w:t>同意的，给予警告，没收业务收入，并处以</w:t>
            </w:r>
            <w:r>
              <w:rPr>
                <w:position w:val="-6"/>
              </w:rPr>
              <w:drawing>
                <wp:inline distT="0" distB="0" distL="0" distR="0">
                  <wp:extent cx="7620" cy="194945"/>
                  <wp:effectExtent l="0" t="0" r="0" b="0"/>
                  <wp:docPr id="1396" name="IM 1396"/>
                  <wp:cNvGraphicFramePr/>
                  <a:graphic xmlns:a="http://schemas.openxmlformats.org/drawingml/2006/main">
                    <a:graphicData uri="http://schemas.openxmlformats.org/drawingml/2006/picture">
                      <pic:pic xmlns:pic="http://schemas.openxmlformats.org/drawingml/2006/picture">
                        <pic:nvPicPr>
                          <pic:cNvPr id="1396" name="IM 1396"/>
                          <pic:cNvPicPr/>
                        </pic:nvPicPr>
                        <pic:blipFill>
                          <a:blip r:embed="rId76"/>
                          <a:stretch>
                            <a:fillRect/>
                          </a:stretch>
                        </pic:blipFill>
                        <pic:spPr>
                          <a:xfrm>
                            <a:off x="0" y="0"/>
                            <a:ext cx="8253" cy="195009"/>
                          </a:xfrm>
                          <a:prstGeom prst="rect">
                            <a:avLst/>
                          </a:prstGeom>
                        </pic:spPr>
                      </pic:pic>
                    </a:graphicData>
                  </a:graphic>
                </wp:inline>
              </w:drawing>
            </w:r>
            <w:r>
              <w:rPr>
                <w:spacing w:val="1"/>
                <w:shd w:val="clear" w:fill="D9D9D9"/>
              </w:rPr>
              <w:t>业务收</w:t>
            </w:r>
          </w:p>
        </w:tc>
        <w:tc>
          <w:tcPr>
            <w:tcW w:w="6809" w:type="dxa"/>
            <w:vMerge w:val="restart"/>
            <w:tcBorders>
              <w:bottom w:val="nil"/>
            </w:tcBorders>
            <w:vAlign w:val="top"/>
          </w:tcPr>
          <w:p>
            <w:pPr>
              <w:spacing w:before="37" w:line="222" w:lineRule="auto"/>
              <w:ind w:left="528"/>
              <w:rPr>
                <w:rFonts w:ascii="黑体" w:hAnsi="黑体" w:eastAsia="黑体" w:cs="黑体"/>
                <w:sz w:val="24"/>
                <w:szCs w:val="24"/>
              </w:rPr>
            </w:pPr>
            <w:r>
              <w:rPr>
                <w:rFonts w:ascii="黑体" w:hAnsi="黑体" w:eastAsia="黑体" w:cs="黑体"/>
                <w:spacing w:val="-10"/>
                <w:sz w:val="24"/>
                <w:szCs w:val="24"/>
              </w:rPr>
              <w:t>（删除）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737" w:type="dxa"/>
            <w:tcBorders>
              <w:top w:val="single" w:color="000000" w:sz="2" w:space="0"/>
              <w:bottom w:val="single" w:color="000000" w:sz="2" w:space="0"/>
              <w:right w:val="single" w:color="000000" w:sz="2" w:space="0"/>
            </w:tcBorders>
            <w:shd w:val="clear" w:color="auto" w:fill="D9D9D9"/>
            <w:vAlign w:val="top"/>
          </w:tcPr>
          <w:p>
            <w:pPr>
              <w:pStyle w:val="8"/>
              <w:spacing w:before="51" w:line="203" w:lineRule="auto"/>
              <w:ind w:left="25"/>
            </w:pPr>
            <w:r>
              <w:t>入一倍以上五倍</w:t>
            </w:r>
          </w:p>
        </w:tc>
        <w:tc>
          <w:tcPr>
            <w:tcW w:w="5361" w:type="dxa"/>
            <w:gridSpan w:val="4"/>
            <w:tcBorders>
              <w:top w:val="nil"/>
              <w:left w:val="single" w:color="000000" w:sz="2" w:space="0"/>
              <w:bottom w:val="nil"/>
            </w:tcBorders>
            <w:vAlign w:val="top"/>
          </w:tcPr>
          <w:p>
            <w:pPr>
              <w:pStyle w:val="8"/>
              <w:spacing w:before="51" w:line="203" w:lineRule="auto"/>
              <w:ind w:right="3"/>
              <w:jc w:val="right"/>
            </w:pPr>
            <w:r>
              <w:rPr>
                <w:spacing w:val="1"/>
              </w:rPr>
              <w:t>以下的罚款。对直接负责的主管人员和其他直接责</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2663" w:type="dxa"/>
            <w:gridSpan w:val="2"/>
            <w:tcBorders>
              <w:top w:val="single" w:color="000000" w:sz="2" w:space="0"/>
              <w:right w:val="single" w:color="000000" w:sz="2" w:space="0"/>
            </w:tcBorders>
            <w:vAlign w:val="top"/>
          </w:tcPr>
          <w:p>
            <w:pPr>
              <w:pStyle w:val="8"/>
              <w:spacing w:before="52" w:line="199" w:lineRule="auto"/>
              <w:ind w:left="17"/>
            </w:pPr>
            <w:r>
              <w:rPr>
                <w:spacing w:val="-2"/>
              </w:rPr>
              <w:t>任人员给予警告，并处以</w:t>
            </w:r>
          </w:p>
        </w:tc>
        <w:tc>
          <w:tcPr>
            <w:tcW w:w="1449" w:type="dxa"/>
            <w:tcBorders>
              <w:top w:val="single" w:color="000000" w:sz="2" w:space="0"/>
              <w:left w:val="single" w:color="000000" w:sz="2" w:space="0"/>
              <w:right w:val="single" w:color="000000" w:sz="2" w:space="0"/>
            </w:tcBorders>
            <w:shd w:val="clear" w:color="auto" w:fill="D9D9D9"/>
            <w:vAlign w:val="top"/>
          </w:tcPr>
          <w:p>
            <w:pPr>
              <w:pStyle w:val="8"/>
              <w:spacing w:before="52" w:line="199" w:lineRule="auto"/>
              <w:ind w:right="3"/>
              <w:jc w:val="right"/>
            </w:pPr>
            <w:r>
              <w:rPr>
                <w:spacing w:val="-4"/>
              </w:rPr>
              <w:t>三万元以上三</w:t>
            </w:r>
          </w:p>
        </w:tc>
        <w:tc>
          <w:tcPr>
            <w:tcW w:w="2986" w:type="dxa"/>
            <w:gridSpan w:val="2"/>
            <w:tcBorders>
              <w:top w:val="nil"/>
              <w:left w:val="single" w:color="000000" w:sz="2" w:space="0"/>
            </w:tcBorders>
            <w:vAlign w:val="top"/>
          </w:tcPr>
          <w:p>
            <w:pPr>
              <w:pStyle w:val="8"/>
              <w:spacing w:before="52" w:line="199" w:lineRule="auto"/>
              <w:ind w:left="17"/>
            </w:pPr>
            <w:r>
              <w:rPr>
                <w:spacing w:val="-7"/>
              </w:rPr>
              <w:t>十万元以下的罚款。</w:t>
            </w: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7098" w:type="dxa"/>
            <w:gridSpan w:val="5"/>
            <w:vAlign w:val="top"/>
          </w:tcPr>
          <w:p>
            <w:pPr>
              <w:pStyle w:val="8"/>
              <w:spacing w:before="55" w:line="235" w:lineRule="auto"/>
              <w:ind w:left="19" w:firstLine="493"/>
              <w:jc w:val="both"/>
            </w:pPr>
            <w:r>
              <w:rPr>
                <w:rFonts w:ascii="黑体" w:hAnsi="黑体" w:eastAsia="黑体" w:cs="黑体"/>
                <w:spacing w:val="1"/>
              </w:rPr>
              <w:t xml:space="preserve">第二百三十条  </w:t>
            </w:r>
            <w:r>
              <w:rPr>
                <w:spacing w:val="1"/>
              </w:rPr>
              <w:t>拒绝、</w:t>
            </w:r>
            <w:r>
              <w:rPr>
                <w:position w:val="-7"/>
              </w:rPr>
              <w:drawing>
                <wp:inline distT="0" distB="0" distL="0" distR="0">
                  <wp:extent cx="5715" cy="5715"/>
                  <wp:effectExtent l="0" t="0" r="0" b="0"/>
                  <wp:docPr id="1398" name="IM 1398"/>
                  <wp:cNvGraphicFramePr/>
                  <a:graphic xmlns:a="http://schemas.openxmlformats.org/drawingml/2006/main">
                    <a:graphicData uri="http://schemas.openxmlformats.org/drawingml/2006/picture">
                      <pic:pic xmlns:pic="http://schemas.openxmlformats.org/drawingml/2006/picture">
                        <pic:nvPicPr>
                          <pic:cNvPr id="1398" name="IM 1398"/>
                          <pic:cNvPicPr/>
                        </pic:nvPicPr>
                        <pic:blipFill>
                          <a:blip r:embed="rId82"/>
                          <a:stretch>
                            <a:fillRect/>
                          </a:stretch>
                        </pic:blipFill>
                        <pic:spPr>
                          <a:xfrm>
                            <a:off x="0" y="0"/>
                            <a:ext cx="6094" cy="6096"/>
                          </a:xfrm>
                          <a:prstGeom prst="rect">
                            <a:avLst/>
                          </a:prstGeom>
                        </pic:spPr>
                      </pic:pic>
                    </a:graphicData>
                  </a:graphic>
                </wp:inline>
              </w:drawing>
            </w:r>
            <w:r>
              <w:rPr>
                <w:spacing w:val="-69"/>
                <w:u w:val="single" w:color="auto"/>
              </w:rPr>
              <w:t xml:space="preserve"> </w:t>
            </w:r>
            <w:r>
              <w:rPr>
                <w:spacing w:val="1"/>
                <w:u w:val="single" w:color="auto"/>
              </w:rPr>
              <w:t>阻碍证券监督管理机构及其</w:t>
            </w:r>
            <w:r>
              <w:rPr>
                <w:spacing w:val="1"/>
              </w:rPr>
              <w:t>工作人员依</w:t>
            </w:r>
            <w:r>
              <w:t xml:space="preserve"> </w:t>
            </w:r>
            <w:r>
              <w:rPr>
                <w:spacing w:val="2"/>
              </w:rPr>
              <w:t>法行使监督检查、调查职权</w:t>
            </w:r>
            <w:r>
              <w:rPr>
                <w:position w:val="-7"/>
              </w:rPr>
              <w:drawing>
                <wp:inline distT="0" distB="0" distL="0" distR="0">
                  <wp:extent cx="7620" cy="203835"/>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70"/>
                          <a:stretch>
                            <a:fillRect/>
                          </a:stretch>
                        </pic:blipFill>
                        <pic:spPr>
                          <a:xfrm>
                            <a:off x="0" y="0"/>
                            <a:ext cx="7745" cy="204216"/>
                          </a:xfrm>
                          <a:prstGeom prst="rect">
                            <a:avLst/>
                          </a:prstGeom>
                        </pic:spPr>
                      </pic:pic>
                    </a:graphicData>
                  </a:graphic>
                </wp:inline>
              </w:drawing>
            </w:r>
            <w:r>
              <w:rPr>
                <w:spacing w:val="2"/>
                <w:u w:val="single" w:color="auto"/>
                <w:shd w:val="clear" w:fill="D9D9D9"/>
              </w:rPr>
              <w:t>未使用暴力、威胁方法的，</w:t>
            </w:r>
            <w:r>
              <w:rPr>
                <w:position w:val="-7"/>
              </w:rPr>
              <w:drawing>
                <wp:inline distT="0" distB="0" distL="0" distR="0">
                  <wp:extent cx="7620" cy="203835"/>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76"/>
                          <a:stretch>
                            <a:fillRect/>
                          </a:stretch>
                        </pic:blipFill>
                        <pic:spPr>
                          <a:xfrm>
                            <a:off x="0" y="0"/>
                            <a:ext cx="7745" cy="204216"/>
                          </a:xfrm>
                          <a:prstGeom prst="rect">
                            <a:avLst/>
                          </a:prstGeom>
                        </pic:spPr>
                      </pic:pic>
                    </a:graphicData>
                  </a:graphic>
                </wp:inline>
              </w:drawing>
            </w:r>
            <w:r>
              <w:rPr>
                <w:spacing w:val="2"/>
              </w:rPr>
              <w:t>依法给予治</w:t>
            </w:r>
            <w:r>
              <w:rPr>
                <w:spacing w:val="15"/>
              </w:rPr>
              <w:t xml:space="preserve"> </w:t>
            </w:r>
            <w:r>
              <w:rPr>
                <w:spacing w:val="-9"/>
              </w:rPr>
              <w:t>安管理处罚。</w:t>
            </w:r>
          </w:p>
        </w:tc>
        <w:tc>
          <w:tcPr>
            <w:tcW w:w="6809" w:type="dxa"/>
            <w:vAlign w:val="top"/>
          </w:tcPr>
          <w:p>
            <w:pPr>
              <w:pStyle w:val="8"/>
              <w:spacing w:before="57" w:line="228" w:lineRule="auto"/>
              <w:ind w:left="21" w:right="2" w:firstLine="491"/>
              <w:jc w:val="both"/>
            </w:pPr>
            <w:r>
              <w:rPr>
                <w:rFonts w:ascii="黑体" w:hAnsi="黑体" w:eastAsia="黑体" w:cs="黑体"/>
                <w:spacing w:val="1"/>
              </w:rPr>
              <w:t xml:space="preserve">第二百一十八条  </w:t>
            </w:r>
            <w:r>
              <w:rPr>
                <w:spacing w:val="1"/>
              </w:rPr>
              <w:t>拒绝、阻碍证券监督管理机构及其工作人</w:t>
            </w:r>
            <w:r>
              <w:rPr>
                <w:spacing w:val="6"/>
              </w:rPr>
              <w:t xml:space="preserve"> </w:t>
            </w:r>
            <w:r>
              <w:rPr>
                <w:spacing w:val="8"/>
              </w:rPr>
              <w:t>员依法行使监督检查、调查职权，</w:t>
            </w:r>
            <w:r>
              <w:rPr>
                <w:spacing w:val="-47"/>
              </w:rPr>
              <w:t xml:space="preserve"> </w:t>
            </w:r>
            <w:r>
              <w:rPr>
                <w:spacing w:val="8"/>
              </w:rPr>
              <w:t>由证券监督管理机构责令改</w:t>
            </w:r>
            <w:r>
              <w:t xml:space="preserve"> </w:t>
            </w:r>
            <w:r>
              <w:rPr>
                <w:spacing w:val="-7"/>
              </w:rPr>
              <w:t>正， 处以十万元以上</w:t>
            </w:r>
            <w:r>
              <w:rPr>
                <w:rFonts w:ascii="黑体" w:hAnsi="黑体" w:eastAsia="黑体" w:cs="黑体"/>
                <w:spacing w:val="-7"/>
              </w:rPr>
              <w:t>一百</w:t>
            </w:r>
            <w:r>
              <w:rPr>
                <w:spacing w:val="-7"/>
              </w:rPr>
              <w:t>万元以下的罚款， 并由公安机关依法给</w:t>
            </w:r>
            <w:r>
              <w:rPr>
                <w:spacing w:val="14"/>
              </w:rPr>
              <w:t xml:space="preserve"> </w:t>
            </w:r>
            <w:r>
              <w:rPr>
                <w:spacing w:val="-8"/>
              </w:rPr>
              <w:t>予治安管理处罚。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098" w:type="dxa"/>
            <w:gridSpan w:val="5"/>
            <w:vAlign w:val="top"/>
          </w:tcPr>
          <w:p>
            <w:pPr>
              <w:pStyle w:val="8"/>
              <w:spacing w:before="52" w:line="221" w:lineRule="auto"/>
              <w:jc w:val="right"/>
            </w:pPr>
            <w:r>
              <w:rPr>
                <w:rFonts w:ascii="黑体" w:hAnsi="黑体" w:eastAsia="黑体" w:cs="黑体"/>
                <w:spacing w:val="-1"/>
              </w:rPr>
              <w:t xml:space="preserve">第二百三十一条  </w:t>
            </w:r>
            <w:r>
              <w:rPr>
                <w:spacing w:val="-1"/>
              </w:rPr>
              <w:t>违反本法规定，构成犯罪的， 依法追</w:t>
            </w:r>
            <w:r>
              <w:rPr>
                <w:spacing w:val="-2"/>
              </w:rPr>
              <w:t>究刑事</w:t>
            </w:r>
          </w:p>
          <w:p>
            <w:pPr>
              <w:pStyle w:val="8"/>
              <w:spacing w:before="24" w:line="196" w:lineRule="auto"/>
              <w:ind w:left="20"/>
            </w:pPr>
            <w:r>
              <w:rPr>
                <w:spacing w:val="-15"/>
              </w:rPr>
              <w:t>责任。</w:t>
            </w:r>
          </w:p>
        </w:tc>
        <w:tc>
          <w:tcPr>
            <w:tcW w:w="6809" w:type="dxa"/>
            <w:vAlign w:val="top"/>
          </w:tcPr>
          <w:p>
            <w:pPr>
              <w:pStyle w:val="8"/>
              <w:spacing w:before="52" w:line="221" w:lineRule="auto"/>
              <w:ind w:right="4"/>
              <w:jc w:val="right"/>
            </w:pPr>
            <w:r>
              <w:rPr>
                <w:rFonts w:ascii="黑体" w:hAnsi="黑体" w:eastAsia="黑体" w:cs="黑体"/>
                <w:spacing w:val="-6"/>
              </w:rPr>
              <w:t xml:space="preserve">第二百一十九条  </w:t>
            </w:r>
            <w:r>
              <w:rPr>
                <w:spacing w:val="-6"/>
              </w:rPr>
              <w:t>违反本法规定，构成犯罪的，</w:t>
            </w:r>
            <w:r>
              <w:rPr>
                <w:spacing w:val="77"/>
              </w:rPr>
              <w:t xml:space="preserve"> </w:t>
            </w:r>
            <w:r>
              <w:rPr>
                <w:spacing w:val="-6"/>
              </w:rPr>
              <w:t>依法追究刑</w:t>
            </w:r>
          </w:p>
          <w:p>
            <w:pPr>
              <w:pStyle w:val="8"/>
              <w:spacing w:before="24" w:line="196" w:lineRule="auto"/>
              <w:ind w:left="21"/>
            </w:pPr>
            <w:r>
              <w:rPr>
                <w:spacing w:val="-13"/>
              </w:rPr>
              <w:t>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098" w:type="dxa"/>
            <w:gridSpan w:val="5"/>
            <w:vAlign w:val="top"/>
          </w:tcPr>
          <w:p>
            <w:pPr>
              <w:pStyle w:val="8"/>
              <w:spacing w:before="49" w:line="227" w:lineRule="auto"/>
              <w:ind w:left="20" w:firstLine="493"/>
            </w:pPr>
            <w:r>
              <w:rPr>
                <w:rFonts w:ascii="黑体" w:hAnsi="黑体" w:eastAsia="黑体" w:cs="黑体"/>
              </w:rPr>
              <w:t xml:space="preserve">第二百三十二条  </w:t>
            </w:r>
            <w:r>
              <w:t>违反本法规定，</w:t>
            </w:r>
            <w:r>
              <w:rPr>
                <w:position w:val="-8"/>
              </w:rPr>
              <w:drawing>
                <wp:inline distT="0" distB="0" distL="0" distR="0">
                  <wp:extent cx="5715" cy="5715"/>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104"/>
                          <a:stretch>
                            <a:fillRect/>
                          </a:stretch>
                        </pic:blipFill>
                        <pic:spPr>
                          <a:xfrm>
                            <a:off x="0" y="0"/>
                            <a:ext cx="6094" cy="6095"/>
                          </a:xfrm>
                          <a:prstGeom prst="rect">
                            <a:avLst/>
                          </a:prstGeom>
                        </pic:spPr>
                      </pic:pic>
                    </a:graphicData>
                  </a:graphic>
                </wp:inline>
              </w:drawing>
            </w:r>
            <w:r>
              <w:rPr>
                <w:spacing w:val="-41"/>
                <w:u w:val="single" w:color="auto"/>
              </w:rPr>
              <w:t xml:space="preserve"> </w:t>
            </w:r>
            <w:r>
              <w:rPr>
                <w:u w:val="single" w:color="auto"/>
              </w:rPr>
              <w:t>应</w:t>
            </w:r>
            <w:r>
              <w:t xml:space="preserve">当承担民事赔偿责任和缴 </w:t>
            </w:r>
            <w:r>
              <w:rPr>
                <w:spacing w:val="-2"/>
              </w:rPr>
              <w:t>纳罚款、罚金，其财产不足以同时支付</w:t>
            </w:r>
            <w:r>
              <w:rPr>
                <w:position w:val="-7"/>
              </w:rPr>
              <w:drawing>
                <wp:inline distT="0" distB="0" distL="0" distR="0">
                  <wp:extent cx="6350" cy="203835"/>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70"/>
                          <a:stretch>
                            <a:fillRect/>
                          </a:stretch>
                        </pic:blipFill>
                        <pic:spPr>
                          <a:xfrm>
                            <a:off x="0" y="0"/>
                            <a:ext cx="6412" cy="204216"/>
                          </a:xfrm>
                          <a:prstGeom prst="rect">
                            <a:avLst/>
                          </a:prstGeom>
                        </pic:spPr>
                      </pic:pic>
                    </a:graphicData>
                  </a:graphic>
                </wp:inline>
              </w:drawing>
            </w:r>
            <w:r>
              <w:rPr>
                <w:spacing w:val="-2"/>
                <w:u w:val="single" w:color="auto"/>
                <w:shd w:val="clear" w:fill="D9D9D9"/>
              </w:rPr>
              <w:t>时</w:t>
            </w:r>
            <w:r>
              <w:rPr>
                <w:position w:val="-7"/>
              </w:rPr>
              <w:drawing>
                <wp:inline distT="0" distB="0" distL="0" distR="0">
                  <wp:extent cx="6350" cy="203835"/>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83"/>
                          <a:stretch>
                            <a:fillRect/>
                          </a:stretch>
                        </pic:blipFill>
                        <pic:spPr>
                          <a:xfrm>
                            <a:off x="0" y="0"/>
                            <a:ext cx="6412" cy="204216"/>
                          </a:xfrm>
                          <a:prstGeom prst="rect">
                            <a:avLst/>
                          </a:prstGeom>
                        </pic:spPr>
                      </pic:pic>
                    </a:graphicData>
                  </a:graphic>
                </wp:inline>
              </w:drawing>
            </w:r>
            <w:r>
              <w:rPr>
                <w:spacing w:val="-2"/>
              </w:rPr>
              <w:t>，先承担民事</w:t>
            </w:r>
            <w:r>
              <w:rPr>
                <w:spacing w:val="-3"/>
              </w:rPr>
              <w:t>赔偿责任。</w:t>
            </w:r>
          </w:p>
        </w:tc>
        <w:tc>
          <w:tcPr>
            <w:tcW w:w="6809" w:type="dxa"/>
            <w:vAlign w:val="top"/>
          </w:tcPr>
          <w:p>
            <w:pPr>
              <w:pStyle w:val="8"/>
              <w:spacing w:before="50" w:line="226" w:lineRule="auto"/>
              <w:ind w:left="17" w:right="3" w:firstLine="495"/>
              <w:jc w:val="both"/>
            </w:pPr>
            <w:r>
              <w:rPr>
                <w:rFonts w:ascii="黑体" w:hAnsi="黑体" w:eastAsia="黑体" w:cs="黑体"/>
                <w:spacing w:val="1"/>
              </w:rPr>
              <w:t xml:space="preserve">第二百二十条  </w:t>
            </w:r>
            <w:r>
              <w:rPr>
                <w:spacing w:val="1"/>
              </w:rPr>
              <w:t>违反本法规定，应当承担民事赔偿责任和缴</w:t>
            </w:r>
            <w:r>
              <w:rPr>
                <w:spacing w:val="6"/>
              </w:rPr>
              <w:t xml:space="preserve"> </w:t>
            </w:r>
            <w:r>
              <w:rPr>
                <w:spacing w:val="-3"/>
              </w:rPr>
              <w:t xml:space="preserve">纳罚款、罚金、违法所得， </w:t>
            </w:r>
            <w:r>
              <w:rPr>
                <w:rFonts w:ascii="黑体" w:hAnsi="黑体" w:eastAsia="黑体" w:cs="黑体"/>
                <w:spacing w:val="-3"/>
              </w:rPr>
              <w:t>违法行为人的</w:t>
            </w:r>
            <w:r>
              <w:rPr>
                <w:spacing w:val="-3"/>
              </w:rPr>
              <w:t>财产不足以支付的，</w:t>
            </w:r>
            <w:r>
              <w:rPr>
                <w:rFonts w:ascii="黑体" w:hAnsi="黑体" w:eastAsia="黑体" w:cs="黑体"/>
                <w:spacing w:val="-3"/>
              </w:rPr>
              <w:t>优</w:t>
            </w:r>
            <w:r>
              <w:rPr>
                <w:rFonts w:ascii="黑体" w:hAnsi="黑体" w:eastAsia="黑体" w:cs="黑体"/>
                <w:spacing w:val="18"/>
              </w:rPr>
              <w:t xml:space="preserve"> </w:t>
            </w:r>
            <w:r>
              <w:rPr>
                <w:rFonts w:ascii="黑体" w:hAnsi="黑体" w:eastAsia="黑体" w:cs="黑体"/>
                <w:spacing w:val="-5"/>
              </w:rPr>
              <w:t>先用于</w:t>
            </w:r>
            <w:r>
              <w:rPr>
                <w:spacing w:val="-5"/>
              </w:rPr>
              <w:t>承担民事赔偿责任。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8" w:hRule="atLeast"/>
        </w:trPr>
        <w:tc>
          <w:tcPr>
            <w:tcW w:w="7098" w:type="dxa"/>
            <w:gridSpan w:val="5"/>
            <w:vAlign w:val="top"/>
          </w:tcPr>
          <w:p>
            <w:pPr>
              <w:pStyle w:val="8"/>
              <w:spacing w:before="46" w:line="232" w:lineRule="auto"/>
              <w:ind w:left="16" w:firstLine="496"/>
              <w:jc w:val="both"/>
            </w:pPr>
            <w:r>
              <w:rPr>
                <w:rFonts w:ascii="黑体" w:hAnsi="黑体" w:eastAsia="黑体" w:cs="黑体"/>
                <w:spacing w:val="3"/>
              </w:rPr>
              <w:t xml:space="preserve">第二百三十三条  </w:t>
            </w:r>
            <w:r>
              <w:rPr>
                <w:spacing w:val="3"/>
              </w:rPr>
              <w:t>违反法律、行政法规或者国务院证券监督管</w:t>
            </w:r>
            <w:r>
              <w:rPr>
                <w:spacing w:val="2"/>
              </w:rPr>
              <w:t xml:space="preserve"> </w:t>
            </w:r>
            <w:r>
              <w:rPr>
                <w:spacing w:val="3"/>
              </w:rPr>
              <w:t>理机构的有关规定，情节严重的，国务院证券监督管理机构可以对</w:t>
            </w:r>
            <w:r>
              <w:rPr>
                <w:spacing w:val="18"/>
              </w:rPr>
              <w:t xml:space="preserve"> </w:t>
            </w:r>
            <w:r>
              <w:rPr>
                <w:spacing w:val="-4"/>
              </w:rPr>
              <w:t>有关责任人员采取证券市场禁入的措施。</w:t>
            </w:r>
          </w:p>
          <w:p>
            <w:pPr>
              <w:pStyle w:val="8"/>
              <w:spacing w:before="32" w:line="235" w:lineRule="auto"/>
              <w:ind w:left="12" w:firstLine="506"/>
              <w:jc w:val="both"/>
            </w:pPr>
            <w:r>
              <w:rPr>
                <w:spacing w:val="-2"/>
              </w:rPr>
              <w:t>前款所称证券市场</w:t>
            </w:r>
            <w:r>
              <w:rPr>
                <w:spacing w:val="-2"/>
                <w:u w:val="single" w:color="auto"/>
              </w:rPr>
              <w:t>禁入， 是指</w:t>
            </w:r>
            <w:r>
              <w:rPr>
                <w:spacing w:val="-2"/>
              </w:rPr>
              <w:t>在一定期限内直至终身不得从事</w:t>
            </w:r>
            <w:r>
              <w:rPr>
                <w:spacing w:val="18"/>
              </w:rPr>
              <w:t xml:space="preserve"> </w:t>
            </w:r>
            <w:r>
              <w:rPr>
                <w:spacing w:val="11"/>
              </w:rPr>
              <w:t>证券业务或者不得担任</w:t>
            </w:r>
            <w:r>
              <w:rPr>
                <w:position w:val="-7"/>
              </w:rPr>
              <w:drawing>
                <wp:inline distT="0" distB="0" distL="0" distR="0">
                  <wp:extent cx="13970" cy="203835"/>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76"/>
                          <a:stretch>
                            <a:fillRect/>
                          </a:stretch>
                        </pic:blipFill>
                        <pic:spPr>
                          <a:xfrm>
                            <a:off x="0" y="0"/>
                            <a:ext cx="14182" cy="204216"/>
                          </a:xfrm>
                          <a:prstGeom prst="rect">
                            <a:avLst/>
                          </a:prstGeom>
                        </pic:spPr>
                      </pic:pic>
                    </a:graphicData>
                  </a:graphic>
                </wp:inline>
              </w:drawing>
            </w:r>
            <w:r>
              <w:rPr>
                <w:spacing w:val="11"/>
                <w:u w:val="single" w:color="auto"/>
                <w:shd w:val="clear" w:fill="D9D9D9"/>
              </w:rPr>
              <w:t>上市公司</w:t>
            </w:r>
            <w:r>
              <w:rPr>
                <w:position w:val="-7"/>
              </w:rPr>
              <w:drawing>
                <wp:inline distT="0" distB="0" distL="0" distR="0">
                  <wp:extent cx="13970" cy="203835"/>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76"/>
                          <a:stretch>
                            <a:fillRect/>
                          </a:stretch>
                        </pic:blipFill>
                        <pic:spPr>
                          <a:xfrm>
                            <a:off x="0" y="0"/>
                            <a:ext cx="14182" cy="204216"/>
                          </a:xfrm>
                          <a:prstGeom prst="rect">
                            <a:avLst/>
                          </a:prstGeom>
                        </pic:spPr>
                      </pic:pic>
                    </a:graphicData>
                  </a:graphic>
                </wp:inline>
              </w:drawing>
            </w:r>
            <w:r>
              <w:rPr>
                <w:spacing w:val="11"/>
              </w:rPr>
              <w:t>董事、监事、高级</w:t>
            </w:r>
            <w:r>
              <w:rPr>
                <w:spacing w:val="10"/>
              </w:rPr>
              <w:t>管理人员的制</w:t>
            </w:r>
            <w:r>
              <w:t xml:space="preserve"> </w:t>
            </w:r>
            <w:r>
              <w:rPr>
                <w:spacing w:val="-15"/>
              </w:rPr>
              <w:t>度。</w:t>
            </w:r>
          </w:p>
        </w:tc>
        <w:tc>
          <w:tcPr>
            <w:tcW w:w="6809" w:type="dxa"/>
            <w:vAlign w:val="top"/>
          </w:tcPr>
          <w:p>
            <w:pPr>
              <w:pStyle w:val="8"/>
              <w:spacing w:before="46" w:line="232" w:lineRule="auto"/>
              <w:ind w:left="14" w:right="4" w:firstLine="498"/>
              <w:jc w:val="both"/>
            </w:pPr>
            <w:r>
              <w:rPr>
                <w:rFonts w:ascii="黑体" w:hAnsi="黑体" w:eastAsia="黑体" w:cs="黑体"/>
                <w:spacing w:val="1"/>
              </w:rPr>
              <w:t xml:space="preserve">第二百二十一条  </w:t>
            </w:r>
            <w:r>
              <w:rPr>
                <w:spacing w:val="1"/>
              </w:rPr>
              <w:t>违反法律、行政法规或者国务院证券监督</w:t>
            </w:r>
            <w:r>
              <w:rPr>
                <w:spacing w:val="8"/>
              </w:rPr>
              <w:t xml:space="preserve"> </w:t>
            </w:r>
            <w:r>
              <w:rPr>
                <w:spacing w:val="-6"/>
              </w:rPr>
              <w:t>管理机构的有关规定， 情节严重的， 国务</w:t>
            </w:r>
            <w:r>
              <w:rPr>
                <w:spacing w:val="-7"/>
              </w:rPr>
              <w:t>院证券监督管理机构可</w:t>
            </w:r>
            <w:r>
              <w:t xml:space="preserve"> </w:t>
            </w:r>
            <w:r>
              <w:rPr>
                <w:spacing w:val="-3"/>
              </w:rPr>
              <w:t>以对有关责任人员采取证券市场禁入的措施。</w:t>
            </w:r>
          </w:p>
          <w:p>
            <w:pPr>
              <w:pStyle w:val="8"/>
              <w:spacing w:before="30" w:line="232" w:lineRule="auto"/>
              <w:ind w:left="13" w:right="4" w:firstLine="505"/>
              <w:jc w:val="both"/>
              <w:rPr>
                <w:rFonts w:ascii="黑体" w:hAnsi="黑体" w:eastAsia="黑体" w:cs="黑体"/>
              </w:rPr>
            </w:pPr>
            <w:r>
              <w:rPr>
                <w:spacing w:val="-4"/>
              </w:rPr>
              <w:t>前款所称证券市场禁入， 是指在一定期限内直至终身不得从</w:t>
            </w:r>
            <w:r>
              <w:rPr>
                <w:spacing w:val="14"/>
              </w:rPr>
              <w:t xml:space="preserve"> </w:t>
            </w:r>
            <w:r>
              <w:rPr>
                <w:spacing w:val="11"/>
              </w:rPr>
              <w:t>事证券业务、证券服务业务，不得担任证券发行人的董</w:t>
            </w:r>
            <w:r>
              <w:rPr>
                <w:spacing w:val="10"/>
              </w:rPr>
              <w:t>事、监</w:t>
            </w:r>
            <w:r>
              <w:t xml:space="preserve"> </w:t>
            </w:r>
            <w:r>
              <w:rPr>
                <w:spacing w:val="2"/>
              </w:rPr>
              <w:t>事、高级管理人员，</w:t>
            </w:r>
            <w:r>
              <w:rPr>
                <w:rFonts w:ascii="黑体" w:hAnsi="黑体" w:eastAsia="黑体" w:cs="黑体"/>
                <w:spacing w:val="2"/>
              </w:rPr>
              <w:t>或者一定期限内不得在证券交易所、国</w:t>
            </w:r>
            <w:r>
              <w:rPr>
                <w:rFonts w:ascii="黑体" w:hAnsi="黑体" w:eastAsia="黑体" w:cs="黑体"/>
                <w:spacing w:val="1"/>
              </w:rPr>
              <w:t>务院</w:t>
            </w:r>
            <w:r>
              <w:rPr>
                <w:rFonts w:ascii="黑体" w:hAnsi="黑体" w:eastAsia="黑体" w:cs="黑体"/>
              </w:rPr>
              <w:t xml:space="preserve"> </w:t>
            </w:r>
            <w:r>
              <w:rPr>
                <w:rFonts w:ascii="黑体" w:hAnsi="黑体" w:eastAsia="黑体" w:cs="黑体"/>
                <w:spacing w:val="-1"/>
              </w:rPr>
              <w:t>批准的其他全国性证券交易场所交易证券</w:t>
            </w:r>
            <w:r>
              <w:rPr>
                <w:spacing w:val="-1"/>
              </w:rPr>
              <w:t>的制度</w:t>
            </w:r>
            <w:r>
              <w:rPr>
                <w:rFonts w:ascii="黑体" w:hAnsi="黑体" w:eastAsia="黑体" w:cs="黑体"/>
                <w:spacing w:val="-1"/>
              </w:rPr>
              <w:t>。</w:t>
            </w:r>
          </w:p>
        </w:tc>
      </w:tr>
    </w:tbl>
    <w:p>
      <w:pPr>
        <w:rPr>
          <w:rFonts w:ascii="Arial"/>
          <w:sz w:val="21"/>
        </w:rPr>
      </w:pPr>
    </w:p>
    <w:p>
      <w:pPr>
        <w:rPr>
          <w:rFonts w:ascii="Arial" w:hAnsi="Arial" w:eastAsia="Arial" w:cs="Arial"/>
          <w:sz w:val="21"/>
          <w:szCs w:val="21"/>
        </w:rPr>
        <w:sectPr>
          <w:footerReference r:id="rId66" w:type="default"/>
          <w:pgSz w:w="16845" w:h="11910"/>
          <w:pgMar w:top="1012" w:right="1501" w:bottom="1157" w:left="1420" w:header="0" w:footer="996" w:gutter="0"/>
          <w:cols w:space="720" w:num="1"/>
        </w:sectPr>
      </w:pPr>
    </w:p>
    <w:p>
      <w:pPr>
        <w:spacing w:line="120" w:lineRule="exact"/>
      </w:pPr>
    </w:p>
    <w:tbl>
      <w:tblPr>
        <w:tblStyle w:val="7"/>
        <w:tblW w:w="139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1182"/>
        <w:gridCol w:w="1005"/>
        <w:gridCol w:w="211"/>
        <w:gridCol w:w="223"/>
        <w:gridCol w:w="960"/>
        <w:gridCol w:w="259"/>
        <w:gridCol w:w="2738"/>
        <w:gridCol w:w="6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5" w:hRule="atLeast"/>
        </w:trPr>
        <w:tc>
          <w:tcPr>
            <w:tcW w:w="7098" w:type="dxa"/>
            <w:gridSpan w:val="8"/>
            <w:vAlign w:val="top"/>
          </w:tcPr>
          <w:p>
            <w:pPr>
              <w:pStyle w:val="8"/>
              <w:spacing w:before="40" w:line="221" w:lineRule="auto"/>
              <w:jc w:val="right"/>
            </w:pPr>
            <w:r>
              <w:rPr>
                <w:rFonts w:ascii="黑体" w:hAnsi="黑体" w:eastAsia="黑体" w:cs="黑体"/>
                <w:spacing w:val="-1"/>
              </w:rPr>
              <w:t xml:space="preserve">第二百三十四条  </w:t>
            </w:r>
            <w:r>
              <w:rPr>
                <w:spacing w:val="-1"/>
              </w:rPr>
              <w:t>依照本法收缴的罚款和没收的违法所得</w:t>
            </w:r>
            <w:r>
              <w:rPr>
                <w:spacing w:val="-2"/>
              </w:rPr>
              <w:t>， 全</w:t>
            </w:r>
          </w:p>
          <w:p>
            <w:pPr>
              <w:pStyle w:val="8"/>
              <w:spacing w:before="26" w:line="217" w:lineRule="auto"/>
              <w:ind w:left="13"/>
            </w:pPr>
            <w:r>
              <w:rPr>
                <w:spacing w:val="-9"/>
              </w:rPr>
              <w:t>部上缴国库。</w:t>
            </w:r>
          </w:p>
        </w:tc>
        <w:tc>
          <w:tcPr>
            <w:tcW w:w="6809" w:type="dxa"/>
            <w:vAlign w:val="top"/>
          </w:tcPr>
          <w:p>
            <w:pPr>
              <w:pStyle w:val="8"/>
              <w:spacing w:before="40" w:line="221" w:lineRule="auto"/>
              <w:ind w:right="9"/>
              <w:jc w:val="right"/>
            </w:pPr>
            <w:r>
              <w:rPr>
                <w:rFonts w:ascii="黑体" w:hAnsi="黑体" w:eastAsia="黑体" w:cs="黑体"/>
                <w:spacing w:val="1"/>
              </w:rPr>
              <w:t xml:space="preserve">第二百二十二条  </w:t>
            </w:r>
            <w:r>
              <w:rPr>
                <w:spacing w:val="1"/>
              </w:rPr>
              <w:t>依照本法收缴的罚款和没收的违法所得，</w:t>
            </w:r>
          </w:p>
          <w:p>
            <w:pPr>
              <w:pStyle w:val="8"/>
              <w:spacing w:before="26" w:line="217" w:lineRule="auto"/>
              <w:ind w:left="12"/>
            </w:pPr>
            <w:r>
              <w:rPr>
                <w:spacing w:val="-7"/>
              </w:rPr>
              <w:t>全部上缴国库。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098" w:type="dxa"/>
            <w:gridSpan w:val="8"/>
            <w:vAlign w:val="top"/>
          </w:tcPr>
          <w:p>
            <w:pPr>
              <w:pStyle w:val="8"/>
              <w:spacing w:before="20" w:line="233" w:lineRule="auto"/>
              <w:ind w:left="34" w:firstLine="478"/>
              <w:jc w:val="both"/>
            </w:pPr>
            <w:r>
              <w:rPr>
                <w:rFonts w:ascii="黑体" w:hAnsi="黑体" w:eastAsia="黑体" w:cs="黑体"/>
                <w:spacing w:val="3"/>
              </w:rPr>
              <w:t xml:space="preserve">第二百三十五条  </w:t>
            </w:r>
            <w:r>
              <w:rPr>
                <w:spacing w:val="3"/>
              </w:rPr>
              <w:t>当事人对证券监督管理机构或者国务院授权</w:t>
            </w:r>
            <w:r>
              <w:rPr>
                <w:spacing w:val="2"/>
              </w:rPr>
              <w:t xml:space="preserve"> </w:t>
            </w:r>
            <w:r>
              <w:rPr>
                <w:spacing w:val="3"/>
              </w:rPr>
              <w:t>的部门的处罚决定不服的，可以依法申请行政复议，或者依法直接</w:t>
            </w:r>
            <w:r>
              <w:t xml:space="preserve"> </w:t>
            </w:r>
            <w:r>
              <w:rPr>
                <w:spacing w:val="-8"/>
              </w:rPr>
              <w:t>向人民法院提起诉讼。</w:t>
            </w:r>
          </w:p>
        </w:tc>
        <w:tc>
          <w:tcPr>
            <w:tcW w:w="6809" w:type="dxa"/>
            <w:vAlign w:val="top"/>
          </w:tcPr>
          <w:p>
            <w:pPr>
              <w:pStyle w:val="8"/>
              <w:spacing w:before="20" w:line="233" w:lineRule="auto"/>
              <w:ind w:left="19" w:right="4" w:firstLine="493"/>
              <w:jc w:val="both"/>
            </w:pPr>
            <w:r>
              <w:rPr>
                <w:rFonts w:ascii="黑体" w:hAnsi="黑体" w:eastAsia="黑体" w:cs="黑体"/>
                <w:spacing w:val="1"/>
              </w:rPr>
              <w:t xml:space="preserve">第二百二十三条  </w:t>
            </w:r>
            <w:r>
              <w:rPr>
                <w:spacing w:val="1"/>
              </w:rPr>
              <w:t>当事人对证券监督管理机构或者国务院授</w:t>
            </w:r>
            <w:r>
              <w:rPr>
                <w:spacing w:val="8"/>
              </w:rPr>
              <w:t xml:space="preserve"> </w:t>
            </w:r>
            <w:r>
              <w:rPr>
                <w:spacing w:val="-3"/>
              </w:rPr>
              <w:t>权的部门的处罚决定不服的，可以依法申请行政复议， 或者依法</w:t>
            </w:r>
            <w:r>
              <w:rPr>
                <w:spacing w:val="13"/>
              </w:rPr>
              <w:t xml:space="preserve"> </w:t>
            </w:r>
            <w:r>
              <w:rPr>
                <w:spacing w:val="-5"/>
              </w:rPr>
              <w:t>直接向人民法院提起诉讼。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098" w:type="dxa"/>
            <w:gridSpan w:val="8"/>
            <w:vAlign w:val="top"/>
          </w:tcPr>
          <w:p>
            <w:pPr>
              <w:spacing w:before="99" w:line="222" w:lineRule="auto"/>
              <w:ind w:left="2961"/>
              <w:rPr>
                <w:rFonts w:ascii="黑体" w:hAnsi="黑体" w:eastAsia="黑体" w:cs="黑体"/>
                <w:sz w:val="24"/>
                <w:szCs w:val="24"/>
              </w:rPr>
            </w:pPr>
            <w:r>
              <w:rPr>
                <w:rFonts w:ascii="黑体" w:hAnsi="黑体" w:eastAsia="黑体" w:cs="黑体"/>
                <w:spacing w:val="-4"/>
                <w:sz w:val="24"/>
                <w:szCs w:val="24"/>
              </w:rPr>
              <w:t>第十二章</w:t>
            </w:r>
            <w:r>
              <w:rPr>
                <w:rFonts w:ascii="黑体" w:hAnsi="黑体" w:eastAsia="黑体" w:cs="黑体"/>
                <w:spacing w:val="12"/>
                <w:sz w:val="24"/>
                <w:szCs w:val="24"/>
              </w:rPr>
              <w:t xml:space="preserve">  </w:t>
            </w:r>
            <w:r>
              <w:rPr>
                <w:rFonts w:ascii="黑体" w:hAnsi="黑体" w:eastAsia="黑体" w:cs="黑体"/>
                <w:spacing w:val="-4"/>
                <w:sz w:val="24"/>
                <w:szCs w:val="24"/>
              </w:rPr>
              <w:t>附则</w:t>
            </w:r>
          </w:p>
        </w:tc>
        <w:tc>
          <w:tcPr>
            <w:tcW w:w="6809" w:type="dxa"/>
            <w:vAlign w:val="top"/>
          </w:tcPr>
          <w:p>
            <w:pPr>
              <w:spacing w:before="99" w:line="222" w:lineRule="auto"/>
              <w:ind w:left="2814"/>
              <w:rPr>
                <w:rFonts w:ascii="黑体" w:hAnsi="黑体" w:eastAsia="黑体" w:cs="黑体"/>
                <w:sz w:val="24"/>
                <w:szCs w:val="24"/>
              </w:rPr>
            </w:pPr>
            <w:r>
              <w:rPr>
                <w:rFonts w:ascii="黑体" w:hAnsi="黑体" w:eastAsia="黑体" w:cs="黑体"/>
                <w:spacing w:val="-4"/>
                <w:sz w:val="24"/>
                <w:szCs w:val="24"/>
              </w:rPr>
              <w:t>第十四章</w:t>
            </w:r>
            <w:r>
              <w:rPr>
                <w:rFonts w:ascii="黑体" w:hAnsi="黑体" w:eastAsia="黑体" w:cs="黑体"/>
                <w:spacing w:val="12"/>
                <w:sz w:val="24"/>
                <w:szCs w:val="24"/>
              </w:rPr>
              <w:t xml:space="preserve">  </w:t>
            </w:r>
            <w:r>
              <w:rPr>
                <w:rFonts w:ascii="黑体" w:hAnsi="黑体" w:eastAsia="黑体" w:cs="黑体"/>
                <w:spacing w:val="-4"/>
                <w:sz w:val="24"/>
                <w:szCs w:val="24"/>
              </w:rPr>
              <w:t>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20" w:type="dxa"/>
            <w:tcBorders>
              <w:bottom w:val="single" w:color="000000" w:sz="2" w:space="0"/>
              <w:right w:val="single" w:color="000000" w:sz="2" w:space="0"/>
            </w:tcBorders>
            <w:vAlign w:val="top"/>
          </w:tcPr>
          <w:p>
            <w:pPr>
              <w:rPr>
                <w:rFonts w:ascii="Arial"/>
                <w:sz w:val="21"/>
              </w:rPr>
            </w:pPr>
          </w:p>
        </w:tc>
        <w:tc>
          <w:tcPr>
            <w:tcW w:w="6578" w:type="dxa"/>
            <w:gridSpan w:val="7"/>
            <w:tcBorders>
              <w:left w:val="single" w:color="000000" w:sz="2" w:space="0"/>
              <w:bottom w:val="single" w:color="000000" w:sz="2" w:space="0"/>
            </w:tcBorders>
            <w:shd w:val="clear" w:color="auto" w:fill="D9D9D9"/>
            <w:vAlign w:val="top"/>
          </w:tcPr>
          <w:p>
            <w:pPr>
              <w:pStyle w:val="8"/>
              <w:spacing w:before="12" w:line="209" w:lineRule="auto"/>
              <w:jc w:val="right"/>
            </w:pPr>
            <w:r>
              <w:rPr>
                <w:rFonts w:ascii="黑体" w:hAnsi="黑体" w:eastAsia="黑体" w:cs="黑体"/>
                <w:spacing w:val="3"/>
              </w:rPr>
              <w:t xml:space="preserve">第二百三十六条  </w:t>
            </w:r>
            <w:r>
              <w:rPr>
                <w:spacing w:val="3"/>
              </w:rPr>
              <w:t>本法施行前依照行政法规已批准在证券交易</w:t>
            </w:r>
          </w:p>
        </w:tc>
        <w:tc>
          <w:tcPr>
            <w:tcW w:w="6809"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101" w:type="dxa"/>
            <w:gridSpan w:val="6"/>
            <w:tcBorders>
              <w:top w:val="single" w:color="000000" w:sz="2" w:space="0"/>
              <w:bottom w:val="single" w:color="000000" w:sz="2" w:space="0"/>
              <w:right w:val="single" w:color="000000" w:sz="2" w:space="0"/>
            </w:tcBorders>
            <w:shd w:val="clear" w:color="auto" w:fill="D9D9D9"/>
            <w:vAlign w:val="top"/>
          </w:tcPr>
          <w:p>
            <w:pPr>
              <w:pStyle w:val="8"/>
              <w:spacing w:before="23" w:line="208" w:lineRule="auto"/>
              <w:ind w:left="16"/>
            </w:pPr>
            <w:r>
              <w:rPr>
                <w:spacing w:val="-4"/>
              </w:rPr>
              <w:t>所上市交易的证券继续依法进行交易。</w:t>
            </w:r>
          </w:p>
        </w:tc>
        <w:tc>
          <w:tcPr>
            <w:tcW w:w="2997" w:type="dxa"/>
            <w:gridSpan w:val="2"/>
            <w:tcBorders>
              <w:top w:val="single" w:color="000000" w:sz="2" w:space="0"/>
              <w:left w:val="single" w:color="000000" w:sz="2" w:space="0"/>
              <w:bottom w:val="single" w:color="000000" w:sz="2" w:space="0"/>
            </w:tcBorders>
            <w:vAlign w:val="top"/>
          </w:tcPr>
          <w:p>
            <w:pPr>
              <w:rPr>
                <w:rFonts w:ascii="Arial"/>
                <w:sz w:val="21"/>
              </w:rPr>
            </w:pP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20" w:type="dxa"/>
            <w:tcBorders>
              <w:top w:val="single" w:color="000000" w:sz="2" w:space="0"/>
              <w:bottom w:val="single" w:color="000000" w:sz="2" w:space="0"/>
              <w:right w:val="single" w:color="000000" w:sz="2" w:space="0"/>
            </w:tcBorders>
            <w:vAlign w:val="top"/>
          </w:tcPr>
          <w:p>
            <w:pPr>
              <w:rPr>
                <w:rFonts w:ascii="Arial"/>
                <w:sz w:val="21"/>
              </w:rPr>
            </w:pPr>
          </w:p>
        </w:tc>
        <w:tc>
          <w:tcPr>
            <w:tcW w:w="6578" w:type="dxa"/>
            <w:gridSpan w:val="7"/>
            <w:tcBorders>
              <w:top w:val="single" w:color="000000" w:sz="2" w:space="0"/>
              <w:left w:val="single" w:color="000000" w:sz="2" w:space="0"/>
              <w:bottom w:val="single" w:color="000000" w:sz="2" w:space="0"/>
            </w:tcBorders>
            <w:shd w:val="clear" w:color="auto" w:fill="D9D9D9"/>
            <w:vAlign w:val="top"/>
          </w:tcPr>
          <w:p>
            <w:pPr>
              <w:pStyle w:val="8"/>
              <w:spacing w:before="27" w:line="208" w:lineRule="auto"/>
              <w:jc w:val="right"/>
            </w:pPr>
            <w:r>
              <w:rPr>
                <w:spacing w:val="3"/>
              </w:rPr>
              <w:t>本法施行前依照行政法规和国务院金融行政管理部门的规定经</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098" w:type="dxa"/>
            <w:gridSpan w:val="8"/>
            <w:tcBorders>
              <w:top w:val="single" w:color="000000" w:sz="2" w:space="0"/>
              <w:bottom w:val="single" w:color="000000" w:sz="2" w:space="0"/>
            </w:tcBorders>
            <w:shd w:val="clear" w:color="auto" w:fill="D9D9D9"/>
            <w:vAlign w:val="top"/>
          </w:tcPr>
          <w:p>
            <w:pPr>
              <w:pStyle w:val="8"/>
              <w:spacing w:before="25" w:line="208" w:lineRule="auto"/>
              <w:ind w:right="1"/>
              <w:jc w:val="right"/>
            </w:pPr>
            <w:r>
              <w:rPr>
                <w:spacing w:val="3"/>
              </w:rPr>
              <w:t>批准设立的证券经营机构，不完全符合本法规定的，应当在规定的</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7098" w:type="dxa"/>
            <w:gridSpan w:val="8"/>
            <w:tcBorders>
              <w:top w:val="single" w:color="000000" w:sz="2" w:space="0"/>
            </w:tcBorders>
            <w:shd w:val="clear" w:color="auto" w:fill="D9D9D9"/>
            <w:vAlign w:val="top"/>
          </w:tcPr>
          <w:p>
            <w:pPr>
              <w:pStyle w:val="8"/>
              <w:spacing w:line="229" w:lineRule="auto"/>
              <w:ind w:left="40"/>
            </w:pPr>
            <w:r>
              <w:rPr>
                <w:spacing w:val="-7"/>
              </w:rPr>
              <w:t>限期内达到本法规定的要求。具体实施办法，由国务院另行规定。</w:t>
            </w:r>
            <w:r>
              <w:rPr>
                <w:spacing w:val="50"/>
              </w:rPr>
              <w:t xml:space="preserve"> </w:t>
            </w:r>
            <w:r>
              <w:rPr>
                <w:position w:val="-6"/>
              </w:rPr>
              <w:drawing>
                <wp:inline distT="0" distB="0" distL="0" distR="0">
                  <wp:extent cx="1270" cy="188595"/>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84"/>
                          <a:stretch>
                            <a:fillRect/>
                          </a:stretch>
                        </pic:blipFill>
                        <pic:spPr>
                          <a:xfrm>
                            <a:off x="0" y="0"/>
                            <a:ext cx="1523" cy="189229"/>
                          </a:xfrm>
                          <a:prstGeom prst="rect">
                            <a:avLst/>
                          </a:prstGeom>
                        </pic:spPr>
                      </pic:pic>
                    </a:graphicData>
                  </a:graphic>
                </wp:inline>
              </w:drawing>
            </w: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20" w:type="dxa"/>
            <w:tcBorders>
              <w:bottom w:val="single" w:color="000000" w:sz="2" w:space="0"/>
              <w:right w:val="single" w:color="000000" w:sz="2" w:space="0"/>
            </w:tcBorders>
            <w:vAlign w:val="top"/>
          </w:tcPr>
          <w:p>
            <w:pPr>
              <w:rPr>
                <w:rFonts w:ascii="Arial"/>
                <w:sz w:val="21"/>
              </w:rPr>
            </w:pPr>
          </w:p>
        </w:tc>
        <w:tc>
          <w:tcPr>
            <w:tcW w:w="6578" w:type="dxa"/>
            <w:gridSpan w:val="7"/>
            <w:tcBorders>
              <w:left w:val="single" w:color="000000" w:sz="2" w:space="0"/>
              <w:bottom w:val="single" w:color="000000" w:sz="2" w:space="0"/>
            </w:tcBorders>
            <w:shd w:val="clear" w:color="auto" w:fill="D9D9D9"/>
            <w:vAlign w:val="top"/>
          </w:tcPr>
          <w:p>
            <w:pPr>
              <w:pStyle w:val="8"/>
              <w:spacing w:before="31" w:line="194" w:lineRule="auto"/>
            </w:pPr>
            <w:r>
              <w:rPr>
                <w:rFonts w:ascii="黑体" w:hAnsi="黑体" w:eastAsia="黑体" w:cs="黑体"/>
                <w:spacing w:val="3"/>
              </w:rPr>
              <w:t xml:space="preserve">第二百三十七条  </w:t>
            </w:r>
            <w:r>
              <w:rPr>
                <w:spacing w:val="3"/>
              </w:rPr>
              <w:t>发行人申请核准公开发行股票、公司债</w:t>
            </w:r>
            <w:r>
              <w:rPr>
                <w:spacing w:val="2"/>
              </w:rPr>
              <w:t>券，</w:t>
            </w:r>
          </w:p>
        </w:tc>
        <w:tc>
          <w:tcPr>
            <w:tcW w:w="6809" w:type="dxa"/>
            <w:vMerge w:val="restart"/>
            <w:tcBorders>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141" w:type="dxa"/>
            <w:gridSpan w:val="5"/>
            <w:tcBorders>
              <w:top w:val="single" w:color="000000" w:sz="2" w:space="0"/>
              <w:bottom w:val="single" w:color="000000" w:sz="2" w:space="0"/>
              <w:right w:val="single" w:color="000000" w:sz="2" w:space="0"/>
            </w:tcBorders>
            <w:shd w:val="clear" w:color="auto" w:fill="D9D9D9"/>
            <w:vAlign w:val="top"/>
          </w:tcPr>
          <w:p>
            <w:pPr>
              <w:pStyle w:val="8"/>
              <w:spacing w:before="47" w:line="190" w:lineRule="auto"/>
              <w:ind w:left="21"/>
            </w:pPr>
            <w:r>
              <w:rPr>
                <w:spacing w:val="-5"/>
              </w:rPr>
              <w:t>应当按照规定缴纳审核费用。</w:t>
            </w:r>
          </w:p>
        </w:tc>
        <w:tc>
          <w:tcPr>
            <w:tcW w:w="3957" w:type="dxa"/>
            <w:gridSpan w:val="3"/>
            <w:vMerge w:val="restart"/>
            <w:tcBorders>
              <w:top w:val="single" w:color="000000" w:sz="2" w:space="0"/>
              <w:left w:val="single" w:color="000000" w:sz="2" w:space="0"/>
              <w:bottom w:val="nil"/>
            </w:tcBorders>
            <w:vAlign w:val="top"/>
          </w:tcPr>
          <w:p>
            <w:pPr>
              <w:rPr>
                <w:rFonts w:ascii="Arial"/>
                <w:sz w:val="21"/>
              </w:rPr>
            </w:pP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141" w:type="dxa"/>
            <w:gridSpan w:val="5"/>
            <w:tcBorders>
              <w:top w:val="single" w:color="000000" w:sz="2" w:space="0"/>
              <w:right w:val="nil"/>
            </w:tcBorders>
            <w:vAlign w:val="top"/>
          </w:tcPr>
          <w:p>
            <w:pPr>
              <w:rPr>
                <w:rFonts w:ascii="Arial"/>
                <w:sz w:val="21"/>
              </w:rPr>
            </w:pPr>
          </w:p>
        </w:tc>
        <w:tc>
          <w:tcPr>
            <w:tcW w:w="3957" w:type="dxa"/>
            <w:gridSpan w:val="3"/>
            <w:vMerge w:val="continue"/>
            <w:tcBorders>
              <w:top w:val="nil"/>
              <w:left w:val="single" w:color="000000" w:sz="2" w:space="0"/>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702" w:type="dxa"/>
            <w:gridSpan w:val="2"/>
            <w:vMerge w:val="restart"/>
            <w:tcBorders>
              <w:bottom w:val="nil"/>
              <w:right w:val="nil"/>
            </w:tcBorders>
            <w:vAlign w:val="top"/>
          </w:tcPr>
          <w:p>
            <w:pPr>
              <w:pStyle w:val="8"/>
              <w:spacing w:before="42" w:line="218" w:lineRule="auto"/>
              <w:ind w:left="16" w:firstLine="489"/>
            </w:pPr>
            <w:r>
              <w:rPr>
                <w:rFonts w:ascii="黑体" w:hAnsi="黑体" w:eastAsia="黑体" w:cs="黑体"/>
                <w:spacing w:val="-3"/>
              </w:rPr>
              <w:t>第二百三十</w:t>
            </w:r>
            <w:r>
              <w:rPr>
                <w:rFonts w:ascii="黑体" w:hAnsi="黑体" w:eastAsia="黑体" w:cs="黑体"/>
                <w:spacing w:val="2"/>
              </w:rPr>
              <w:t xml:space="preserve"> </w:t>
            </w:r>
            <w:r>
              <w:rPr>
                <w:spacing w:val="-2"/>
              </w:rPr>
              <w:t>将其证券在境外</w:t>
            </w:r>
          </w:p>
        </w:tc>
        <w:tc>
          <w:tcPr>
            <w:tcW w:w="5396" w:type="dxa"/>
            <w:gridSpan w:val="6"/>
            <w:tcBorders>
              <w:left w:val="nil"/>
              <w:bottom w:val="single" w:color="000000" w:sz="2" w:space="0"/>
            </w:tcBorders>
            <w:vAlign w:val="top"/>
          </w:tcPr>
          <w:p>
            <w:pPr>
              <w:pStyle w:val="8"/>
              <w:spacing w:before="40" w:line="199" w:lineRule="auto"/>
              <w:jc w:val="right"/>
            </w:pPr>
            <w:r>
              <w:rPr>
                <w:rFonts w:ascii="黑体" w:hAnsi="黑体" w:eastAsia="黑体" w:cs="黑体"/>
                <w:spacing w:val="3"/>
              </w:rPr>
              <w:t xml:space="preserve">八条  </w:t>
            </w:r>
            <w:r>
              <w:rPr>
                <w:spacing w:val="3"/>
              </w:rPr>
              <w:t>境内企业直接或者间接到境外发行证券或者</w:t>
            </w:r>
          </w:p>
        </w:tc>
        <w:tc>
          <w:tcPr>
            <w:tcW w:w="6809" w:type="dxa"/>
            <w:vMerge w:val="restart"/>
            <w:tcBorders>
              <w:bottom w:val="nil"/>
            </w:tcBorders>
            <w:vAlign w:val="top"/>
          </w:tcPr>
          <w:p>
            <w:pPr>
              <w:pStyle w:val="8"/>
              <w:spacing w:before="38" w:line="230" w:lineRule="auto"/>
              <w:ind w:left="15" w:right="4" w:firstLine="497"/>
            </w:pPr>
            <w:r>
              <w:rPr>
                <w:rFonts w:ascii="黑体" w:hAnsi="黑体" w:eastAsia="黑体" w:cs="黑体"/>
                <w:spacing w:val="1"/>
              </w:rPr>
              <w:t xml:space="preserve">第二百二十四条  </w:t>
            </w:r>
            <w:r>
              <w:rPr>
                <w:spacing w:val="1"/>
              </w:rPr>
              <w:t>境内企业直接或者间接到境外发行证券或</w:t>
            </w:r>
            <w:r>
              <w:rPr>
                <w:spacing w:val="8"/>
              </w:rPr>
              <w:t xml:space="preserve"> </w:t>
            </w:r>
            <w:r>
              <w:rPr>
                <w:spacing w:val="-8"/>
              </w:rPr>
              <w:t>者将其证券在境外上市交易，</w:t>
            </w:r>
            <w:r>
              <w:rPr>
                <w:spacing w:val="76"/>
              </w:rPr>
              <w:t xml:space="preserve"> </w:t>
            </w:r>
            <w:r>
              <w:rPr>
                <w:rFonts w:ascii="黑体" w:hAnsi="黑体" w:eastAsia="黑体" w:cs="黑体"/>
                <w:spacing w:val="-8"/>
              </w:rPr>
              <w:t>应当符合国务院的有关规定</w:t>
            </w:r>
            <w:r>
              <w:rPr>
                <w:spacing w:val="-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702" w:type="dxa"/>
            <w:gridSpan w:val="2"/>
            <w:vMerge w:val="continue"/>
            <w:tcBorders>
              <w:top w:val="nil"/>
              <w:bottom w:val="single" w:color="000000" w:sz="2" w:space="0"/>
              <w:right w:val="nil"/>
            </w:tcBorders>
            <w:vAlign w:val="top"/>
          </w:tcPr>
          <w:p>
            <w:pPr>
              <w:rPr>
                <w:rFonts w:ascii="Arial"/>
                <w:sz w:val="21"/>
              </w:rPr>
            </w:pPr>
          </w:p>
        </w:tc>
        <w:tc>
          <w:tcPr>
            <w:tcW w:w="1005" w:type="dxa"/>
            <w:vMerge w:val="restart"/>
            <w:tcBorders>
              <w:top w:val="nil"/>
              <w:left w:val="nil"/>
              <w:bottom w:val="nil"/>
              <w:right w:val="nil"/>
            </w:tcBorders>
            <w:vAlign w:val="top"/>
          </w:tcPr>
          <w:p>
            <w:pPr>
              <w:pStyle w:val="8"/>
              <w:spacing w:before="38" w:line="217" w:lineRule="auto"/>
              <w:ind w:left="35"/>
            </w:pPr>
            <w:r>
              <w:rPr>
                <w:spacing w:val="-2"/>
              </w:rPr>
              <w:t>上市交易</w:t>
            </w:r>
          </w:p>
          <w:p>
            <w:pPr>
              <w:pStyle w:val="8"/>
              <w:spacing w:before="199" w:line="96" w:lineRule="exact"/>
              <w:ind w:left="21"/>
            </w:pPr>
            <w:r>
              <w:rPr>
                <w:position w:val="1"/>
              </w:rPr>
              <w:t>。</w:t>
            </w:r>
          </w:p>
        </w:tc>
        <w:tc>
          <w:tcPr>
            <w:tcW w:w="4391" w:type="dxa"/>
            <w:gridSpan w:val="5"/>
            <w:tcBorders>
              <w:top w:val="single" w:color="000000" w:sz="2" w:space="0"/>
              <w:left w:val="single" w:color="000000" w:sz="2" w:space="0"/>
              <w:bottom w:val="single" w:color="000000" w:sz="2" w:space="0"/>
            </w:tcBorders>
            <w:shd w:val="clear" w:color="auto" w:fill="D9D9D9"/>
            <w:vAlign w:val="top"/>
          </w:tcPr>
          <w:p>
            <w:pPr>
              <w:pStyle w:val="8"/>
              <w:spacing w:before="37" w:line="198" w:lineRule="auto"/>
              <w:ind w:left="25"/>
            </w:pPr>
            <w:r>
              <w:rPr>
                <w:spacing w:val="-4"/>
              </w:rPr>
              <w:t>,</w:t>
            </w:r>
            <w:r>
              <w:rPr>
                <w:spacing w:val="86"/>
              </w:rPr>
              <w:t xml:space="preserve"> </w:t>
            </w:r>
            <w:r>
              <w:rPr>
                <w:spacing w:val="-4"/>
              </w:rPr>
              <w:t>必须经国务院证券监督管理机构依照国</w:t>
            </w:r>
          </w:p>
        </w:tc>
        <w:tc>
          <w:tcPr>
            <w:tcW w:w="6809"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702" w:type="dxa"/>
            <w:gridSpan w:val="2"/>
            <w:tcBorders>
              <w:top w:val="single" w:color="000000" w:sz="2" w:space="0"/>
              <w:right w:val="single" w:color="000000" w:sz="2" w:space="0"/>
            </w:tcBorders>
            <w:shd w:val="clear" w:color="auto" w:fill="D9D9D9"/>
            <w:vAlign w:val="top"/>
          </w:tcPr>
          <w:p>
            <w:pPr>
              <w:pStyle w:val="8"/>
              <w:spacing w:before="40" w:line="204" w:lineRule="auto"/>
              <w:ind w:right="3"/>
              <w:jc w:val="right"/>
            </w:pPr>
            <w:r>
              <w:rPr>
                <w:spacing w:val="-2"/>
              </w:rPr>
              <w:t>务院的规定批准</w:t>
            </w:r>
          </w:p>
        </w:tc>
        <w:tc>
          <w:tcPr>
            <w:tcW w:w="1005" w:type="dxa"/>
            <w:vMerge w:val="continue"/>
            <w:tcBorders>
              <w:top w:val="nil"/>
              <w:left w:val="nil"/>
              <w:right w:val="nil"/>
            </w:tcBorders>
            <w:vAlign w:val="top"/>
          </w:tcPr>
          <w:p>
            <w:pPr>
              <w:rPr>
                <w:rFonts w:ascii="Arial"/>
                <w:sz w:val="21"/>
              </w:rPr>
            </w:pPr>
          </w:p>
        </w:tc>
        <w:tc>
          <w:tcPr>
            <w:tcW w:w="4391" w:type="dxa"/>
            <w:gridSpan w:val="5"/>
            <w:tcBorders>
              <w:top w:val="single" w:color="000000" w:sz="2" w:space="0"/>
              <w:left w:val="nil"/>
            </w:tcBorders>
            <w:vAlign w:val="top"/>
          </w:tcPr>
          <w:p>
            <w:pPr>
              <w:rPr>
                <w:rFonts w:ascii="Arial"/>
                <w:sz w:val="21"/>
              </w:rPr>
            </w:pPr>
          </w:p>
        </w:tc>
        <w:tc>
          <w:tcPr>
            <w:tcW w:w="6809"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7098" w:type="dxa"/>
            <w:gridSpan w:val="8"/>
            <w:vAlign w:val="top"/>
          </w:tcPr>
          <w:p>
            <w:pPr>
              <w:pStyle w:val="8"/>
              <w:spacing w:before="40" w:line="229" w:lineRule="auto"/>
              <w:ind w:left="21" w:firstLine="491"/>
            </w:pPr>
            <w:r>
              <w:rPr>
                <w:rFonts w:ascii="黑体" w:hAnsi="黑体" w:eastAsia="黑体" w:cs="黑体"/>
                <w:spacing w:val="-1"/>
              </w:rPr>
              <w:t xml:space="preserve">第二百三十九条  </w:t>
            </w:r>
            <w:r>
              <w:rPr>
                <w:spacing w:val="-1"/>
              </w:rPr>
              <w:t xml:space="preserve">境内公司股票以外币认购和交易的， </w:t>
            </w:r>
            <w:r>
              <w:rPr>
                <w:spacing w:val="-2"/>
              </w:rPr>
              <w:t>具体办</w:t>
            </w:r>
            <w:r>
              <w:t xml:space="preserve"> </w:t>
            </w:r>
            <w:r>
              <w:rPr>
                <w:spacing w:val="-7"/>
              </w:rPr>
              <w:t>法由国务院另行规定。</w:t>
            </w:r>
          </w:p>
        </w:tc>
        <w:tc>
          <w:tcPr>
            <w:tcW w:w="6809" w:type="dxa"/>
            <w:vAlign w:val="top"/>
          </w:tcPr>
          <w:p>
            <w:pPr>
              <w:pStyle w:val="8"/>
              <w:spacing w:before="40" w:line="229" w:lineRule="auto"/>
              <w:ind w:left="24" w:right="4" w:firstLine="488"/>
            </w:pPr>
            <w:r>
              <w:rPr>
                <w:rFonts w:ascii="黑体" w:hAnsi="黑体" w:eastAsia="黑体" w:cs="黑体"/>
                <w:spacing w:val="1"/>
              </w:rPr>
              <w:t xml:space="preserve">第二百二十五条  </w:t>
            </w:r>
            <w:r>
              <w:rPr>
                <w:spacing w:val="1"/>
              </w:rPr>
              <w:t>境内公司股票以外币认购和交易的，具体</w:t>
            </w:r>
            <w:r>
              <w:rPr>
                <w:spacing w:val="8"/>
              </w:rPr>
              <w:t xml:space="preserve"> </w:t>
            </w:r>
            <w:r>
              <w:rPr>
                <w:spacing w:val="-6"/>
              </w:rPr>
              <w:t>办法由国务院另行规定。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2918" w:type="dxa"/>
            <w:gridSpan w:val="4"/>
            <w:vMerge w:val="restart"/>
            <w:tcBorders>
              <w:bottom w:val="nil"/>
              <w:right w:val="nil"/>
            </w:tcBorders>
            <w:vAlign w:val="top"/>
          </w:tcPr>
          <w:p>
            <w:pPr>
              <w:pStyle w:val="8"/>
              <w:spacing w:before="36" w:line="221" w:lineRule="auto"/>
              <w:ind w:right="1"/>
              <w:jc w:val="right"/>
            </w:pPr>
            <w:r>
              <w:rPr>
                <w:rFonts w:ascii="黑体" w:hAnsi="黑体" w:eastAsia="黑体" w:cs="黑体"/>
                <w:spacing w:val="-1"/>
              </w:rPr>
              <w:t xml:space="preserve">第二百四十条  </w:t>
            </w:r>
            <w:r>
              <w:rPr>
                <w:spacing w:val="-1"/>
              </w:rPr>
              <w:t>本法自</w:t>
            </w:r>
          </w:p>
        </w:tc>
        <w:tc>
          <w:tcPr>
            <w:tcW w:w="1442" w:type="dxa"/>
            <w:gridSpan w:val="3"/>
            <w:tcBorders>
              <w:left w:val="single" w:color="000000" w:sz="2" w:space="0"/>
              <w:bottom w:val="single" w:color="000000" w:sz="2" w:space="0"/>
              <w:right w:val="single" w:color="000000" w:sz="2" w:space="0"/>
            </w:tcBorders>
            <w:shd w:val="clear" w:color="auto" w:fill="D9D9D9"/>
            <w:vAlign w:val="top"/>
          </w:tcPr>
          <w:p>
            <w:pPr>
              <w:pStyle w:val="8"/>
              <w:spacing w:before="38" w:line="189" w:lineRule="auto"/>
            </w:pPr>
            <w:r>
              <w:rPr>
                <w:rFonts w:ascii="Times New Roman" w:hAnsi="Times New Roman" w:eastAsia="Times New Roman" w:cs="Times New Roman"/>
                <w:spacing w:val="-1"/>
              </w:rPr>
              <w:t>2006</w:t>
            </w:r>
            <w:r>
              <w:rPr>
                <w:spacing w:val="-1"/>
              </w:rPr>
              <w:t>年</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1</w:t>
            </w:r>
            <w:r>
              <w:rPr>
                <w:spacing w:val="-1"/>
              </w:rPr>
              <w:t>日</w:t>
            </w:r>
          </w:p>
        </w:tc>
        <w:tc>
          <w:tcPr>
            <w:tcW w:w="2738" w:type="dxa"/>
            <w:vMerge w:val="restart"/>
            <w:tcBorders>
              <w:left w:val="nil"/>
              <w:bottom w:val="nil"/>
            </w:tcBorders>
            <w:vAlign w:val="top"/>
          </w:tcPr>
          <w:p>
            <w:pPr>
              <w:pStyle w:val="8"/>
              <w:spacing w:before="37" w:line="216" w:lineRule="auto"/>
              <w:ind w:left="5"/>
            </w:pPr>
            <w:r>
              <w:rPr>
                <w:spacing w:val="-12"/>
              </w:rPr>
              <w:t>起施行。</w:t>
            </w:r>
          </w:p>
        </w:tc>
        <w:tc>
          <w:tcPr>
            <w:tcW w:w="6809" w:type="dxa"/>
            <w:vMerge w:val="restart"/>
            <w:tcBorders>
              <w:bottom w:val="nil"/>
            </w:tcBorders>
            <w:vAlign w:val="top"/>
          </w:tcPr>
          <w:p>
            <w:pPr>
              <w:pStyle w:val="8"/>
              <w:spacing w:before="39" w:line="219" w:lineRule="auto"/>
              <w:ind w:left="512"/>
            </w:pPr>
            <w:r>
              <w:rPr>
                <w:rFonts w:ascii="黑体" w:hAnsi="黑体" w:eastAsia="黑体" w:cs="黑体"/>
                <w:spacing w:val="-2"/>
              </w:rPr>
              <w:t xml:space="preserve">第二百二十六条  </w:t>
            </w:r>
            <w:r>
              <w:rPr>
                <w:spacing w:val="-2"/>
              </w:rPr>
              <w:t>本法自</w:t>
            </w:r>
            <w:r>
              <w:rPr>
                <w:rFonts w:ascii="Times New Roman" w:hAnsi="Times New Roman" w:eastAsia="Times New Roman" w:cs="Times New Roman"/>
                <w:spacing w:val="-2"/>
              </w:rPr>
              <w:t>2020</w:t>
            </w:r>
            <w:r>
              <w:rPr>
                <w:spacing w:val="-2"/>
              </w:rPr>
              <w:t>年</w:t>
            </w:r>
            <w:r>
              <w:rPr>
                <w:rFonts w:ascii="Times New Roman" w:hAnsi="Times New Roman" w:eastAsia="Times New Roman" w:cs="Times New Roman"/>
                <w:spacing w:val="-2"/>
              </w:rPr>
              <w:t>3</w:t>
            </w:r>
            <w:r>
              <w:rPr>
                <w:spacing w:val="-2"/>
              </w:rPr>
              <w:t>月</w:t>
            </w:r>
            <w:r>
              <w:rPr>
                <w:rFonts w:ascii="Times New Roman" w:hAnsi="Times New Roman" w:eastAsia="Times New Roman" w:cs="Times New Roman"/>
                <w:spacing w:val="-2"/>
              </w:rPr>
              <w:t>1</w:t>
            </w:r>
            <w:r>
              <w:rPr>
                <w:spacing w:val="-2"/>
              </w:rPr>
              <w:t>日起施行。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918" w:type="dxa"/>
            <w:gridSpan w:val="4"/>
            <w:vMerge w:val="continue"/>
            <w:tcBorders>
              <w:top w:val="nil"/>
              <w:right w:val="nil"/>
            </w:tcBorders>
            <w:vAlign w:val="top"/>
          </w:tcPr>
          <w:p>
            <w:pPr>
              <w:rPr>
                <w:rFonts w:ascii="Arial"/>
                <w:sz w:val="21"/>
              </w:rPr>
            </w:pPr>
          </w:p>
        </w:tc>
        <w:tc>
          <w:tcPr>
            <w:tcW w:w="1442" w:type="dxa"/>
            <w:gridSpan w:val="3"/>
            <w:tcBorders>
              <w:top w:val="single" w:color="000000" w:sz="2" w:space="0"/>
              <w:left w:val="nil"/>
              <w:right w:val="nil"/>
            </w:tcBorders>
            <w:vAlign w:val="top"/>
          </w:tcPr>
          <w:p>
            <w:pPr>
              <w:rPr>
                <w:rFonts w:ascii="Arial"/>
                <w:sz w:val="21"/>
              </w:rPr>
            </w:pPr>
          </w:p>
        </w:tc>
        <w:tc>
          <w:tcPr>
            <w:tcW w:w="2738" w:type="dxa"/>
            <w:vMerge w:val="continue"/>
            <w:tcBorders>
              <w:top w:val="nil"/>
              <w:left w:val="nil"/>
            </w:tcBorders>
            <w:vAlign w:val="top"/>
          </w:tcPr>
          <w:p>
            <w:pPr>
              <w:rPr>
                <w:rFonts w:ascii="Arial"/>
                <w:sz w:val="21"/>
              </w:rPr>
            </w:pPr>
          </w:p>
        </w:tc>
        <w:tc>
          <w:tcPr>
            <w:tcW w:w="6809" w:type="dxa"/>
            <w:vMerge w:val="continue"/>
            <w:tcBorders>
              <w:top w:val="nil"/>
            </w:tcBorders>
            <w:vAlign w:val="top"/>
          </w:tcPr>
          <w:p>
            <w:pPr>
              <w:rPr>
                <w:rFonts w:ascii="Arial"/>
                <w:sz w:val="21"/>
              </w:rPr>
            </w:pPr>
          </w:p>
        </w:tc>
      </w:tr>
    </w:tbl>
    <w:p>
      <w:pPr>
        <w:rPr>
          <w:rFonts w:ascii="Arial"/>
          <w:sz w:val="21"/>
        </w:rPr>
      </w:pPr>
    </w:p>
    <w:sectPr>
      <w:footerReference r:id="rId67" w:type="default"/>
      <w:pgSz w:w="16845" w:h="11910"/>
      <w:pgMar w:top="1012" w:right="1501" w:bottom="1157" w:left="1420"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7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3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5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5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6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6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6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6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VkNTU1Mjg3MzJhOGM5YzU3NzM2OTI3YzhiZDhhNTEifQ=="/>
  </w:docVars>
  <w:rsids>
    <w:rsidRoot w:val="00000000"/>
    <w:rsid w:val="237C7826"/>
    <w:rsid w:val="2F8D196A"/>
    <w:rsid w:val="4FC17F68"/>
    <w:rsid w:val="68010AE0"/>
    <w:rsid w:val="6A9A6D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1.png"/><Relationship Id="rId98" Type="http://schemas.openxmlformats.org/officeDocument/2006/relationships/image" Target="media/image30.png"/><Relationship Id="rId97" Type="http://schemas.openxmlformats.org/officeDocument/2006/relationships/image" Target="media/image29.png"/><Relationship Id="rId96" Type="http://schemas.openxmlformats.org/officeDocument/2006/relationships/image" Target="media/image28.png"/><Relationship Id="rId95" Type="http://schemas.openxmlformats.org/officeDocument/2006/relationships/image" Target="media/image27.png"/><Relationship Id="rId94" Type="http://schemas.openxmlformats.org/officeDocument/2006/relationships/image" Target="media/image26.png"/><Relationship Id="rId93" Type="http://schemas.openxmlformats.org/officeDocument/2006/relationships/image" Target="media/image25.jpeg"/><Relationship Id="rId92" Type="http://schemas.openxmlformats.org/officeDocument/2006/relationships/image" Target="media/image24.png"/><Relationship Id="rId91" Type="http://schemas.openxmlformats.org/officeDocument/2006/relationships/image" Target="media/image23.jpeg"/><Relationship Id="rId90" Type="http://schemas.openxmlformats.org/officeDocument/2006/relationships/image" Target="media/image22.png"/><Relationship Id="rId9" Type="http://schemas.openxmlformats.org/officeDocument/2006/relationships/footer" Target="footer5.xml"/><Relationship Id="rId89" Type="http://schemas.openxmlformats.org/officeDocument/2006/relationships/image" Target="media/image21.png"/><Relationship Id="rId88" Type="http://schemas.openxmlformats.org/officeDocument/2006/relationships/image" Target="media/image20.png"/><Relationship Id="rId87" Type="http://schemas.openxmlformats.org/officeDocument/2006/relationships/image" Target="media/image19.png"/><Relationship Id="rId86" Type="http://schemas.openxmlformats.org/officeDocument/2006/relationships/image" Target="media/image18.jpeg"/><Relationship Id="rId85" Type="http://schemas.openxmlformats.org/officeDocument/2006/relationships/image" Target="media/image17.jpeg"/><Relationship Id="rId84" Type="http://schemas.openxmlformats.org/officeDocument/2006/relationships/image" Target="media/image16.jpeg"/><Relationship Id="rId83" Type="http://schemas.openxmlformats.org/officeDocument/2006/relationships/image" Target="media/image15.png"/><Relationship Id="rId82" Type="http://schemas.openxmlformats.org/officeDocument/2006/relationships/image" Target="media/image14.png"/><Relationship Id="rId81" Type="http://schemas.openxmlformats.org/officeDocument/2006/relationships/image" Target="media/image13.png"/><Relationship Id="rId80" Type="http://schemas.openxmlformats.org/officeDocument/2006/relationships/image" Target="media/image12.png"/><Relationship Id="rId8" Type="http://schemas.openxmlformats.org/officeDocument/2006/relationships/footer" Target="footer4.xml"/><Relationship Id="rId79" Type="http://schemas.openxmlformats.org/officeDocument/2006/relationships/image" Target="media/image11.png"/><Relationship Id="rId78" Type="http://schemas.openxmlformats.org/officeDocument/2006/relationships/image" Target="media/image10.png"/><Relationship Id="rId77" Type="http://schemas.openxmlformats.org/officeDocument/2006/relationships/image" Target="media/image9.png"/><Relationship Id="rId76" Type="http://schemas.openxmlformats.org/officeDocument/2006/relationships/image" Target="media/image8.jpeg"/><Relationship Id="rId75" Type="http://schemas.openxmlformats.org/officeDocument/2006/relationships/image" Target="media/image7.png"/><Relationship Id="rId74" Type="http://schemas.openxmlformats.org/officeDocument/2006/relationships/image" Target="media/image6.jpeg"/><Relationship Id="rId73" Type="http://schemas.openxmlformats.org/officeDocument/2006/relationships/image" Target="media/image5.png"/><Relationship Id="rId72" Type="http://schemas.openxmlformats.org/officeDocument/2006/relationships/image" Target="media/image4.png"/><Relationship Id="rId71" Type="http://schemas.openxmlformats.org/officeDocument/2006/relationships/image" Target="media/image3.png"/><Relationship Id="rId70" Type="http://schemas.openxmlformats.org/officeDocument/2006/relationships/image" Target="media/image2.png"/><Relationship Id="rId7" Type="http://schemas.openxmlformats.org/officeDocument/2006/relationships/footer" Target="footer3.xml"/><Relationship Id="rId69" Type="http://schemas.openxmlformats.org/officeDocument/2006/relationships/image" Target="media/image1.jpeg"/><Relationship Id="rId68" Type="http://schemas.openxmlformats.org/officeDocument/2006/relationships/theme" Target="theme/theme1.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0" Type="http://schemas.openxmlformats.org/officeDocument/2006/relationships/fontTable" Target="fontTable.xml"/><Relationship Id="rId14" Type="http://schemas.openxmlformats.org/officeDocument/2006/relationships/footer" Target="footer10.xml"/><Relationship Id="rId139" Type="http://schemas.openxmlformats.org/officeDocument/2006/relationships/customXml" Target="../customXml/item1.xml"/><Relationship Id="rId138" Type="http://schemas.openxmlformats.org/officeDocument/2006/relationships/image" Target="media/image70.png"/><Relationship Id="rId137" Type="http://schemas.openxmlformats.org/officeDocument/2006/relationships/image" Target="media/image69.png"/><Relationship Id="rId136" Type="http://schemas.openxmlformats.org/officeDocument/2006/relationships/image" Target="media/image68.png"/><Relationship Id="rId135" Type="http://schemas.openxmlformats.org/officeDocument/2006/relationships/image" Target="media/image67.png"/><Relationship Id="rId134" Type="http://schemas.openxmlformats.org/officeDocument/2006/relationships/image" Target="media/image66.jpeg"/><Relationship Id="rId133" Type="http://schemas.openxmlformats.org/officeDocument/2006/relationships/image" Target="media/image65.jpeg"/><Relationship Id="rId132" Type="http://schemas.openxmlformats.org/officeDocument/2006/relationships/image" Target="media/image64.png"/><Relationship Id="rId131" Type="http://schemas.openxmlformats.org/officeDocument/2006/relationships/image" Target="media/image63.png"/><Relationship Id="rId130" Type="http://schemas.openxmlformats.org/officeDocument/2006/relationships/image" Target="media/image62.png"/><Relationship Id="rId13" Type="http://schemas.openxmlformats.org/officeDocument/2006/relationships/footer" Target="footer9.xml"/><Relationship Id="rId129" Type="http://schemas.openxmlformats.org/officeDocument/2006/relationships/image" Target="media/image61.jpeg"/><Relationship Id="rId128" Type="http://schemas.openxmlformats.org/officeDocument/2006/relationships/image" Target="media/image60.png"/><Relationship Id="rId127" Type="http://schemas.openxmlformats.org/officeDocument/2006/relationships/image" Target="media/image59.png"/><Relationship Id="rId126" Type="http://schemas.openxmlformats.org/officeDocument/2006/relationships/image" Target="media/image58.png"/><Relationship Id="rId125" Type="http://schemas.openxmlformats.org/officeDocument/2006/relationships/image" Target="media/image57.png"/><Relationship Id="rId124" Type="http://schemas.openxmlformats.org/officeDocument/2006/relationships/image" Target="media/image56.jpeg"/><Relationship Id="rId123" Type="http://schemas.openxmlformats.org/officeDocument/2006/relationships/image" Target="media/image55.jpeg"/><Relationship Id="rId122" Type="http://schemas.openxmlformats.org/officeDocument/2006/relationships/image" Target="media/image54.png"/><Relationship Id="rId121" Type="http://schemas.openxmlformats.org/officeDocument/2006/relationships/image" Target="media/image53.jpeg"/><Relationship Id="rId120" Type="http://schemas.openxmlformats.org/officeDocument/2006/relationships/image" Target="media/image52.png"/><Relationship Id="rId12" Type="http://schemas.openxmlformats.org/officeDocument/2006/relationships/footer" Target="footer8.xml"/><Relationship Id="rId119" Type="http://schemas.openxmlformats.org/officeDocument/2006/relationships/image" Target="media/image51.png"/><Relationship Id="rId118" Type="http://schemas.openxmlformats.org/officeDocument/2006/relationships/image" Target="media/image50.png"/><Relationship Id="rId117" Type="http://schemas.openxmlformats.org/officeDocument/2006/relationships/image" Target="media/image49.png"/><Relationship Id="rId116" Type="http://schemas.openxmlformats.org/officeDocument/2006/relationships/image" Target="media/image48.png"/><Relationship Id="rId115" Type="http://schemas.openxmlformats.org/officeDocument/2006/relationships/image" Target="media/image47.png"/><Relationship Id="rId114" Type="http://schemas.openxmlformats.org/officeDocument/2006/relationships/image" Target="media/image46.png"/><Relationship Id="rId113" Type="http://schemas.openxmlformats.org/officeDocument/2006/relationships/image" Target="media/image45.png"/><Relationship Id="rId112" Type="http://schemas.openxmlformats.org/officeDocument/2006/relationships/image" Target="media/image44.png"/><Relationship Id="rId111" Type="http://schemas.openxmlformats.org/officeDocument/2006/relationships/image" Target="media/image43.png"/><Relationship Id="rId110" Type="http://schemas.openxmlformats.org/officeDocument/2006/relationships/image" Target="media/image42.png"/><Relationship Id="rId11" Type="http://schemas.openxmlformats.org/officeDocument/2006/relationships/footer" Target="footer7.xml"/><Relationship Id="rId109" Type="http://schemas.openxmlformats.org/officeDocument/2006/relationships/image" Target="media/image41.png"/><Relationship Id="rId108" Type="http://schemas.openxmlformats.org/officeDocument/2006/relationships/image" Target="media/image40.png"/><Relationship Id="rId107" Type="http://schemas.openxmlformats.org/officeDocument/2006/relationships/image" Target="media/image39.png"/><Relationship Id="rId106" Type="http://schemas.openxmlformats.org/officeDocument/2006/relationships/image" Target="media/image38.png"/><Relationship Id="rId105" Type="http://schemas.openxmlformats.org/officeDocument/2006/relationships/image" Target="media/image37.png"/><Relationship Id="rId104" Type="http://schemas.openxmlformats.org/officeDocument/2006/relationships/image" Target="media/image36.png"/><Relationship Id="rId103" Type="http://schemas.openxmlformats.org/officeDocument/2006/relationships/image" Target="media/image35.png"/><Relationship Id="rId102" Type="http://schemas.openxmlformats.org/officeDocument/2006/relationships/image" Target="media/image34.png"/><Relationship Id="rId101" Type="http://schemas.openxmlformats.org/officeDocument/2006/relationships/image" Target="media/image33.png"/><Relationship Id="rId100" Type="http://schemas.openxmlformats.org/officeDocument/2006/relationships/image" Target="media/image32.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28"/>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57"/>
    <customShpInfo spid="_x0000_s1053"/>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2"/>
    <customShpInfo spid="_x0000_s1083"/>
    <customShpInfo spid="_x0000_s1084"/>
    <customShpInfo spid="_x0000_s1081"/>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100"/>
    <customShpInfo spid="_x0000_s1101"/>
    <customShpInfo spid="_x0000_s1102"/>
    <customShpInfo spid="_x0000_s1099"/>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8"/>
    <customShpInfo spid="_x0000_s1119"/>
    <customShpInfo spid="_x0000_s1120"/>
    <customShpInfo spid="_x0000_s1117"/>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60"/>
    <customShpInfo spid="_x0000_s1161"/>
    <customShpInfo spid="_x0000_s1162"/>
    <customShpInfo spid="_x0000_s1159"/>
    <customShpInfo spid="_x0000_s1163"/>
    <customShpInfo spid="_x0000_s1164"/>
    <customShpInfo spid="_x0000_s1165"/>
    <customShpInfo spid="_x0000_s1166"/>
    <customShpInfo spid="_x0000_s1167"/>
    <customShpInfo spid="_x0000_s1168"/>
    <customShpInfo spid="_x0000_s1169"/>
    <customShpInfo spid="_x0000_s1170"/>
    <customShpInfo spid="_x0000_s1172"/>
    <customShpInfo spid="_x0000_s1173"/>
    <customShpInfo spid="_x0000_s11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2020-03-04T09:24:00Z</dcterms:created>
  <dc:creator>lenovo</dc:creator>
  <cp:lastModifiedBy>梦莲</cp:lastModifiedBy>
  <dcterms:modified xsi:type="dcterms:W3CDTF">2024-03-19T09:24:46Z</dcterms:modified>
  <dc:title>《中华人民共和国证券法》修订对照表.doc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2024-03-18T11:05:19Z</vt:filetime>
  </property>
  <property fmtid="{D5CDD505-2E9C-101B-9397-08002B2CF9AE}" pid="4" name="KSOProductBuildVer">
    <vt:lpwstr>2052-12.1.0.16412</vt:lpwstr>
  </property>
  <property fmtid="{D5CDD505-2E9C-101B-9397-08002B2CF9AE}" pid="5" name="ICV">
    <vt:lpwstr>67C80B523E6242359E7C08B70A62F26C_12</vt:lpwstr>
  </property>
</Properties>
</file>